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C623" w14:textId="6450A68E" w:rsidR="00235DA7" w:rsidRPr="00235DA7" w:rsidRDefault="00235DA7" w:rsidP="00235DA7">
      <w:pPr>
        <w:spacing w:line="276" w:lineRule="auto"/>
        <w:rPr>
          <w:sz w:val="32"/>
          <w:szCs w:val="32"/>
          <w:lang w:val="en-US"/>
        </w:rPr>
      </w:pPr>
      <w:r w:rsidRPr="00235DA7">
        <w:rPr>
          <w:sz w:val="32"/>
          <w:szCs w:val="32"/>
          <w:lang w:val="en-US"/>
        </w:rPr>
        <w:t>Higher education and public good: the case of the UK</w:t>
      </w:r>
    </w:p>
    <w:p w14:paraId="2F327B4E" w14:textId="1E2ABF78" w:rsidR="00235DA7" w:rsidRPr="00235DA7" w:rsidRDefault="00235DA7" w:rsidP="00235DA7">
      <w:pPr>
        <w:spacing w:line="276" w:lineRule="auto"/>
        <w:rPr>
          <w:sz w:val="32"/>
          <w:szCs w:val="32"/>
          <w:lang w:val="en-US"/>
        </w:rPr>
      </w:pPr>
      <w:r w:rsidRPr="00235DA7">
        <w:rPr>
          <w:sz w:val="32"/>
          <w:szCs w:val="32"/>
          <w:lang w:val="en-US"/>
        </w:rPr>
        <w:t>CGHE webinar 29 June 2023</w:t>
      </w:r>
    </w:p>
    <w:p w14:paraId="476818AB" w14:textId="77777777" w:rsidR="00235DA7" w:rsidRPr="00235DA7" w:rsidRDefault="00235DA7" w:rsidP="00235DA7">
      <w:pPr>
        <w:spacing w:line="276" w:lineRule="auto"/>
        <w:rPr>
          <w:lang w:val="en-US"/>
        </w:rPr>
      </w:pPr>
    </w:p>
    <w:p w14:paraId="038B59E7" w14:textId="5AFDB64D" w:rsidR="00235DA7" w:rsidRPr="00235DA7" w:rsidRDefault="00235DA7" w:rsidP="00235DA7">
      <w:pPr>
        <w:spacing w:line="276" w:lineRule="auto"/>
      </w:pPr>
      <w:r w:rsidRPr="00235DA7">
        <w:rPr>
          <w:lang w:val="en-US"/>
        </w:rPr>
        <w:t>Simon Marginson, University of Oxford</w:t>
      </w:r>
    </w:p>
    <w:p w14:paraId="69A6E3F3" w14:textId="77777777" w:rsidR="00235DA7" w:rsidRDefault="00235DA7" w:rsidP="000265C8">
      <w:pPr>
        <w:spacing w:line="276" w:lineRule="auto"/>
        <w:rPr>
          <w:b/>
          <w:bCs/>
          <w:lang w:val="en-US"/>
        </w:rPr>
      </w:pPr>
    </w:p>
    <w:p w14:paraId="53A29494" w14:textId="77777777" w:rsidR="00235DA7" w:rsidRDefault="00235DA7" w:rsidP="000265C8">
      <w:pPr>
        <w:spacing w:line="276" w:lineRule="auto"/>
        <w:rPr>
          <w:b/>
          <w:bCs/>
          <w:lang w:val="en-US"/>
        </w:rPr>
      </w:pPr>
    </w:p>
    <w:p w14:paraId="616F183C" w14:textId="4283C17C" w:rsidR="00562110" w:rsidRPr="000265C8" w:rsidRDefault="00235DA7" w:rsidP="000265C8">
      <w:pPr>
        <w:spacing w:line="276" w:lineRule="auto"/>
      </w:pPr>
      <w:r>
        <w:rPr>
          <w:b/>
          <w:bCs/>
          <w:lang w:val="en-US"/>
        </w:rPr>
        <w:t>[</w:t>
      </w:r>
      <w:r w:rsidR="00F91509" w:rsidRPr="000265C8">
        <w:rPr>
          <w:b/>
          <w:bCs/>
          <w:lang w:val="en-US"/>
        </w:rPr>
        <w:t>Higher education and public good: the case of the UK]</w:t>
      </w:r>
    </w:p>
    <w:p w14:paraId="0A800B2D" w14:textId="77777777" w:rsidR="00F91509" w:rsidRPr="000265C8" w:rsidRDefault="00F91509" w:rsidP="000265C8">
      <w:pPr>
        <w:spacing w:line="276" w:lineRule="auto"/>
      </w:pPr>
    </w:p>
    <w:p w14:paraId="5B45A610" w14:textId="0149E26C" w:rsidR="00EF32E7" w:rsidRPr="000265C8" w:rsidRDefault="00DA771F" w:rsidP="000265C8">
      <w:pPr>
        <w:spacing w:line="276" w:lineRule="auto"/>
      </w:pPr>
      <w:r w:rsidRPr="000265C8">
        <w:t xml:space="preserve">What does higher education achieve beyond the provision of benefits for individuals as augmented earnings and opportunities for work, </w:t>
      </w:r>
      <w:proofErr w:type="gramStart"/>
      <w:r w:rsidRPr="000265C8">
        <w:t>career</w:t>
      </w:r>
      <w:proofErr w:type="gramEnd"/>
      <w:r w:rsidRPr="000265C8">
        <w:t xml:space="preserve"> and social position? </w:t>
      </w:r>
      <w:r w:rsidR="00EF32E7" w:rsidRPr="000265C8">
        <w:t>How do we understand the public or common good</w:t>
      </w:r>
      <w:r w:rsidRPr="000265C8">
        <w:t xml:space="preserve">, including </w:t>
      </w:r>
      <w:r w:rsidR="007C18F2" w:rsidRPr="000265C8">
        <w:t xml:space="preserve">effects of education </w:t>
      </w:r>
      <w:r w:rsidRPr="000265C8">
        <w:t xml:space="preserve">that are experienced collectively as well as severally? How </w:t>
      </w:r>
      <w:r w:rsidR="00EF32E7" w:rsidRPr="000265C8">
        <w:t xml:space="preserve">does higher education </w:t>
      </w:r>
      <w:r w:rsidRPr="000265C8">
        <w:t>contribute</w:t>
      </w:r>
      <w:r w:rsidR="00EF32E7" w:rsidRPr="000265C8">
        <w:t xml:space="preserve"> </w:t>
      </w:r>
      <w:r w:rsidRPr="000265C8">
        <w:t xml:space="preserve">to the public or common good, or as some would have it, public goods as distinct from private goods? </w:t>
      </w:r>
    </w:p>
    <w:p w14:paraId="4EC4362C" w14:textId="77777777" w:rsidR="00F91509" w:rsidRPr="000265C8" w:rsidRDefault="00DA771F" w:rsidP="000265C8">
      <w:pPr>
        <w:spacing w:line="276" w:lineRule="auto"/>
      </w:pPr>
      <w:r w:rsidRPr="000265C8">
        <w:tab/>
        <w:t xml:space="preserve">These are not easy questions. </w:t>
      </w:r>
      <w:r w:rsidR="00E01E17" w:rsidRPr="000265C8">
        <w:t xml:space="preserve">The answers vary by political culture and policy history. In the Anglophone world, in the neoliberal era, policy on higher education is much influenced by </w:t>
      </w:r>
      <w:r w:rsidR="00FF2F53" w:rsidRPr="000265C8">
        <w:t xml:space="preserve">Paul </w:t>
      </w:r>
      <w:proofErr w:type="spellStart"/>
      <w:r w:rsidR="00FF2F53" w:rsidRPr="000265C8">
        <w:t>Samuleson’s</w:t>
      </w:r>
      <w:proofErr w:type="spellEnd"/>
      <w:r w:rsidR="00FF2F53" w:rsidRPr="000265C8">
        <w:t xml:space="preserve"> </w:t>
      </w:r>
      <w:r w:rsidR="00E01E17" w:rsidRPr="000265C8">
        <w:t xml:space="preserve">economic </w:t>
      </w:r>
      <w:r w:rsidR="007C18F2" w:rsidRPr="000265C8">
        <w:t xml:space="preserve">paper </w:t>
      </w:r>
      <w:r w:rsidR="00FA4EB2" w:rsidRPr="000265C8">
        <w:t xml:space="preserve">‘The pure theory of public </w:t>
      </w:r>
      <w:r w:rsidR="00F807E0" w:rsidRPr="000265C8">
        <w:t>e</w:t>
      </w:r>
      <w:r w:rsidR="00FA4EB2" w:rsidRPr="000265C8">
        <w:t>xpenditure</w:t>
      </w:r>
      <w:r w:rsidR="00CD3B71" w:rsidRPr="000265C8">
        <w:t>’</w:t>
      </w:r>
      <w:r w:rsidR="00FA4EB2" w:rsidRPr="000265C8">
        <w:t xml:space="preserve"> </w:t>
      </w:r>
      <w:r w:rsidR="00E01E17" w:rsidRPr="000265C8">
        <w:t xml:space="preserve">from </w:t>
      </w:r>
      <w:r w:rsidR="00FA4EB2" w:rsidRPr="000265C8">
        <w:t>1954</w:t>
      </w:r>
      <w:r w:rsidR="00E01E17" w:rsidRPr="000265C8">
        <w:t xml:space="preserve">. </w:t>
      </w:r>
    </w:p>
    <w:p w14:paraId="51BB25A7" w14:textId="77777777" w:rsidR="00F91509" w:rsidRPr="000265C8" w:rsidRDefault="00F91509" w:rsidP="000265C8">
      <w:pPr>
        <w:spacing w:line="276" w:lineRule="auto"/>
      </w:pPr>
    </w:p>
    <w:p w14:paraId="10113D48" w14:textId="17291E95" w:rsidR="00F91509" w:rsidRPr="000265C8" w:rsidRDefault="00F91509" w:rsidP="000265C8">
      <w:pPr>
        <w:spacing w:line="276" w:lineRule="auto"/>
        <w:rPr>
          <w:b/>
          <w:bCs/>
          <w:lang w:val="en-US"/>
        </w:rPr>
      </w:pPr>
      <w:r w:rsidRPr="000265C8">
        <w:rPr>
          <w:b/>
          <w:bCs/>
          <w:lang w:val="en-US"/>
        </w:rPr>
        <w:t>[</w:t>
      </w:r>
      <w:r w:rsidR="00A37A74" w:rsidRPr="000265C8">
        <w:rPr>
          <w:b/>
          <w:bCs/>
          <w:lang w:val="en-US"/>
        </w:rPr>
        <w:t xml:space="preserve">Economic policy says that higher education is </w:t>
      </w:r>
      <w:r w:rsidR="00A37A74" w:rsidRPr="000265C8">
        <w:rPr>
          <w:b/>
          <w:bCs/>
          <w:i/>
          <w:iCs/>
          <w:lang w:val="en-US"/>
        </w:rPr>
        <w:t>either</w:t>
      </w:r>
      <w:r w:rsidR="00A37A74" w:rsidRPr="000265C8">
        <w:rPr>
          <w:b/>
          <w:bCs/>
          <w:lang w:val="en-US"/>
        </w:rPr>
        <w:t xml:space="preserve"> public or private: it’s zero-sum</w:t>
      </w:r>
      <w:r w:rsidRPr="000265C8">
        <w:rPr>
          <w:b/>
          <w:bCs/>
          <w:lang w:val="en-US"/>
        </w:rPr>
        <w:t>]</w:t>
      </w:r>
    </w:p>
    <w:p w14:paraId="64BDD7D3" w14:textId="7EB59391" w:rsidR="001647DB" w:rsidRPr="000265C8" w:rsidRDefault="00E01E17" w:rsidP="000265C8">
      <w:pPr>
        <w:spacing w:line="276" w:lineRule="auto"/>
      </w:pPr>
      <w:r w:rsidRPr="000265C8">
        <w:t>For Samuelson</w:t>
      </w:r>
      <w:r w:rsidR="00FA4EB2" w:rsidRPr="000265C8">
        <w:t xml:space="preserve"> </w:t>
      </w:r>
      <w:r w:rsidR="009515C1" w:rsidRPr="000265C8">
        <w:t xml:space="preserve">economic activity is </w:t>
      </w:r>
      <w:r w:rsidR="00C24182" w:rsidRPr="000265C8">
        <w:t xml:space="preserve">normally </w:t>
      </w:r>
      <w:r w:rsidR="009515C1" w:rsidRPr="000265C8">
        <w:t xml:space="preserve">realised </w:t>
      </w:r>
      <w:r w:rsidR="00866213" w:rsidRPr="000265C8">
        <w:t>as</w:t>
      </w:r>
      <w:r w:rsidR="00FF2F53" w:rsidRPr="000265C8">
        <w:t xml:space="preserve"> </w:t>
      </w:r>
      <w:r w:rsidR="00866213" w:rsidRPr="000265C8">
        <w:t xml:space="preserve">private goods and </w:t>
      </w:r>
      <w:r w:rsidR="00FF2F53" w:rsidRPr="000265C8">
        <w:t>market transactions</w:t>
      </w:r>
      <w:r w:rsidR="00C24182" w:rsidRPr="000265C8">
        <w:t xml:space="preserve">. If </w:t>
      </w:r>
      <w:r w:rsidR="00FF2F53" w:rsidRPr="000265C8">
        <w:t xml:space="preserve">it is impossible to </w:t>
      </w:r>
      <w:r w:rsidR="00866213" w:rsidRPr="000265C8">
        <w:t>generate</w:t>
      </w:r>
      <w:r w:rsidR="00FF2F53" w:rsidRPr="000265C8">
        <w:t xml:space="preserve"> profit</w:t>
      </w:r>
      <w:r w:rsidR="008927DF" w:rsidRPr="000265C8">
        <w:t>,</w:t>
      </w:r>
      <w:r w:rsidR="00FF2F53" w:rsidRPr="000265C8">
        <w:t xml:space="preserve"> goods or services</w:t>
      </w:r>
      <w:r w:rsidR="003A6B62" w:rsidRPr="000265C8">
        <w:t xml:space="preserve"> </w:t>
      </w:r>
      <w:r w:rsidR="00A16778" w:rsidRPr="000265C8">
        <w:t>take the form of</w:t>
      </w:r>
      <w:r w:rsidR="00CD3B71" w:rsidRPr="000265C8">
        <w:t xml:space="preserve"> </w:t>
      </w:r>
      <w:r w:rsidR="00FF2F53" w:rsidRPr="000265C8">
        <w:t xml:space="preserve">public goods financed by </w:t>
      </w:r>
      <w:r w:rsidR="00F46441" w:rsidRPr="000265C8">
        <w:t>government</w:t>
      </w:r>
      <w:r w:rsidR="00FF2F53" w:rsidRPr="000265C8">
        <w:t xml:space="preserve"> or philanthropy</w:t>
      </w:r>
      <w:r w:rsidR="004F2152" w:rsidRPr="000265C8">
        <w:t xml:space="preserve">. </w:t>
      </w:r>
      <w:r w:rsidR="00847FE1" w:rsidRPr="000265C8">
        <w:t>The relation between private and public goods is zero-sum.</w:t>
      </w:r>
      <w:r w:rsidRPr="000265C8">
        <w:t xml:space="preserve"> The implication for higher education is that </w:t>
      </w:r>
      <w:r w:rsidR="00C24182" w:rsidRPr="000265C8">
        <w:t xml:space="preserve">it </w:t>
      </w:r>
      <w:r w:rsidR="00FD2C2E" w:rsidRPr="000265C8">
        <w:t>should be</w:t>
      </w:r>
      <w:r w:rsidR="00F46E5E" w:rsidRPr="000265C8">
        <w:t xml:space="preserve"> pro</w:t>
      </w:r>
      <w:r w:rsidR="00E96B83" w:rsidRPr="000265C8">
        <w:t>duc</w:t>
      </w:r>
      <w:r w:rsidR="00F46E5E" w:rsidRPr="000265C8">
        <w:t xml:space="preserve">ed </w:t>
      </w:r>
      <w:r w:rsidR="001650EE" w:rsidRPr="000265C8">
        <w:t xml:space="preserve">in </w:t>
      </w:r>
      <w:r w:rsidR="00F46E5E" w:rsidRPr="000265C8">
        <w:t>market</w:t>
      </w:r>
      <w:r w:rsidR="001650EE" w:rsidRPr="000265C8">
        <w:t>s</w:t>
      </w:r>
      <w:r w:rsidR="00F46E5E" w:rsidRPr="000265C8">
        <w:t xml:space="preserve"> where</w:t>
      </w:r>
      <w:r w:rsidR="004F2152" w:rsidRPr="000265C8">
        <w:t>ver</w:t>
      </w:r>
      <w:r w:rsidR="00F46E5E" w:rsidRPr="000265C8">
        <w:t xml:space="preserve"> possible</w:t>
      </w:r>
      <w:r w:rsidR="008927DF" w:rsidRPr="000265C8">
        <w:t>. T</w:t>
      </w:r>
      <w:r w:rsidR="00F46E5E" w:rsidRPr="000265C8">
        <w:t xml:space="preserve">ax-funded provision </w:t>
      </w:r>
      <w:r w:rsidR="00E96B83" w:rsidRPr="000265C8">
        <w:t xml:space="preserve">and cost </w:t>
      </w:r>
      <w:r w:rsidR="00FD2C2E" w:rsidRPr="000265C8">
        <w:t>should be</w:t>
      </w:r>
      <w:r w:rsidR="00F46E5E" w:rsidRPr="000265C8">
        <w:t xml:space="preserve"> </w:t>
      </w:r>
      <w:r w:rsidR="00E96B83" w:rsidRPr="000265C8">
        <w:t>minimised.</w:t>
      </w:r>
      <w:r w:rsidR="00034583" w:rsidRPr="000265C8">
        <w:t xml:space="preserve"> </w:t>
      </w:r>
      <w:r w:rsidR="00FD2C2E" w:rsidRPr="000265C8">
        <w:t>This is</w:t>
      </w:r>
      <w:r w:rsidR="004F2152" w:rsidRPr="000265C8">
        <w:t xml:space="preserve"> never </w:t>
      </w:r>
      <w:r w:rsidR="008927DF" w:rsidRPr="000265C8">
        <w:t xml:space="preserve">fully </w:t>
      </w:r>
      <w:r w:rsidR="00034583" w:rsidRPr="000265C8">
        <w:t>applied</w:t>
      </w:r>
      <w:r w:rsidR="008927DF" w:rsidRPr="000265C8">
        <w:t>.</w:t>
      </w:r>
      <w:r w:rsidR="001650EE" w:rsidRPr="000265C8">
        <w:t xml:space="preserve"> </w:t>
      </w:r>
      <w:r w:rsidRPr="000265C8">
        <w:t>Neoliberal</w:t>
      </w:r>
      <w:r w:rsidR="00B301D0" w:rsidRPr="000265C8">
        <w:t xml:space="preserve"> governments supplement the market with financing </w:t>
      </w:r>
      <w:r w:rsidRPr="000265C8">
        <w:t>for</w:t>
      </w:r>
      <w:r w:rsidR="00B301D0" w:rsidRPr="000265C8">
        <w:t xml:space="preserve"> </w:t>
      </w:r>
      <w:r w:rsidR="00234BBB" w:rsidRPr="000265C8">
        <w:t xml:space="preserve">individual </w:t>
      </w:r>
      <w:r w:rsidR="00B301D0" w:rsidRPr="000265C8">
        <w:t>opportunity</w:t>
      </w:r>
      <w:r w:rsidR="008927DF" w:rsidRPr="000265C8">
        <w:t xml:space="preserve"> </w:t>
      </w:r>
      <w:r w:rsidR="00234BBB" w:rsidRPr="000265C8">
        <w:t xml:space="preserve">– that is, individual access to what is seen as a private good - </w:t>
      </w:r>
      <w:r w:rsidR="009515C1" w:rsidRPr="000265C8">
        <w:t>through grants or student loans</w:t>
      </w:r>
      <w:r w:rsidR="00234BBB" w:rsidRPr="000265C8">
        <w:t xml:space="preserve">. Most </w:t>
      </w:r>
      <w:r w:rsidRPr="000265C8">
        <w:t xml:space="preserve">also </w:t>
      </w:r>
      <w:r w:rsidR="00234BBB" w:rsidRPr="000265C8">
        <w:t xml:space="preserve">see basic research as a Samuelson public good and support </w:t>
      </w:r>
      <w:r w:rsidRPr="000265C8">
        <w:t>its public</w:t>
      </w:r>
      <w:r w:rsidR="00EA510A" w:rsidRPr="000265C8">
        <w:t xml:space="preserve"> </w:t>
      </w:r>
      <w:r w:rsidR="00234BBB" w:rsidRPr="000265C8">
        <w:t>financing</w:t>
      </w:r>
      <w:r w:rsidRPr="000265C8">
        <w:t>.</w:t>
      </w:r>
      <w:r w:rsidR="00C24182" w:rsidRPr="000265C8">
        <w:t xml:space="preserve"> </w:t>
      </w:r>
      <w:r w:rsidR="00FD2C2E" w:rsidRPr="000265C8">
        <w:t xml:space="preserve">But </w:t>
      </w:r>
      <w:proofErr w:type="gramStart"/>
      <w:r w:rsidR="00FD2C2E" w:rsidRPr="000265C8">
        <w:t>o</w:t>
      </w:r>
      <w:r w:rsidR="00234BBB" w:rsidRPr="000265C8">
        <w:t>therwise</w:t>
      </w:r>
      <w:proofErr w:type="gramEnd"/>
      <w:r w:rsidR="00234BBB" w:rsidRPr="000265C8">
        <w:t xml:space="preserve"> neoliberal governments</w:t>
      </w:r>
      <w:r w:rsidR="00B301D0" w:rsidRPr="000265C8">
        <w:t xml:space="preserve"> </w:t>
      </w:r>
      <w:r w:rsidRPr="000265C8">
        <w:t xml:space="preserve">focus </w:t>
      </w:r>
      <w:r w:rsidR="008927DF" w:rsidRPr="000265C8">
        <w:t xml:space="preserve">only </w:t>
      </w:r>
      <w:r w:rsidRPr="000265C8">
        <w:t xml:space="preserve">on </w:t>
      </w:r>
      <w:r w:rsidR="00B301D0" w:rsidRPr="000265C8">
        <w:t xml:space="preserve">private </w:t>
      </w:r>
      <w:r w:rsidRPr="000265C8">
        <w:t>earnings</w:t>
      </w:r>
      <w:r w:rsidR="00B301D0" w:rsidRPr="000265C8">
        <w:t xml:space="preserve"> </w:t>
      </w:r>
      <w:r w:rsidR="009515C1" w:rsidRPr="000265C8">
        <w:t>and ‘employability’</w:t>
      </w:r>
      <w:r w:rsidR="005F22FB" w:rsidRPr="000265C8">
        <w:t xml:space="preserve"> </w:t>
      </w:r>
      <w:r w:rsidR="009515C1" w:rsidRPr="000265C8">
        <w:t xml:space="preserve">seen to </w:t>
      </w:r>
      <w:r w:rsidR="005F22FB" w:rsidRPr="000265C8">
        <w:t>be associated with</w:t>
      </w:r>
      <w:r w:rsidR="009515C1" w:rsidRPr="000265C8">
        <w:t xml:space="preserve"> </w:t>
      </w:r>
      <w:r w:rsidR="00B301D0" w:rsidRPr="000265C8">
        <w:t>higher education</w:t>
      </w:r>
      <w:r w:rsidRPr="000265C8">
        <w:t xml:space="preserve">. These are </w:t>
      </w:r>
      <w:r w:rsidR="00764351" w:rsidRPr="000265C8">
        <w:t>emphasised</w:t>
      </w:r>
      <w:r w:rsidR="00B301D0" w:rsidRPr="000265C8">
        <w:t xml:space="preserve"> to justify </w:t>
      </w:r>
      <w:r w:rsidR="00C872EC" w:rsidRPr="000265C8">
        <w:t>tuition</w:t>
      </w:r>
      <w:r w:rsidRPr="000265C8">
        <w:t xml:space="preserve"> fees</w:t>
      </w:r>
      <w:r w:rsidR="00533236" w:rsidRPr="000265C8">
        <w:t xml:space="preserve"> and differentiate courses </w:t>
      </w:r>
      <w:r w:rsidR="00847FE1" w:rsidRPr="000265C8">
        <w:t xml:space="preserve">and institutions </w:t>
      </w:r>
      <w:proofErr w:type="gramStart"/>
      <w:r w:rsidR="00533236" w:rsidRPr="000265C8">
        <w:t>on the basis of</w:t>
      </w:r>
      <w:proofErr w:type="gramEnd"/>
      <w:r w:rsidR="00533236" w:rsidRPr="000265C8">
        <w:t xml:space="preserve"> </w:t>
      </w:r>
      <w:r w:rsidR="004F2152" w:rsidRPr="000265C8">
        <w:t xml:space="preserve">the </w:t>
      </w:r>
      <w:r w:rsidR="00533236" w:rsidRPr="000265C8">
        <w:t>a</w:t>
      </w:r>
      <w:r w:rsidR="004F2152" w:rsidRPr="000265C8">
        <w:t>ttribut</w:t>
      </w:r>
      <w:r w:rsidR="00533236" w:rsidRPr="000265C8">
        <w:t>ed value</w:t>
      </w:r>
      <w:r w:rsidR="004F2152" w:rsidRPr="000265C8">
        <w:t xml:space="preserve"> of graduate labour</w:t>
      </w:r>
      <w:r w:rsidR="00C872EC" w:rsidRPr="000265C8">
        <w:t xml:space="preserve">. </w:t>
      </w:r>
    </w:p>
    <w:p w14:paraId="573472D4" w14:textId="77777777" w:rsidR="00764351" w:rsidRPr="000265C8" w:rsidRDefault="00764351" w:rsidP="000265C8">
      <w:pPr>
        <w:spacing w:line="276" w:lineRule="auto"/>
      </w:pPr>
    </w:p>
    <w:p w14:paraId="40AC58BA" w14:textId="77777777" w:rsidR="00764351" w:rsidRPr="000265C8" w:rsidRDefault="00764351" w:rsidP="000265C8">
      <w:pPr>
        <w:spacing w:line="276" w:lineRule="auto"/>
        <w:rPr>
          <w:b/>
          <w:bCs/>
        </w:rPr>
      </w:pPr>
      <w:r w:rsidRPr="000265C8">
        <w:rPr>
          <w:b/>
          <w:bCs/>
        </w:rPr>
        <w:t xml:space="preserve">[The collective social, economic, </w:t>
      </w:r>
      <w:proofErr w:type="gramStart"/>
      <w:r w:rsidRPr="000265C8">
        <w:rPr>
          <w:b/>
          <w:bCs/>
        </w:rPr>
        <w:t>political</w:t>
      </w:r>
      <w:proofErr w:type="gramEnd"/>
      <w:r w:rsidRPr="000265C8">
        <w:rPr>
          <w:b/>
          <w:bCs/>
        </w:rPr>
        <w:t xml:space="preserve"> and cultural contributions include]</w:t>
      </w:r>
    </w:p>
    <w:p w14:paraId="131067D1" w14:textId="603DDF4C" w:rsidR="007E6A61" w:rsidRPr="000265C8" w:rsidRDefault="00C24182" w:rsidP="000265C8">
      <w:pPr>
        <w:spacing w:line="276" w:lineRule="auto"/>
      </w:pPr>
      <w:r w:rsidRPr="000265C8">
        <w:t>A</w:t>
      </w:r>
      <w:r w:rsidR="003B3850" w:rsidRPr="000265C8">
        <w:t>n</w:t>
      </w:r>
      <w:r w:rsidR="00A16778" w:rsidRPr="000265C8">
        <w:t xml:space="preserve"> abiding </w:t>
      </w:r>
      <w:r w:rsidR="00DA14D4" w:rsidRPr="000265C8">
        <w:t>weakness of</w:t>
      </w:r>
      <w:r w:rsidR="007E6A61" w:rsidRPr="000265C8">
        <w:t xml:space="preserve"> this </w:t>
      </w:r>
      <w:r w:rsidR="00847FE1" w:rsidRPr="000265C8">
        <w:t xml:space="preserve">policy </w:t>
      </w:r>
      <w:r w:rsidR="007E6A61" w:rsidRPr="000265C8">
        <w:t>framework is that under-</w:t>
      </w:r>
      <w:r w:rsidR="003A722C" w:rsidRPr="000265C8">
        <w:t>play</w:t>
      </w:r>
      <w:r w:rsidRPr="000265C8">
        <w:t>s</w:t>
      </w:r>
      <w:r w:rsidR="007E6A61" w:rsidRPr="000265C8">
        <w:t xml:space="preserve"> </w:t>
      </w:r>
      <w:r w:rsidR="00A16778" w:rsidRPr="000265C8">
        <w:t xml:space="preserve">all </w:t>
      </w:r>
      <w:r w:rsidR="007E6A61" w:rsidRPr="000265C8">
        <w:t>contributions, effects</w:t>
      </w:r>
      <w:r w:rsidR="0006466C" w:rsidRPr="000265C8">
        <w:t xml:space="preserve">, </w:t>
      </w:r>
      <w:proofErr w:type="gramStart"/>
      <w:r w:rsidR="007E6A61" w:rsidRPr="000265C8">
        <w:t>outcomes</w:t>
      </w:r>
      <w:proofErr w:type="gramEnd"/>
      <w:r w:rsidR="007E6A61" w:rsidRPr="000265C8">
        <w:t xml:space="preserve"> </w:t>
      </w:r>
      <w:r w:rsidR="0006466C" w:rsidRPr="000265C8">
        <w:t xml:space="preserve">and values </w:t>
      </w:r>
      <w:r w:rsidR="007E6A61" w:rsidRPr="000265C8">
        <w:t xml:space="preserve">in higher education </w:t>
      </w:r>
      <w:r w:rsidR="00773680" w:rsidRPr="000265C8">
        <w:t xml:space="preserve">that are </w:t>
      </w:r>
      <w:r w:rsidR="007E6A61" w:rsidRPr="000265C8">
        <w:t xml:space="preserve">not Samuelson private goods. </w:t>
      </w:r>
      <w:r w:rsidR="00773680" w:rsidRPr="000265C8">
        <w:t xml:space="preserve">This </w:t>
      </w:r>
      <w:r w:rsidR="00F87D47" w:rsidRPr="000265C8">
        <w:t xml:space="preserve">is a much larger domain than Samuelson’s residual category of </w:t>
      </w:r>
      <w:r w:rsidR="00D96893" w:rsidRPr="000265C8">
        <w:t xml:space="preserve">minimum necessary </w:t>
      </w:r>
      <w:r w:rsidR="00F87D47" w:rsidRPr="000265C8">
        <w:t>public goods suggest</w:t>
      </w:r>
      <w:r w:rsidR="004715DB" w:rsidRPr="000265C8">
        <w:t>s</w:t>
      </w:r>
      <w:r w:rsidR="00F87D47" w:rsidRPr="000265C8">
        <w:t xml:space="preserve">. </w:t>
      </w:r>
      <w:r w:rsidR="007E6A61" w:rsidRPr="000265C8">
        <w:t>The</w:t>
      </w:r>
      <w:r w:rsidR="00306974" w:rsidRPr="000265C8">
        <w:t>se</w:t>
      </w:r>
      <w:r w:rsidR="0006466C" w:rsidRPr="000265C8">
        <w:t xml:space="preserve"> </w:t>
      </w:r>
      <w:r w:rsidR="00773680" w:rsidRPr="000265C8">
        <w:t xml:space="preserve">goods </w:t>
      </w:r>
      <w:r w:rsidR="007E6A61" w:rsidRPr="000265C8">
        <w:t xml:space="preserve">include </w:t>
      </w:r>
      <w:r w:rsidR="0006466C" w:rsidRPr="000265C8">
        <w:t xml:space="preserve">the </w:t>
      </w:r>
      <w:r w:rsidR="007E6A61" w:rsidRPr="000265C8">
        <w:t xml:space="preserve">non-pecuniary effects of education for individual students such as </w:t>
      </w:r>
      <w:r w:rsidR="00306974" w:rsidRPr="000265C8">
        <w:t>self</w:t>
      </w:r>
      <w:r w:rsidR="00F87D47" w:rsidRPr="000265C8">
        <w:t>-</w:t>
      </w:r>
      <w:r w:rsidR="00306974" w:rsidRPr="000265C8">
        <w:t>formation through</w:t>
      </w:r>
      <w:r w:rsidR="007E6A61" w:rsidRPr="000265C8">
        <w:t xml:space="preserve"> engagement in knowledge and the </w:t>
      </w:r>
      <w:r w:rsidR="00306974" w:rsidRPr="000265C8">
        <w:t>augmentation</w:t>
      </w:r>
      <w:r w:rsidR="007E6A61" w:rsidRPr="000265C8">
        <w:t xml:space="preserve"> of reflexive agency and sociability; and</w:t>
      </w:r>
      <w:r w:rsidR="00DA14D4" w:rsidRPr="000265C8">
        <w:t xml:space="preserve"> </w:t>
      </w:r>
      <w:r w:rsidR="003A722C" w:rsidRPr="000265C8">
        <w:t xml:space="preserve">the </w:t>
      </w:r>
      <w:r w:rsidR="007E6A61" w:rsidRPr="000265C8">
        <w:t xml:space="preserve">impacts </w:t>
      </w:r>
      <w:r w:rsidR="003A722C" w:rsidRPr="000265C8">
        <w:t xml:space="preserve">of the sector </w:t>
      </w:r>
      <w:r w:rsidR="007E6A61" w:rsidRPr="000265C8">
        <w:t xml:space="preserve">in collective social relations </w:t>
      </w:r>
      <w:r w:rsidR="00847FE1" w:rsidRPr="000265C8">
        <w:t>like</w:t>
      </w:r>
      <w:r w:rsidR="007E6A61" w:rsidRPr="000265C8">
        <w:t xml:space="preserve"> the </w:t>
      </w:r>
      <w:r w:rsidR="00847FE1" w:rsidRPr="000265C8">
        <w:t xml:space="preserve">population-wide </w:t>
      </w:r>
      <w:r w:rsidR="007E6A61" w:rsidRPr="000265C8">
        <w:t xml:space="preserve">fostering of literacy and technological capabilities, public health, compliance with law and </w:t>
      </w:r>
      <w:r w:rsidR="0006466C" w:rsidRPr="000265C8">
        <w:t xml:space="preserve">enhanced </w:t>
      </w:r>
      <w:r w:rsidR="007E6A61" w:rsidRPr="000265C8">
        <w:t>political connectedness</w:t>
      </w:r>
      <w:r w:rsidR="00DA14D4" w:rsidRPr="000265C8">
        <w:t xml:space="preserve">; tolerance of difference and </w:t>
      </w:r>
      <w:r w:rsidR="00DA14D4" w:rsidRPr="000265C8">
        <w:lastRenderedPageBreak/>
        <w:t xml:space="preserve">more </w:t>
      </w:r>
      <w:r w:rsidR="0006466C" w:rsidRPr="000265C8">
        <w:t>engaged</w:t>
      </w:r>
      <w:r w:rsidR="00DA14D4" w:rsidRPr="000265C8">
        <w:t xml:space="preserve"> international relations; economy-building and society-building in regions and cities</w:t>
      </w:r>
      <w:r w:rsidR="003A722C" w:rsidRPr="000265C8">
        <w:t>;</w:t>
      </w:r>
      <w:r w:rsidR="00DA14D4" w:rsidRPr="000265C8">
        <w:t xml:space="preserve"> and so on. </w:t>
      </w:r>
      <w:r w:rsidR="004715DB" w:rsidRPr="000265C8">
        <w:t xml:space="preserve">There is much research evidence in </w:t>
      </w:r>
      <w:r w:rsidR="008927DF" w:rsidRPr="000265C8">
        <w:t xml:space="preserve">all </w:t>
      </w:r>
      <w:r w:rsidR="004715DB" w:rsidRPr="000265C8">
        <w:t>these areas. But d</w:t>
      </w:r>
      <w:r w:rsidR="00306974" w:rsidRPr="000265C8">
        <w:t>espite episodic policy gestures to</w:t>
      </w:r>
      <w:r w:rsidRPr="000265C8">
        <w:t>wards</w:t>
      </w:r>
      <w:r w:rsidR="00306974" w:rsidRPr="000265C8">
        <w:t xml:space="preserve"> ill-defined ‘third stream’ or ‘engagement’</w:t>
      </w:r>
      <w:r w:rsidR="004715DB" w:rsidRPr="000265C8">
        <w:t>, Anglophone</w:t>
      </w:r>
      <w:r w:rsidR="00306974" w:rsidRPr="000265C8">
        <w:t xml:space="preserve"> </w:t>
      </w:r>
      <w:r w:rsidR="00DA14D4" w:rsidRPr="000265C8">
        <w:t>higher education institutions struggl</w:t>
      </w:r>
      <w:r w:rsidR="00306974" w:rsidRPr="000265C8">
        <w:t>e</w:t>
      </w:r>
      <w:r w:rsidR="00DA14D4" w:rsidRPr="000265C8">
        <w:t xml:space="preserve"> to </w:t>
      </w:r>
      <w:r w:rsidR="0006466C" w:rsidRPr="000265C8">
        <w:t xml:space="preserve">gain recognition for </w:t>
      </w:r>
      <w:r w:rsidR="00DA14D4" w:rsidRPr="000265C8">
        <w:t>their contribution</w:t>
      </w:r>
      <w:r w:rsidR="003A722C" w:rsidRPr="000265C8">
        <w:t>s</w:t>
      </w:r>
      <w:r w:rsidR="00DA14D4" w:rsidRPr="000265C8">
        <w:t xml:space="preserve"> to the public, common or </w:t>
      </w:r>
      <w:r w:rsidR="00847FE1" w:rsidRPr="000265C8">
        <w:t xml:space="preserve">collective </w:t>
      </w:r>
      <w:r w:rsidR="00DA14D4" w:rsidRPr="000265C8">
        <w:t>social dimension</w:t>
      </w:r>
      <w:r w:rsidR="00306974" w:rsidRPr="000265C8">
        <w:t>.</w:t>
      </w:r>
      <w:r w:rsidR="00DA14D4" w:rsidRPr="000265C8">
        <w:t xml:space="preserve"> </w:t>
      </w:r>
      <w:r w:rsidR="004715DB" w:rsidRPr="000265C8">
        <w:t>This almost certainly</w:t>
      </w:r>
      <w:r w:rsidR="003A722C" w:rsidRPr="000265C8">
        <w:t xml:space="preserve"> lead</w:t>
      </w:r>
      <w:r w:rsidR="004715DB" w:rsidRPr="000265C8">
        <w:t>s</w:t>
      </w:r>
      <w:r w:rsidR="003A722C" w:rsidRPr="000265C8">
        <w:t xml:space="preserve"> to under-provision.</w:t>
      </w:r>
      <w:r w:rsidR="00DA14D4" w:rsidRPr="000265C8">
        <w:t xml:space="preserve"> </w:t>
      </w:r>
    </w:p>
    <w:p w14:paraId="0F83E5D3" w14:textId="666F46E7" w:rsidR="0013068C" w:rsidRPr="000265C8" w:rsidRDefault="0058464C" w:rsidP="000265C8">
      <w:pPr>
        <w:spacing w:line="276" w:lineRule="auto"/>
        <w:ind w:firstLine="454"/>
      </w:pPr>
      <w:r w:rsidRPr="000265C8">
        <w:t>Th</w:t>
      </w:r>
      <w:r w:rsidR="00F807E0" w:rsidRPr="000265C8">
        <w:t xml:space="preserve">e </w:t>
      </w:r>
      <w:r w:rsidR="00143BA4" w:rsidRPr="000265C8">
        <w:t>present</w:t>
      </w:r>
      <w:r w:rsidR="00F807E0" w:rsidRPr="000265C8">
        <w:t xml:space="preserve"> paper is part</w:t>
      </w:r>
      <w:r w:rsidR="007511AA" w:rsidRPr="000265C8">
        <w:t xml:space="preserve"> </w:t>
      </w:r>
      <w:r w:rsidR="00BC00EA" w:rsidRPr="000265C8">
        <w:t>of a</w:t>
      </w:r>
      <w:r w:rsidR="004715DB" w:rsidRPr="000265C8">
        <w:t>n Economic and Social Research Council-supported</w:t>
      </w:r>
      <w:r w:rsidR="00BC00EA" w:rsidRPr="000265C8">
        <w:t xml:space="preserve"> </w:t>
      </w:r>
      <w:r w:rsidR="00B7317B" w:rsidRPr="000265C8">
        <w:t xml:space="preserve">cross-country </w:t>
      </w:r>
      <w:r w:rsidR="00BC00EA" w:rsidRPr="000265C8">
        <w:t xml:space="preserve">study </w:t>
      </w:r>
      <w:r w:rsidR="004715DB" w:rsidRPr="000265C8">
        <w:t xml:space="preserve">of </w:t>
      </w:r>
      <w:r w:rsidR="00143BA4" w:rsidRPr="000265C8">
        <w:t>approaches to the public good role of higher education</w:t>
      </w:r>
      <w:r w:rsidR="00B7317B" w:rsidRPr="000265C8">
        <w:t xml:space="preserve">. </w:t>
      </w:r>
      <w:r w:rsidR="004715DB" w:rsidRPr="000265C8">
        <w:t xml:space="preserve">Research has been conducted in Japan, China, South Korea, France, Finland, </w:t>
      </w:r>
      <w:proofErr w:type="gramStart"/>
      <w:r w:rsidR="004715DB" w:rsidRPr="000265C8">
        <w:t>UK</w:t>
      </w:r>
      <w:proofErr w:type="gramEnd"/>
      <w:r w:rsidR="004715DB" w:rsidRPr="000265C8">
        <w:t xml:space="preserve"> and Canada</w:t>
      </w:r>
      <w:r w:rsidR="00B7317B" w:rsidRPr="000265C8">
        <w:t xml:space="preserve"> </w:t>
      </w:r>
      <w:r w:rsidR="004715DB" w:rsidRPr="000265C8">
        <w:t xml:space="preserve">and there have been parallel studies in Poland, Chile, Australia and Russia. This paper reports on the UK study. </w:t>
      </w:r>
      <w:r w:rsidR="009B3737" w:rsidRPr="000265C8">
        <w:t>I first briefly review Anglophone political culture and notions of ‘public’</w:t>
      </w:r>
      <w:r w:rsidR="004715DB" w:rsidRPr="000265C8">
        <w:t>, t</w:t>
      </w:r>
      <w:r w:rsidR="009B3737" w:rsidRPr="000265C8">
        <w:t>hen outline the research underlying th</w:t>
      </w:r>
      <w:r w:rsidR="004715DB" w:rsidRPr="000265C8">
        <w:t>e</w:t>
      </w:r>
      <w:r w:rsidR="009B3737" w:rsidRPr="000265C8">
        <w:t xml:space="preserve"> paper</w:t>
      </w:r>
      <w:r w:rsidR="004715DB" w:rsidRPr="000265C8">
        <w:t xml:space="preserve">, then </w:t>
      </w:r>
      <w:r w:rsidR="009B3737" w:rsidRPr="000265C8">
        <w:t>move to the findings</w:t>
      </w:r>
      <w:r w:rsidR="00FC04C7" w:rsidRPr="000265C8">
        <w:t xml:space="preserve">. </w:t>
      </w:r>
      <w:r w:rsidR="004715DB" w:rsidRPr="000265C8">
        <w:t>C</w:t>
      </w:r>
      <w:r w:rsidR="009B3737" w:rsidRPr="000265C8">
        <w:t>onclusion</w:t>
      </w:r>
      <w:r w:rsidR="004715DB" w:rsidRPr="000265C8">
        <w:t>s</w:t>
      </w:r>
      <w:r w:rsidR="009B3737" w:rsidRPr="000265C8">
        <w:t xml:space="preserve"> follow. </w:t>
      </w:r>
    </w:p>
    <w:p w14:paraId="12551BA8" w14:textId="5BA0001E" w:rsidR="00314F21" w:rsidRPr="000265C8" w:rsidRDefault="004715DB" w:rsidP="000265C8">
      <w:pPr>
        <w:spacing w:line="276" w:lineRule="auto"/>
        <w:ind w:firstLine="454"/>
        <w:rPr>
          <w:rFonts w:cstheme="minorHAnsi"/>
        </w:rPr>
      </w:pPr>
      <w:r w:rsidRPr="000265C8">
        <w:rPr>
          <w:rFonts w:cstheme="minorHAnsi"/>
        </w:rPr>
        <w:t>As in any country,</w:t>
      </w:r>
      <w:r w:rsidR="00314F21" w:rsidRPr="000265C8">
        <w:rPr>
          <w:rFonts w:cstheme="minorHAnsi"/>
        </w:rPr>
        <w:t xml:space="preserve"> approaches to the public good role of higher education in UK</w:t>
      </w:r>
      <w:r w:rsidRPr="000265C8">
        <w:rPr>
          <w:rFonts w:cstheme="minorHAnsi"/>
        </w:rPr>
        <w:t xml:space="preserve"> </w:t>
      </w:r>
      <w:r w:rsidR="005557C9" w:rsidRPr="000265C8">
        <w:rPr>
          <w:rFonts w:cstheme="minorHAnsi"/>
        </w:rPr>
        <w:t>can only</w:t>
      </w:r>
      <w:r w:rsidR="00314F21" w:rsidRPr="000265C8">
        <w:rPr>
          <w:rFonts w:cstheme="minorHAnsi"/>
        </w:rPr>
        <w:t xml:space="preserve"> be understood in the context of </w:t>
      </w:r>
      <w:r w:rsidR="005557C9" w:rsidRPr="000265C8">
        <w:rPr>
          <w:rFonts w:cstheme="minorHAnsi"/>
        </w:rPr>
        <w:t xml:space="preserve">Anglophone political culture and higher education policy, including the </w:t>
      </w:r>
      <w:r w:rsidRPr="000265C8">
        <w:rPr>
          <w:rFonts w:cstheme="minorHAnsi"/>
        </w:rPr>
        <w:t xml:space="preserve">UK’s own </w:t>
      </w:r>
      <w:r w:rsidR="005557C9" w:rsidRPr="000265C8">
        <w:rPr>
          <w:rFonts w:cstheme="minorHAnsi"/>
        </w:rPr>
        <w:t xml:space="preserve">discursive history of public good in </w:t>
      </w:r>
      <w:r w:rsidRPr="000265C8">
        <w:rPr>
          <w:rFonts w:cstheme="minorHAnsi"/>
        </w:rPr>
        <w:t>higher education</w:t>
      </w:r>
      <w:r w:rsidR="005557C9" w:rsidRPr="000265C8">
        <w:rPr>
          <w:rFonts w:cstheme="minorHAnsi"/>
        </w:rPr>
        <w:t>.</w:t>
      </w:r>
      <w:r w:rsidR="00314F21" w:rsidRPr="000265C8">
        <w:rPr>
          <w:rFonts w:cstheme="minorHAnsi"/>
        </w:rPr>
        <w:t xml:space="preserve"> </w:t>
      </w:r>
    </w:p>
    <w:p w14:paraId="5A5DEF21" w14:textId="77777777" w:rsidR="00F36B68" w:rsidRPr="000265C8" w:rsidRDefault="00F36B68" w:rsidP="000265C8">
      <w:pPr>
        <w:spacing w:line="276" w:lineRule="auto"/>
        <w:rPr>
          <w:rFonts w:cstheme="minorHAnsi"/>
        </w:rPr>
      </w:pPr>
    </w:p>
    <w:p w14:paraId="02D98DAD" w14:textId="77777777" w:rsidR="00764351" w:rsidRPr="000265C8" w:rsidRDefault="00764351" w:rsidP="000265C8">
      <w:pPr>
        <w:spacing w:line="276" w:lineRule="auto"/>
        <w:rPr>
          <w:rFonts w:cstheme="minorHAnsi"/>
          <w:b/>
          <w:bCs/>
        </w:rPr>
      </w:pPr>
      <w:r w:rsidRPr="000265C8">
        <w:rPr>
          <w:rFonts w:cstheme="minorHAnsi"/>
          <w:b/>
          <w:bCs/>
        </w:rPr>
        <w:t>[Euro-American political cultures nor</w:t>
      </w:r>
      <w:r w:rsidRPr="000265C8">
        <w:rPr>
          <w:rFonts w:cstheme="minorHAnsi"/>
          <w:b/>
          <w:bCs/>
          <w:lang w:val="en-US"/>
        </w:rPr>
        <w:t>m</w:t>
      </w:r>
      <w:proofErr w:type="spellStart"/>
      <w:r w:rsidRPr="000265C8">
        <w:rPr>
          <w:rFonts w:cstheme="minorHAnsi"/>
          <w:b/>
          <w:bCs/>
        </w:rPr>
        <w:t>alise</w:t>
      </w:r>
      <w:proofErr w:type="spellEnd"/>
      <w:r w:rsidRPr="000265C8">
        <w:rPr>
          <w:rFonts w:cstheme="minorHAnsi"/>
          <w:b/>
          <w:bCs/>
        </w:rPr>
        <w:t xml:space="preserve"> a limited liberal state and divided powers]</w:t>
      </w:r>
    </w:p>
    <w:p w14:paraId="43ED5ABB" w14:textId="230B4818" w:rsidR="001470DE" w:rsidRPr="000265C8" w:rsidRDefault="005557C9" w:rsidP="000265C8">
      <w:pPr>
        <w:spacing w:line="276" w:lineRule="auto"/>
        <w:rPr>
          <w:rFonts w:cstheme="minorHAnsi"/>
          <w:color w:val="000000" w:themeColor="text1"/>
        </w:rPr>
      </w:pPr>
      <w:r w:rsidRPr="000265C8">
        <w:rPr>
          <w:rFonts w:cstheme="minorHAnsi"/>
        </w:rPr>
        <w:t xml:space="preserve">Anglophone political culture has much in common with other Euro-American </w:t>
      </w:r>
      <w:r w:rsidR="0075504B" w:rsidRPr="000265C8">
        <w:rPr>
          <w:rFonts w:cstheme="minorHAnsi"/>
        </w:rPr>
        <w:t xml:space="preserve">or </w:t>
      </w:r>
      <w:r w:rsidRPr="000265C8">
        <w:rPr>
          <w:rFonts w:cstheme="minorHAnsi"/>
        </w:rPr>
        <w:t xml:space="preserve">‘Western’ political cultures. </w:t>
      </w:r>
      <w:r w:rsidR="00F36B68" w:rsidRPr="000265C8">
        <w:rPr>
          <w:rFonts w:cstheme="minorHAnsi"/>
        </w:rPr>
        <w:t>Euro-American</w:t>
      </w:r>
      <w:r w:rsidR="00B7317B" w:rsidRPr="000265C8">
        <w:rPr>
          <w:rFonts w:cstheme="minorHAnsi"/>
        </w:rPr>
        <w:t xml:space="preserve"> governance is rooted in </w:t>
      </w:r>
      <w:r w:rsidR="0075504B" w:rsidRPr="000265C8">
        <w:rPr>
          <w:rFonts w:cstheme="minorHAnsi"/>
        </w:rPr>
        <w:t>multiple</w:t>
      </w:r>
      <w:r w:rsidR="00B7317B" w:rsidRPr="000265C8">
        <w:rPr>
          <w:rFonts w:cstheme="minorHAnsi"/>
        </w:rPr>
        <w:t xml:space="preserve"> </w:t>
      </w:r>
      <w:r w:rsidR="0075504B" w:rsidRPr="000265C8">
        <w:rPr>
          <w:rFonts w:cstheme="minorHAnsi"/>
        </w:rPr>
        <w:t>authority</w:t>
      </w:r>
      <w:r w:rsidR="00314F21" w:rsidRPr="000265C8">
        <w:rPr>
          <w:rFonts w:cstheme="minorHAnsi"/>
        </w:rPr>
        <w:t xml:space="preserve"> and </w:t>
      </w:r>
      <w:r w:rsidR="00F36B68" w:rsidRPr="000265C8">
        <w:rPr>
          <w:rFonts w:cstheme="minorHAnsi"/>
        </w:rPr>
        <w:t xml:space="preserve">relational </w:t>
      </w:r>
      <w:r w:rsidR="00314F21" w:rsidRPr="000265C8">
        <w:rPr>
          <w:rFonts w:cstheme="minorHAnsi"/>
        </w:rPr>
        <w:t>spaces partly outside the state</w:t>
      </w:r>
      <w:r w:rsidR="00B7317B" w:rsidRPr="000265C8">
        <w:rPr>
          <w:rFonts w:cstheme="minorHAnsi"/>
        </w:rPr>
        <w:t xml:space="preserve">. </w:t>
      </w:r>
      <w:r w:rsidR="00B7317B" w:rsidRPr="000265C8">
        <w:rPr>
          <w:rFonts w:cstheme="minorHAnsi"/>
          <w:color w:val="000000" w:themeColor="text1"/>
        </w:rPr>
        <w:t>Anglo</w:t>
      </w:r>
      <w:r w:rsidR="00F36B68" w:rsidRPr="000265C8">
        <w:rPr>
          <w:rFonts w:cstheme="minorHAnsi"/>
          <w:color w:val="000000" w:themeColor="text1"/>
        </w:rPr>
        <w:t>phone</w:t>
      </w:r>
      <w:r w:rsidR="00B7317B" w:rsidRPr="000265C8">
        <w:rPr>
          <w:rFonts w:cstheme="minorHAnsi"/>
          <w:color w:val="000000" w:themeColor="text1"/>
        </w:rPr>
        <w:t xml:space="preserve"> society </w:t>
      </w:r>
      <w:r w:rsidR="00BA0735" w:rsidRPr="000265C8">
        <w:rPr>
          <w:rFonts w:cstheme="minorHAnsi"/>
          <w:color w:val="000000" w:themeColor="text1"/>
        </w:rPr>
        <w:t xml:space="preserve">is </w:t>
      </w:r>
      <w:r w:rsidR="00B7317B" w:rsidRPr="000265C8">
        <w:rPr>
          <w:rFonts w:cstheme="minorHAnsi"/>
          <w:color w:val="000000" w:themeColor="text1"/>
        </w:rPr>
        <w:t>divide</w:t>
      </w:r>
      <w:r w:rsidR="00BA0735" w:rsidRPr="000265C8">
        <w:rPr>
          <w:rFonts w:cstheme="minorHAnsi"/>
          <w:color w:val="000000" w:themeColor="text1"/>
        </w:rPr>
        <w:t>d</w:t>
      </w:r>
      <w:r w:rsidR="00B7317B" w:rsidRPr="000265C8">
        <w:rPr>
          <w:rFonts w:cstheme="minorHAnsi"/>
          <w:color w:val="000000" w:themeColor="text1"/>
        </w:rPr>
        <w:t xml:space="preserve"> between government-as-state with coercive powers</w:t>
      </w:r>
      <w:r w:rsidR="00E47213" w:rsidRPr="000265C8">
        <w:rPr>
          <w:rFonts w:cstheme="minorHAnsi"/>
          <w:color w:val="000000" w:themeColor="text1"/>
        </w:rPr>
        <w:t xml:space="preserve">, often </w:t>
      </w:r>
      <w:r w:rsidR="004E1205" w:rsidRPr="000265C8">
        <w:rPr>
          <w:rFonts w:cstheme="minorHAnsi"/>
          <w:color w:val="000000" w:themeColor="text1"/>
        </w:rPr>
        <w:t>potent</w:t>
      </w:r>
      <w:r w:rsidR="00E47213" w:rsidRPr="000265C8">
        <w:rPr>
          <w:rFonts w:cstheme="minorHAnsi"/>
          <w:color w:val="000000" w:themeColor="text1"/>
        </w:rPr>
        <w:t xml:space="preserve"> within its limits</w:t>
      </w:r>
      <w:r w:rsidR="00B7317B" w:rsidRPr="000265C8">
        <w:rPr>
          <w:rFonts w:cstheme="minorHAnsi"/>
          <w:color w:val="000000" w:themeColor="text1"/>
        </w:rPr>
        <w:t xml:space="preserve">; the economic market; civil society </w:t>
      </w:r>
      <w:r w:rsidR="0075504B" w:rsidRPr="000265C8">
        <w:rPr>
          <w:rFonts w:cstheme="minorHAnsi"/>
          <w:color w:val="000000" w:themeColor="text1"/>
        </w:rPr>
        <w:t>in</w:t>
      </w:r>
      <w:r w:rsidR="00FD2C2E" w:rsidRPr="000265C8">
        <w:rPr>
          <w:rFonts w:cstheme="minorHAnsi"/>
          <w:color w:val="000000" w:themeColor="text1"/>
        </w:rPr>
        <w:t xml:space="preserve"> a</w:t>
      </w:r>
      <w:r w:rsidR="00B7317B" w:rsidRPr="000265C8">
        <w:rPr>
          <w:rFonts w:cstheme="minorHAnsi"/>
          <w:color w:val="000000" w:themeColor="text1"/>
        </w:rPr>
        <w:t xml:space="preserve"> variable relation </w:t>
      </w:r>
      <w:r w:rsidR="00FD2C2E" w:rsidRPr="000265C8">
        <w:rPr>
          <w:rFonts w:cstheme="minorHAnsi"/>
          <w:color w:val="000000" w:themeColor="text1"/>
        </w:rPr>
        <w:t>to</w:t>
      </w:r>
      <w:r w:rsidR="00B7317B" w:rsidRPr="000265C8">
        <w:rPr>
          <w:rFonts w:cstheme="minorHAnsi"/>
          <w:color w:val="000000" w:themeColor="text1"/>
        </w:rPr>
        <w:t xml:space="preserve"> the state; and </w:t>
      </w:r>
      <w:r w:rsidR="00806EAC" w:rsidRPr="000265C8">
        <w:rPr>
          <w:rFonts w:cstheme="minorHAnsi"/>
          <w:color w:val="000000" w:themeColor="text1"/>
        </w:rPr>
        <w:t xml:space="preserve">the </w:t>
      </w:r>
      <w:r w:rsidR="00B7317B" w:rsidRPr="000265C8">
        <w:rPr>
          <w:rFonts w:cstheme="minorHAnsi"/>
          <w:color w:val="000000" w:themeColor="text1"/>
        </w:rPr>
        <w:t xml:space="preserve">individual with </w:t>
      </w:r>
      <w:r w:rsidR="0075504B" w:rsidRPr="000265C8">
        <w:rPr>
          <w:rFonts w:cstheme="minorHAnsi"/>
          <w:color w:val="000000" w:themeColor="text1"/>
        </w:rPr>
        <w:t xml:space="preserve">an </w:t>
      </w:r>
      <w:r w:rsidR="00B7317B" w:rsidRPr="000265C8">
        <w:rPr>
          <w:rFonts w:cstheme="minorHAnsi"/>
          <w:color w:val="000000" w:themeColor="text1"/>
        </w:rPr>
        <w:t xml:space="preserve">ill-defined normative primacy. </w:t>
      </w:r>
      <w:r w:rsidR="00806EAC" w:rsidRPr="000265C8">
        <w:rPr>
          <w:rFonts w:cstheme="minorHAnsi"/>
          <w:color w:val="000000" w:themeColor="text1"/>
        </w:rPr>
        <w:t xml:space="preserve">The state </w:t>
      </w:r>
      <w:r w:rsidR="00E47213" w:rsidRPr="000265C8">
        <w:rPr>
          <w:rFonts w:cstheme="minorHAnsi"/>
          <w:color w:val="000000" w:themeColor="text1"/>
        </w:rPr>
        <w:t xml:space="preserve">is </w:t>
      </w:r>
      <w:r w:rsidR="00806EAC" w:rsidRPr="000265C8">
        <w:rPr>
          <w:rFonts w:cstheme="minorHAnsi"/>
          <w:color w:val="000000" w:themeColor="text1"/>
        </w:rPr>
        <w:t>divide</w:t>
      </w:r>
      <w:r w:rsidR="00E47213" w:rsidRPr="000265C8">
        <w:rPr>
          <w:rFonts w:cstheme="minorHAnsi"/>
          <w:color w:val="000000" w:themeColor="text1"/>
        </w:rPr>
        <w:t>d</w:t>
      </w:r>
      <w:r w:rsidR="00806EAC" w:rsidRPr="000265C8">
        <w:rPr>
          <w:rFonts w:cstheme="minorHAnsi"/>
          <w:color w:val="000000" w:themeColor="text1"/>
        </w:rPr>
        <w:t xml:space="preserve"> between executive, </w:t>
      </w:r>
      <w:proofErr w:type="gramStart"/>
      <w:r w:rsidR="00806EAC" w:rsidRPr="000265C8">
        <w:rPr>
          <w:rFonts w:cstheme="minorHAnsi"/>
          <w:color w:val="000000" w:themeColor="text1"/>
        </w:rPr>
        <w:t>legislature</w:t>
      </w:r>
      <w:proofErr w:type="gramEnd"/>
      <w:r w:rsidR="00806EAC" w:rsidRPr="000265C8">
        <w:rPr>
          <w:rFonts w:cstheme="minorHAnsi"/>
          <w:color w:val="000000" w:themeColor="text1"/>
        </w:rPr>
        <w:t xml:space="preserve"> and judiciary.</w:t>
      </w:r>
      <w:r w:rsidR="00E47213" w:rsidRPr="000265C8">
        <w:rPr>
          <w:rFonts w:cstheme="minorHAnsi"/>
          <w:color w:val="000000" w:themeColor="text1"/>
        </w:rPr>
        <w:t xml:space="preserve"> The boundaries between the state and other sectors are </w:t>
      </w:r>
      <w:r w:rsidR="0075504B" w:rsidRPr="000265C8">
        <w:rPr>
          <w:rFonts w:cstheme="minorHAnsi"/>
          <w:color w:val="000000" w:themeColor="text1"/>
        </w:rPr>
        <w:t xml:space="preserve">often </w:t>
      </w:r>
      <w:r w:rsidR="00E47213" w:rsidRPr="000265C8">
        <w:rPr>
          <w:rFonts w:cstheme="minorHAnsi"/>
          <w:color w:val="000000" w:themeColor="text1"/>
        </w:rPr>
        <w:t>tense and contested.</w:t>
      </w:r>
      <w:r w:rsidR="001E2432" w:rsidRPr="000265C8">
        <w:rPr>
          <w:rFonts w:cstheme="minorHAnsi"/>
          <w:color w:val="000000" w:themeColor="text1"/>
        </w:rPr>
        <w:t xml:space="preserve"> </w:t>
      </w:r>
      <w:r w:rsidR="0075504B" w:rsidRPr="000265C8">
        <w:rPr>
          <w:rFonts w:cstheme="minorHAnsi"/>
          <w:color w:val="000000" w:themeColor="text1"/>
        </w:rPr>
        <w:t>T</w:t>
      </w:r>
      <w:r w:rsidR="001470DE" w:rsidRPr="000265C8">
        <w:rPr>
          <w:rFonts w:cstheme="minorHAnsi"/>
          <w:color w:val="000000" w:themeColor="text1"/>
        </w:rPr>
        <w:t xml:space="preserve">he medieval university </w:t>
      </w:r>
      <w:r w:rsidR="00FD2C2E" w:rsidRPr="000265C8">
        <w:rPr>
          <w:rFonts w:cstheme="minorHAnsi"/>
          <w:color w:val="000000" w:themeColor="text1"/>
        </w:rPr>
        <w:t>evolved</w:t>
      </w:r>
      <w:r w:rsidR="001470DE" w:rsidRPr="000265C8">
        <w:rPr>
          <w:rFonts w:cstheme="minorHAnsi"/>
          <w:color w:val="000000" w:themeColor="text1"/>
        </w:rPr>
        <w:t xml:space="preserve"> </w:t>
      </w:r>
      <w:r w:rsidR="00806EAC" w:rsidRPr="000265C8">
        <w:rPr>
          <w:rFonts w:cstheme="minorHAnsi"/>
          <w:color w:val="000000" w:themeColor="text1"/>
        </w:rPr>
        <w:t xml:space="preserve">with partial autonomy </w:t>
      </w:r>
      <w:r w:rsidR="001470DE" w:rsidRPr="000265C8">
        <w:rPr>
          <w:rFonts w:cstheme="minorHAnsi"/>
          <w:color w:val="000000" w:themeColor="text1"/>
        </w:rPr>
        <w:t xml:space="preserve">between church and state, </w:t>
      </w:r>
      <w:r w:rsidR="00866213" w:rsidRPr="000265C8">
        <w:rPr>
          <w:rFonts w:cstheme="minorHAnsi"/>
          <w:color w:val="000000" w:themeColor="text1"/>
        </w:rPr>
        <w:t xml:space="preserve">creating </w:t>
      </w:r>
      <w:r w:rsidR="001470DE" w:rsidRPr="000265C8">
        <w:rPr>
          <w:rFonts w:cstheme="minorHAnsi"/>
          <w:color w:val="000000" w:themeColor="text1"/>
        </w:rPr>
        <w:t xml:space="preserve">space for </w:t>
      </w:r>
      <w:proofErr w:type="spellStart"/>
      <w:r w:rsidR="004E1205" w:rsidRPr="000265C8">
        <w:rPr>
          <w:rFonts w:cstheme="minorHAnsi"/>
          <w:color w:val="000000" w:themeColor="text1"/>
        </w:rPr>
        <w:t>univeralising</w:t>
      </w:r>
      <w:proofErr w:type="spellEnd"/>
      <w:r w:rsidR="004E1205" w:rsidRPr="000265C8">
        <w:rPr>
          <w:rFonts w:cstheme="minorHAnsi"/>
          <w:color w:val="000000" w:themeColor="text1"/>
        </w:rPr>
        <w:t xml:space="preserve"> </w:t>
      </w:r>
      <w:r w:rsidR="001470DE" w:rsidRPr="000265C8">
        <w:rPr>
          <w:rFonts w:cstheme="minorHAnsi"/>
          <w:color w:val="000000" w:themeColor="text1"/>
        </w:rPr>
        <w:t xml:space="preserve">scholarship and later for science. When modern government </w:t>
      </w:r>
      <w:r w:rsidR="00021B05" w:rsidRPr="000265C8">
        <w:rPr>
          <w:rFonts w:cstheme="minorHAnsi"/>
          <w:color w:val="000000" w:themeColor="text1"/>
        </w:rPr>
        <w:t xml:space="preserve">moved to </w:t>
      </w:r>
      <w:r w:rsidR="0075504B" w:rsidRPr="000265C8">
        <w:rPr>
          <w:rFonts w:cstheme="minorHAnsi"/>
          <w:color w:val="000000" w:themeColor="text1"/>
        </w:rPr>
        <w:t>build</w:t>
      </w:r>
      <w:r w:rsidR="00021B05" w:rsidRPr="000265C8">
        <w:rPr>
          <w:rFonts w:cstheme="minorHAnsi"/>
          <w:color w:val="000000" w:themeColor="text1"/>
        </w:rPr>
        <w:t xml:space="preserve"> </w:t>
      </w:r>
      <w:r w:rsidR="00866213" w:rsidRPr="000265C8">
        <w:rPr>
          <w:rFonts w:cstheme="minorHAnsi"/>
          <w:color w:val="000000" w:themeColor="text1"/>
        </w:rPr>
        <w:t>higher education</w:t>
      </w:r>
      <w:r w:rsidR="00021B05" w:rsidRPr="000265C8">
        <w:rPr>
          <w:rFonts w:cstheme="minorHAnsi"/>
          <w:color w:val="000000" w:themeColor="text1"/>
        </w:rPr>
        <w:t xml:space="preserve"> </w:t>
      </w:r>
      <w:r w:rsidR="0075504B" w:rsidRPr="000265C8">
        <w:rPr>
          <w:rFonts w:cstheme="minorHAnsi"/>
          <w:color w:val="000000" w:themeColor="text1"/>
        </w:rPr>
        <w:t xml:space="preserve">systems </w:t>
      </w:r>
      <w:r w:rsidR="00021B05" w:rsidRPr="000265C8">
        <w:rPr>
          <w:rFonts w:cstheme="minorHAnsi"/>
          <w:color w:val="000000" w:themeColor="text1"/>
        </w:rPr>
        <w:t xml:space="preserve">and regulate </w:t>
      </w:r>
      <w:r w:rsidR="0075504B" w:rsidRPr="000265C8">
        <w:rPr>
          <w:rFonts w:cstheme="minorHAnsi"/>
          <w:color w:val="000000" w:themeColor="text1"/>
        </w:rPr>
        <w:t>institutional</w:t>
      </w:r>
      <w:r w:rsidR="00021B05" w:rsidRPr="000265C8">
        <w:rPr>
          <w:rFonts w:cstheme="minorHAnsi"/>
          <w:color w:val="000000" w:themeColor="text1"/>
        </w:rPr>
        <w:t xml:space="preserve"> autonomy</w:t>
      </w:r>
      <w:r w:rsidR="00E47213" w:rsidRPr="000265C8">
        <w:rPr>
          <w:rFonts w:cstheme="minorHAnsi"/>
          <w:color w:val="000000" w:themeColor="text1"/>
        </w:rPr>
        <w:t>,</w:t>
      </w:r>
      <w:r w:rsidR="00866213" w:rsidRPr="000265C8">
        <w:rPr>
          <w:rFonts w:cstheme="minorHAnsi"/>
          <w:color w:val="000000" w:themeColor="text1"/>
        </w:rPr>
        <w:t xml:space="preserve"> </w:t>
      </w:r>
      <w:r w:rsidR="00021B05" w:rsidRPr="000265C8">
        <w:rPr>
          <w:rFonts w:cstheme="minorHAnsi"/>
          <w:color w:val="000000" w:themeColor="text1"/>
        </w:rPr>
        <w:t xml:space="preserve">the </w:t>
      </w:r>
      <w:r w:rsidR="0075504B" w:rsidRPr="000265C8">
        <w:rPr>
          <w:rFonts w:cstheme="minorHAnsi"/>
          <w:color w:val="000000" w:themeColor="text1"/>
        </w:rPr>
        <w:t>universities</w:t>
      </w:r>
      <w:r w:rsidR="001470DE" w:rsidRPr="000265C8">
        <w:rPr>
          <w:rFonts w:cstheme="minorHAnsi"/>
          <w:color w:val="000000" w:themeColor="text1"/>
        </w:rPr>
        <w:t xml:space="preserve"> </w:t>
      </w:r>
      <w:r w:rsidR="00021B05" w:rsidRPr="000265C8">
        <w:rPr>
          <w:rFonts w:cstheme="minorHAnsi"/>
          <w:color w:val="000000" w:themeColor="text1"/>
        </w:rPr>
        <w:t xml:space="preserve">referenced </w:t>
      </w:r>
      <w:r w:rsidR="001470DE" w:rsidRPr="000265C8">
        <w:rPr>
          <w:rFonts w:cstheme="minorHAnsi"/>
          <w:color w:val="000000" w:themeColor="text1"/>
        </w:rPr>
        <w:t>the Humboldtian ideal</w:t>
      </w:r>
      <w:r w:rsidR="00866213" w:rsidRPr="000265C8">
        <w:rPr>
          <w:rFonts w:cstheme="minorHAnsi"/>
          <w:color w:val="000000" w:themeColor="text1"/>
        </w:rPr>
        <w:t xml:space="preserve">, in which the university served the state </w:t>
      </w:r>
      <w:proofErr w:type="gramStart"/>
      <w:r w:rsidR="00866213" w:rsidRPr="000265C8">
        <w:rPr>
          <w:rFonts w:cstheme="minorHAnsi"/>
          <w:color w:val="000000" w:themeColor="text1"/>
        </w:rPr>
        <w:t>on the basis of</w:t>
      </w:r>
      <w:proofErr w:type="gramEnd"/>
      <w:r w:rsidR="00866213" w:rsidRPr="000265C8">
        <w:rPr>
          <w:rFonts w:cstheme="minorHAnsi"/>
          <w:color w:val="000000" w:themeColor="text1"/>
        </w:rPr>
        <w:t xml:space="preserve"> freedom to teach, learn and research</w:t>
      </w:r>
      <w:r w:rsidR="001E2432" w:rsidRPr="000265C8">
        <w:rPr>
          <w:rFonts w:cstheme="minorHAnsi"/>
          <w:color w:val="000000" w:themeColor="text1"/>
        </w:rPr>
        <w:t>.</w:t>
      </w:r>
      <w:r w:rsidR="001470DE" w:rsidRPr="000265C8">
        <w:rPr>
          <w:rFonts w:cstheme="minorHAnsi"/>
          <w:color w:val="000000" w:themeColor="text1"/>
        </w:rPr>
        <w:t xml:space="preserve"> </w:t>
      </w:r>
    </w:p>
    <w:p w14:paraId="2EBDC24D" w14:textId="77777777" w:rsidR="00846F55" w:rsidRPr="000265C8" w:rsidRDefault="00846F55" w:rsidP="000265C8">
      <w:pPr>
        <w:spacing w:line="276" w:lineRule="auto"/>
        <w:rPr>
          <w:rFonts w:cstheme="minorHAnsi"/>
          <w:color w:val="000000" w:themeColor="text1"/>
        </w:rPr>
      </w:pPr>
    </w:p>
    <w:p w14:paraId="6E31BD5A" w14:textId="287C8E0E" w:rsidR="00846F55" w:rsidRPr="000265C8" w:rsidRDefault="00846F55" w:rsidP="000265C8">
      <w:pPr>
        <w:spacing w:line="276" w:lineRule="auto"/>
        <w:rPr>
          <w:rFonts w:cstheme="minorHAnsi"/>
          <w:color w:val="000000" w:themeColor="text1"/>
        </w:rPr>
      </w:pPr>
      <w:r w:rsidRPr="000265C8">
        <w:rPr>
          <w:rFonts w:cstheme="minorHAnsi"/>
          <w:color w:val="000000" w:themeColor="text1"/>
        </w:rPr>
        <w:t>[</w:t>
      </w:r>
      <w:r w:rsidRPr="000265C8">
        <w:rPr>
          <w:rFonts w:cstheme="minorHAnsi"/>
          <w:b/>
          <w:bCs/>
          <w:color w:val="000000" w:themeColor="text1"/>
        </w:rPr>
        <w:t>Despite the four nations UK remains a highly centralised and top-down monarchical political system, especially in England</w:t>
      </w:r>
      <w:r w:rsidRPr="000265C8">
        <w:rPr>
          <w:rFonts w:cstheme="minorHAnsi"/>
          <w:color w:val="000000" w:themeColor="text1"/>
        </w:rPr>
        <w:t>]</w:t>
      </w:r>
    </w:p>
    <w:p w14:paraId="42B7C0F2" w14:textId="5256FCEC" w:rsidR="00227020" w:rsidRPr="000265C8" w:rsidRDefault="00227020" w:rsidP="000265C8">
      <w:pPr>
        <w:spacing w:line="276" w:lineRule="auto"/>
        <w:rPr>
          <w:rFonts w:ascii="Calibri" w:hAnsi="Calibri" w:cs="Calibri"/>
        </w:rPr>
      </w:pPr>
      <w:r w:rsidRPr="000265C8">
        <w:rPr>
          <w:rFonts w:cstheme="minorHAnsi"/>
          <w:color w:val="000000" w:themeColor="text1"/>
        </w:rPr>
        <w:t>Within the Anglophone group, t</w:t>
      </w:r>
      <w:r w:rsidR="0075504B" w:rsidRPr="000265C8">
        <w:rPr>
          <w:rFonts w:ascii="Calibri" w:hAnsi="Calibri" w:cs="Calibri"/>
        </w:rPr>
        <w:t>h</w:t>
      </w:r>
      <w:r w:rsidRPr="000265C8">
        <w:rPr>
          <w:rFonts w:ascii="Calibri" w:hAnsi="Calibri" w:cs="Calibri"/>
        </w:rPr>
        <w:t xml:space="preserve">e UK is a constitutional monarchy governed by top-down sovereignty, which was transferred from monarch to parliament after the seventeenth century civil war. It is not governed by </w:t>
      </w:r>
      <w:proofErr w:type="gramStart"/>
      <w:r w:rsidRPr="000265C8">
        <w:rPr>
          <w:rFonts w:ascii="Calibri" w:hAnsi="Calibri" w:cs="Calibri"/>
        </w:rPr>
        <w:t>bottom up</w:t>
      </w:r>
      <w:proofErr w:type="gramEnd"/>
      <w:r w:rsidRPr="000265C8">
        <w:rPr>
          <w:rFonts w:ascii="Calibri" w:hAnsi="Calibri" w:cs="Calibri"/>
        </w:rPr>
        <w:t xml:space="preserve"> sovereignty from below, as in some European polities. </w:t>
      </w:r>
      <w:proofErr w:type="gramStart"/>
      <w:r w:rsidRPr="000265C8">
        <w:rPr>
          <w:rFonts w:ascii="Calibri" w:hAnsi="Calibri" w:cs="Calibri"/>
        </w:rPr>
        <w:t>Again</w:t>
      </w:r>
      <w:proofErr w:type="gramEnd"/>
      <w:r w:rsidRPr="000265C8">
        <w:rPr>
          <w:rFonts w:ascii="Calibri" w:hAnsi="Calibri" w:cs="Calibri"/>
        </w:rPr>
        <w:t xml:space="preserve"> unlike many European democracies, but akin to the two-party US, the ‘winner take all’ electoral system favour</w:t>
      </w:r>
      <w:r w:rsidR="0075504B" w:rsidRPr="000265C8">
        <w:rPr>
          <w:rFonts w:ascii="Calibri" w:hAnsi="Calibri" w:cs="Calibri"/>
        </w:rPr>
        <w:t>s</w:t>
      </w:r>
      <w:r w:rsidRPr="000265C8">
        <w:rPr>
          <w:rFonts w:ascii="Calibri" w:hAnsi="Calibri" w:cs="Calibri"/>
        </w:rPr>
        <w:t xml:space="preserve"> single party government. Politics is dominated by prime minister and cabinet. Public administration is centralised in Westminster. Government is essentially controlled by the Treasury which leads social as well as economic policy. In this highly centralised system a coherent policy approach to the public good</w:t>
      </w:r>
      <w:r w:rsidR="0075504B" w:rsidRPr="000265C8">
        <w:rPr>
          <w:rFonts w:ascii="Calibri" w:hAnsi="Calibri" w:cs="Calibri"/>
        </w:rPr>
        <w:t>, or its obviation,</w:t>
      </w:r>
      <w:r w:rsidRPr="000265C8">
        <w:rPr>
          <w:rFonts w:ascii="Calibri" w:hAnsi="Calibri" w:cs="Calibri"/>
        </w:rPr>
        <w:t xml:space="preserve"> </w:t>
      </w:r>
      <w:r w:rsidR="0075504B" w:rsidRPr="000265C8">
        <w:rPr>
          <w:rFonts w:ascii="Calibri" w:hAnsi="Calibri" w:cs="Calibri"/>
        </w:rPr>
        <w:t>can be</w:t>
      </w:r>
      <w:r w:rsidRPr="000265C8">
        <w:rPr>
          <w:rFonts w:ascii="Calibri" w:hAnsi="Calibri" w:cs="Calibri"/>
        </w:rPr>
        <w:t xml:space="preserve"> readily shaped </w:t>
      </w:r>
      <w:r w:rsidR="0075504B" w:rsidRPr="000265C8">
        <w:rPr>
          <w:rFonts w:ascii="Calibri" w:hAnsi="Calibri" w:cs="Calibri"/>
        </w:rPr>
        <w:t>and administered consistently across departments</w:t>
      </w:r>
      <w:r w:rsidRPr="000265C8">
        <w:rPr>
          <w:rFonts w:ascii="Calibri" w:hAnsi="Calibri" w:cs="Calibri"/>
        </w:rPr>
        <w:t xml:space="preserve">. </w:t>
      </w:r>
    </w:p>
    <w:p w14:paraId="0529A9E7" w14:textId="77777777" w:rsidR="001470DE" w:rsidRPr="000265C8" w:rsidRDefault="001470DE" w:rsidP="000265C8">
      <w:pPr>
        <w:spacing w:line="276" w:lineRule="auto"/>
        <w:rPr>
          <w:rFonts w:cstheme="minorHAnsi"/>
          <w:color w:val="000000" w:themeColor="text1"/>
        </w:rPr>
      </w:pPr>
    </w:p>
    <w:p w14:paraId="38D266C5" w14:textId="0A8C9FC0" w:rsidR="00846F55" w:rsidRPr="000265C8" w:rsidRDefault="00846F55" w:rsidP="000265C8">
      <w:pPr>
        <w:spacing w:line="276" w:lineRule="auto"/>
        <w:rPr>
          <w:rFonts w:cstheme="minorHAnsi"/>
          <w:b/>
          <w:bCs/>
          <w:color w:val="000000" w:themeColor="text1"/>
        </w:rPr>
      </w:pPr>
      <w:r w:rsidRPr="000265C8">
        <w:rPr>
          <w:rFonts w:cstheme="minorHAnsi"/>
          <w:b/>
          <w:bCs/>
          <w:color w:val="000000" w:themeColor="text1"/>
        </w:rPr>
        <w:t>[The conceptual toolbox: Anglophone ideas of ‘public’ and ‘private’]</w:t>
      </w:r>
    </w:p>
    <w:p w14:paraId="7602FF2C" w14:textId="05B1F608" w:rsidR="007A0470" w:rsidRPr="000265C8" w:rsidRDefault="0075504B" w:rsidP="000265C8">
      <w:pPr>
        <w:spacing w:line="276" w:lineRule="auto"/>
        <w:rPr>
          <w:rFonts w:cstheme="minorHAnsi"/>
          <w:color w:val="000000" w:themeColor="text1"/>
        </w:rPr>
      </w:pPr>
      <w:r w:rsidRPr="000265C8">
        <w:rPr>
          <w:rFonts w:cstheme="minorHAnsi"/>
          <w:color w:val="000000" w:themeColor="text1"/>
        </w:rPr>
        <w:lastRenderedPageBreak/>
        <w:t>T</w:t>
      </w:r>
      <w:r w:rsidR="007A644E" w:rsidRPr="000265C8">
        <w:rPr>
          <w:rFonts w:cstheme="minorHAnsi"/>
          <w:color w:val="000000" w:themeColor="text1"/>
        </w:rPr>
        <w:t>he English-speaking discourse of ‘public’</w:t>
      </w:r>
      <w:r w:rsidR="004E1205" w:rsidRPr="000265C8">
        <w:rPr>
          <w:rFonts w:cstheme="minorHAnsi"/>
          <w:color w:val="000000" w:themeColor="text1"/>
        </w:rPr>
        <w:t>,</w:t>
      </w:r>
      <w:r w:rsidR="007A644E" w:rsidRPr="000265C8">
        <w:rPr>
          <w:rFonts w:cstheme="minorHAnsi"/>
          <w:color w:val="000000" w:themeColor="text1"/>
        </w:rPr>
        <w:t xml:space="preserve"> and the pairing and contrasting of public and ‘private’</w:t>
      </w:r>
      <w:r w:rsidR="004E1205" w:rsidRPr="000265C8">
        <w:rPr>
          <w:rFonts w:cstheme="minorHAnsi"/>
          <w:color w:val="000000" w:themeColor="text1"/>
        </w:rPr>
        <w:t>,</w:t>
      </w:r>
      <w:r w:rsidR="007A644E" w:rsidRPr="000265C8">
        <w:rPr>
          <w:rFonts w:cstheme="minorHAnsi"/>
          <w:color w:val="000000" w:themeColor="text1"/>
        </w:rPr>
        <w:t xml:space="preserve"> </w:t>
      </w:r>
      <w:r w:rsidRPr="000265C8">
        <w:rPr>
          <w:rFonts w:cstheme="minorHAnsi"/>
          <w:color w:val="000000" w:themeColor="text1"/>
        </w:rPr>
        <w:t>exhibits</w:t>
      </w:r>
      <w:r w:rsidR="007A644E" w:rsidRPr="000265C8">
        <w:rPr>
          <w:rFonts w:cstheme="minorHAnsi"/>
          <w:color w:val="000000" w:themeColor="text1"/>
        </w:rPr>
        <w:t xml:space="preserve"> multiple, </w:t>
      </w:r>
      <w:proofErr w:type="gramStart"/>
      <w:r w:rsidR="007A644E" w:rsidRPr="000265C8">
        <w:rPr>
          <w:rFonts w:cstheme="minorHAnsi"/>
          <w:color w:val="000000" w:themeColor="text1"/>
        </w:rPr>
        <w:t>diverse</w:t>
      </w:r>
      <w:proofErr w:type="gramEnd"/>
      <w:r w:rsidR="007A644E" w:rsidRPr="000265C8">
        <w:rPr>
          <w:rFonts w:cstheme="minorHAnsi"/>
          <w:color w:val="000000" w:themeColor="text1"/>
        </w:rPr>
        <w:t xml:space="preserve"> and confusing</w:t>
      </w:r>
      <w:r w:rsidRPr="000265C8">
        <w:rPr>
          <w:rFonts w:cstheme="minorHAnsi"/>
          <w:color w:val="000000" w:themeColor="text1"/>
        </w:rPr>
        <w:t xml:space="preserve"> meanings</w:t>
      </w:r>
      <w:r w:rsidR="007A644E" w:rsidRPr="000265C8">
        <w:rPr>
          <w:rFonts w:cstheme="minorHAnsi"/>
          <w:color w:val="000000" w:themeColor="text1"/>
        </w:rPr>
        <w:t xml:space="preserve">. </w:t>
      </w:r>
      <w:r w:rsidR="00DD08D5" w:rsidRPr="000265C8">
        <w:rPr>
          <w:rFonts w:cstheme="minorHAnsi"/>
          <w:color w:val="000000" w:themeColor="text1"/>
        </w:rPr>
        <w:t xml:space="preserve">The Shorter Oxford dictionary entry under the term ‘public’ is 45 centimetres long. </w:t>
      </w:r>
      <w:r w:rsidRPr="000265C8">
        <w:rPr>
          <w:rFonts w:cstheme="minorHAnsi"/>
          <w:color w:val="000000" w:themeColor="text1"/>
        </w:rPr>
        <w:t>T</w:t>
      </w:r>
      <w:r w:rsidR="0098387E" w:rsidRPr="000265C8">
        <w:rPr>
          <w:rFonts w:cstheme="minorHAnsi"/>
          <w:color w:val="000000" w:themeColor="text1"/>
        </w:rPr>
        <w:t xml:space="preserve">hree </w:t>
      </w:r>
      <w:r w:rsidR="00DD08D5" w:rsidRPr="000265C8">
        <w:rPr>
          <w:rFonts w:cstheme="minorHAnsi"/>
          <w:color w:val="000000" w:themeColor="text1"/>
        </w:rPr>
        <w:t xml:space="preserve">meanings </w:t>
      </w:r>
      <w:r w:rsidRPr="000265C8">
        <w:rPr>
          <w:rFonts w:cstheme="minorHAnsi"/>
          <w:color w:val="000000" w:themeColor="text1"/>
        </w:rPr>
        <w:t xml:space="preserve">are </w:t>
      </w:r>
      <w:r w:rsidR="0098387E" w:rsidRPr="000265C8">
        <w:rPr>
          <w:rFonts w:cstheme="minorHAnsi"/>
          <w:color w:val="000000" w:themeColor="text1"/>
        </w:rPr>
        <w:t>primary:</w:t>
      </w:r>
      <w:r w:rsidR="007A644E" w:rsidRPr="000265C8">
        <w:rPr>
          <w:rFonts w:cstheme="minorHAnsi"/>
          <w:color w:val="000000" w:themeColor="text1"/>
        </w:rPr>
        <w:t xml:space="preserve"> </w:t>
      </w:r>
      <w:r w:rsidR="000B20F9" w:rsidRPr="000265C8">
        <w:rPr>
          <w:rFonts w:cstheme="minorHAnsi"/>
          <w:color w:val="000000" w:themeColor="text1"/>
        </w:rPr>
        <w:t xml:space="preserve">(1) the normative notion of a shared </w:t>
      </w:r>
      <w:r w:rsidR="00DD08D5" w:rsidRPr="000265C8">
        <w:rPr>
          <w:rFonts w:cstheme="minorHAnsi"/>
          <w:color w:val="000000" w:themeColor="text1"/>
        </w:rPr>
        <w:t>or</w:t>
      </w:r>
      <w:r w:rsidR="000B20F9" w:rsidRPr="000265C8">
        <w:rPr>
          <w:rFonts w:cstheme="minorHAnsi"/>
          <w:color w:val="000000" w:themeColor="text1"/>
        </w:rPr>
        <w:t xml:space="preserve"> universal beneficence across the whole social realm, as in ‘the public good’; (2) public as a descriptive adjective, not excluding private, that signifies open and inclusive social relations</w:t>
      </w:r>
      <w:r w:rsidR="001E2432" w:rsidRPr="000265C8">
        <w:rPr>
          <w:rFonts w:cstheme="minorHAnsi"/>
          <w:color w:val="000000" w:themeColor="text1"/>
        </w:rPr>
        <w:t>, as in ‘public opinion’</w:t>
      </w:r>
      <w:r w:rsidR="000B20F9" w:rsidRPr="000265C8">
        <w:rPr>
          <w:rFonts w:cstheme="minorHAnsi"/>
          <w:color w:val="000000" w:themeColor="text1"/>
        </w:rPr>
        <w:t xml:space="preserve">; </w:t>
      </w:r>
      <w:r w:rsidR="001E2432" w:rsidRPr="000265C8">
        <w:rPr>
          <w:rFonts w:cstheme="minorHAnsi"/>
          <w:color w:val="000000" w:themeColor="text1"/>
        </w:rPr>
        <w:t xml:space="preserve">and </w:t>
      </w:r>
      <w:r w:rsidR="0098387E" w:rsidRPr="000265C8">
        <w:rPr>
          <w:rFonts w:cstheme="minorHAnsi"/>
          <w:color w:val="000000" w:themeColor="text1"/>
        </w:rPr>
        <w:t>(</w:t>
      </w:r>
      <w:r w:rsidR="000B20F9" w:rsidRPr="000265C8">
        <w:rPr>
          <w:rFonts w:cstheme="minorHAnsi"/>
          <w:color w:val="000000" w:themeColor="text1"/>
        </w:rPr>
        <w:t>3</w:t>
      </w:r>
      <w:r w:rsidR="0098387E" w:rsidRPr="000265C8">
        <w:rPr>
          <w:rFonts w:cstheme="minorHAnsi"/>
          <w:color w:val="000000" w:themeColor="text1"/>
        </w:rPr>
        <w:t xml:space="preserve">) </w:t>
      </w:r>
      <w:r w:rsidR="007A644E" w:rsidRPr="000265C8">
        <w:rPr>
          <w:rFonts w:cstheme="minorHAnsi"/>
          <w:color w:val="000000" w:themeColor="text1"/>
        </w:rPr>
        <w:t>the dualistic pairing of public with private as an analytical device</w:t>
      </w:r>
      <w:r w:rsidR="0098387E" w:rsidRPr="000265C8">
        <w:rPr>
          <w:rFonts w:cstheme="minorHAnsi"/>
          <w:color w:val="000000" w:themeColor="text1"/>
        </w:rPr>
        <w:t xml:space="preserve">, </w:t>
      </w:r>
      <w:r w:rsidR="000B20F9" w:rsidRPr="000265C8">
        <w:rPr>
          <w:rFonts w:cstheme="minorHAnsi"/>
          <w:color w:val="000000" w:themeColor="text1"/>
        </w:rPr>
        <w:t xml:space="preserve">so </w:t>
      </w:r>
      <w:r w:rsidRPr="000265C8">
        <w:rPr>
          <w:rFonts w:cstheme="minorHAnsi"/>
          <w:color w:val="000000" w:themeColor="text1"/>
        </w:rPr>
        <w:t>they</w:t>
      </w:r>
      <w:r w:rsidR="000B20F9" w:rsidRPr="000265C8">
        <w:rPr>
          <w:rFonts w:cstheme="minorHAnsi"/>
          <w:color w:val="000000" w:themeColor="text1"/>
        </w:rPr>
        <w:t xml:space="preserve"> constitute </w:t>
      </w:r>
      <w:r w:rsidR="0098387E" w:rsidRPr="000265C8">
        <w:rPr>
          <w:rFonts w:cstheme="minorHAnsi"/>
          <w:color w:val="000000" w:themeColor="text1"/>
        </w:rPr>
        <w:t>zero-sum</w:t>
      </w:r>
      <w:r w:rsidR="007A644E" w:rsidRPr="000265C8">
        <w:rPr>
          <w:rFonts w:cstheme="minorHAnsi"/>
          <w:color w:val="000000" w:themeColor="text1"/>
        </w:rPr>
        <w:t xml:space="preserve"> </w:t>
      </w:r>
      <w:r w:rsidR="00293B92" w:rsidRPr="000265C8">
        <w:rPr>
          <w:rFonts w:cstheme="minorHAnsi"/>
          <w:color w:val="000000" w:themeColor="text1"/>
        </w:rPr>
        <w:t>parts</w:t>
      </w:r>
      <w:r w:rsidR="007A644E" w:rsidRPr="000265C8">
        <w:rPr>
          <w:rFonts w:cstheme="minorHAnsi"/>
          <w:color w:val="000000" w:themeColor="text1"/>
        </w:rPr>
        <w:t xml:space="preserve"> of a whol</w:t>
      </w:r>
      <w:r w:rsidR="0098387E" w:rsidRPr="000265C8">
        <w:rPr>
          <w:rFonts w:cstheme="minorHAnsi"/>
          <w:color w:val="000000" w:themeColor="text1"/>
        </w:rPr>
        <w:t>e</w:t>
      </w:r>
      <w:r w:rsidR="000B20F9" w:rsidRPr="000265C8">
        <w:rPr>
          <w:rFonts w:cstheme="minorHAnsi"/>
          <w:color w:val="000000" w:themeColor="text1"/>
        </w:rPr>
        <w:t>.</w:t>
      </w:r>
      <w:r w:rsidR="007A644E" w:rsidRPr="000265C8">
        <w:rPr>
          <w:rFonts w:cstheme="minorHAnsi"/>
          <w:color w:val="000000" w:themeColor="text1"/>
        </w:rPr>
        <w:t xml:space="preserve"> </w:t>
      </w:r>
    </w:p>
    <w:p w14:paraId="65173019" w14:textId="77777777" w:rsidR="00DD08D5" w:rsidRPr="000265C8" w:rsidRDefault="00DD08D5" w:rsidP="000265C8">
      <w:pPr>
        <w:spacing w:line="276" w:lineRule="auto"/>
        <w:rPr>
          <w:rFonts w:cstheme="minorHAnsi"/>
          <w:color w:val="000000" w:themeColor="text1"/>
        </w:rPr>
      </w:pPr>
    </w:p>
    <w:p w14:paraId="613199F5" w14:textId="759D1909" w:rsidR="00DD08D5" w:rsidRPr="000265C8" w:rsidRDefault="00DD08D5" w:rsidP="000265C8">
      <w:pPr>
        <w:spacing w:line="276" w:lineRule="auto"/>
        <w:rPr>
          <w:rFonts w:cstheme="minorHAnsi"/>
          <w:b/>
          <w:bCs/>
          <w:color w:val="000000" w:themeColor="text1"/>
        </w:rPr>
      </w:pPr>
      <w:r w:rsidRPr="000265C8">
        <w:rPr>
          <w:rFonts w:cstheme="minorHAnsi"/>
          <w:b/>
          <w:bCs/>
          <w:color w:val="000000" w:themeColor="text1"/>
        </w:rPr>
        <w:t>[</w:t>
      </w:r>
      <w:r w:rsidRPr="000265C8">
        <w:rPr>
          <w:rFonts w:cstheme="minorHAnsi"/>
          <w:b/>
          <w:bCs/>
          <w:color w:val="000000" w:themeColor="text1"/>
          <w:lang w:val="en-US"/>
        </w:rPr>
        <w:t xml:space="preserve">Public vs. private good (zero-sum </w:t>
      </w:r>
      <w:r w:rsidRPr="000265C8">
        <w:rPr>
          <w:rFonts w:cstheme="minorHAnsi"/>
          <w:b/>
          <w:bCs/>
          <w:color w:val="000000" w:themeColor="text1"/>
        </w:rPr>
        <w:t>relation</w:t>
      </w:r>
      <w:r w:rsidRPr="000265C8">
        <w:rPr>
          <w:rFonts w:cstheme="minorHAnsi"/>
          <w:b/>
          <w:bCs/>
          <w:color w:val="000000" w:themeColor="text1"/>
          <w:lang w:val="en-US"/>
        </w:rPr>
        <w:t>)</w:t>
      </w:r>
      <w:r w:rsidRPr="000265C8">
        <w:rPr>
          <w:rFonts w:cstheme="minorHAnsi"/>
          <w:b/>
          <w:bCs/>
          <w:color w:val="000000" w:themeColor="text1"/>
        </w:rPr>
        <w:t>]</w:t>
      </w:r>
    </w:p>
    <w:p w14:paraId="7D34CE57" w14:textId="21A56572" w:rsidR="007A644E" w:rsidRPr="000265C8" w:rsidRDefault="007A0470" w:rsidP="000265C8">
      <w:pPr>
        <w:spacing w:line="276" w:lineRule="auto"/>
        <w:rPr>
          <w:rFonts w:cstheme="minorHAnsi"/>
          <w:color w:val="000000" w:themeColor="text1"/>
        </w:rPr>
      </w:pPr>
      <w:r w:rsidRPr="000265C8">
        <w:rPr>
          <w:rFonts w:cstheme="minorHAnsi"/>
          <w:color w:val="000000" w:themeColor="text1"/>
        </w:rPr>
        <w:t xml:space="preserve">The </w:t>
      </w:r>
      <w:r w:rsidRPr="000265C8">
        <w:t xml:space="preserve">private/public </w:t>
      </w:r>
      <w:r w:rsidRPr="000265C8">
        <w:rPr>
          <w:rFonts w:cstheme="minorHAnsi"/>
          <w:color w:val="000000" w:themeColor="text1"/>
        </w:rPr>
        <w:t>dualism takes two forms</w:t>
      </w:r>
      <w:r w:rsidR="00DD08D5" w:rsidRPr="000265C8">
        <w:rPr>
          <w:rFonts w:cstheme="minorHAnsi"/>
          <w:color w:val="000000" w:themeColor="text1"/>
        </w:rPr>
        <w:t xml:space="preserve"> that are sometimes rather crudely combined</w:t>
      </w:r>
      <w:r w:rsidRPr="000265C8">
        <w:rPr>
          <w:rFonts w:cstheme="minorHAnsi"/>
          <w:color w:val="000000" w:themeColor="text1"/>
        </w:rPr>
        <w:t xml:space="preserve">. In one, the political meaning, ‘public’ refers to government or state, as in ‘public sector’, distinct from the private home, family, economic </w:t>
      </w:r>
      <w:proofErr w:type="gramStart"/>
      <w:r w:rsidRPr="000265C8">
        <w:rPr>
          <w:rFonts w:cstheme="minorHAnsi"/>
          <w:color w:val="000000" w:themeColor="text1"/>
        </w:rPr>
        <w:t>market</w:t>
      </w:r>
      <w:proofErr w:type="gramEnd"/>
      <w:r w:rsidRPr="000265C8">
        <w:rPr>
          <w:rFonts w:cstheme="minorHAnsi"/>
          <w:color w:val="000000" w:themeColor="text1"/>
        </w:rPr>
        <w:t xml:space="preserve"> and corporation – for example a national, state or public university is distinguished by its legal ownership from a private university. </w:t>
      </w:r>
      <w:r w:rsidR="00163CF0" w:rsidRPr="000265C8">
        <w:rPr>
          <w:rFonts w:cstheme="minorHAnsi"/>
          <w:color w:val="000000" w:themeColor="text1"/>
        </w:rPr>
        <w:t xml:space="preserve">The other meaning is </w:t>
      </w:r>
      <w:r w:rsidR="0075504B" w:rsidRPr="000265C8">
        <w:rPr>
          <w:rFonts w:cstheme="minorHAnsi"/>
          <w:color w:val="000000" w:themeColor="text1"/>
        </w:rPr>
        <w:t>the economic notion of a zero-sum split between the private market domain, the dominant and favoured domain, and the public non-market domain</w:t>
      </w:r>
      <w:r w:rsidR="00DD08D5" w:rsidRPr="000265C8">
        <w:rPr>
          <w:rFonts w:cstheme="minorHAnsi"/>
          <w:color w:val="000000" w:themeColor="text1"/>
        </w:rPr>
        <w:t xml:space="preserve">, which is the state and perhaps also </w:t>
      </w:r>
      <w:proofErr w:type="gramStart"/>
      <w:r w:rsidR="00DD08D5" w:rsidRPr="000265C8">
        <w:rPr>
          <w:rFonts w:cstheme="minorHAnsi"/>
          <w:color w:val="000000" w:themeColor="text1"/>
        </w:rPr>
        <w:t>non market</w:t>
      </w:r>
      <w:proofErr w:type="gramEnd"/>
      <w:r w:rsidR="00DD08D5" w:rsidRPr="000265C8">
        <w:rPr>
          <w:rFonts w:cstheme="minorHAnsi"/>
          <w:color w:val="000000" w:themeColor="text1"/>
        </w:rPr>
        <w:t xml:space="preserve"> civil society</w:t>
      </w:r>
      <w:r w:rsidR="00163CF0" w:rsidRPr="000265C8">
        <w:rPr>
          <w:rFonts w:cstheme="minorHAnsi"/>
          <w:color w:val="000000" w:themeColor="text1"/>
        </w:rPr>
        <w:t xml:space="preserve">. </w:t>
      </w:r>
      <w:r w:rsidR="0075504B" w:rsidRPr="000265C8">
        <w:rPr>
          <w:rFonts w:cstheme="minorHAnsi"/>
          <w:color w:val="000000" w:themeColor="text1"/>
        </w:rPr>
        <w:t>T</w:t>
      </w:r>
      <w:r w:rsidR="001E2432" w:rsidRPr="000265C8">
        <w:rPr>
          <w:rFonts w:cstheme="minorHAnsi"/>
          <w:color w:val="000000" w:themeColor="text1"/>
        </w:rPr>
        <w:t xml:space="preserve">he more that higher education is understood as ‘private’, the less it is understood as ‘public’, and vice versa. </w:t>
      </w:r>
    </w:p>
    <w:p w14:paraId="0B4F0338" w14:textId="77777777" w:rsidR="00A63A76" w:rsidRPr="000265C8" w:rsidRDefault="00A63A76" w:rsidP="000265C8">
      <w:pPr>
        <w:spacing w:line="276" w:lineRule="auto"/>
        <w:rPr>
          <w:rFonts w:cstheme="minorHAnsi"/>
          <w:color w:val="000000" w:themeColor="text1"/>
        </w:rPr>
      </w:pPr>
    </w:p>
    <w:p w14:paraId="1C3F96D7" w14:textId="2ECDF105" w:rsidR="00A67B2F" w:rsidRPr="000265C8" w:rsidRDefault="00A67B2F" w:rsidP="000265C8">
      <w:pPr>
        <w:spacing w:line="276" w:lineRule="auto"/>
        <w:rPr>
          <w:b/>
          <w:bCs/>
        </w:rPr>
      </w:pPr>
      <w:r w:rsidRPr="000265C8">
        <w:rPr>
          <w:b/>
          <w:bCs/>
        </w:rPr>
        <w:t>[The UK case study]</w:t>
      </w:r>
    </w:p>
    <w:p w14:paraId="2557D711" w14:textId="16F3A64D" w:rsidR="0082697F" w:rsidRPr="000265C8" w:rsidRDefault="00C312E4" w:rsidP="000265C8">
      <w:pPr>
        <w:spacing w:line="276" w:lineRule="auto"/>
      </w:pPr>
      <w:r w:rsidRPr="000265C8">
        <w:t>The UK study i</w:t>
      </w:r>
      <w:r w:rsidR="00B93AF2" w:rsidRPr="000265C8">
        <w:t>nclude</w:t>
      </w:r>
      <w:r w:rsidRPr="000265C8">
        <w:t>d</w:t>
      </w:r>
      <w:r w:rsidR="00B93AF2" w:rsidRPr="000265C8">
        <w:t xml:space="preserve"> review of </w:t>
      </w:r>
      <w:r w:rsidR="0075504B" w:rsidRPr="000265C8">
        <w:t xml:space="preserve">a small number of major </w:t>
      </w:r>
      <w:r w:rsidR="00B93AF2" w:rsidRPr="000265C8">
        <w:t>policy reports</w:t>
      </w:r>
      <w:r w:rsidR="0082697F" w:rsidRPr="000265C8">
        <w:t xml:space="preserve">, </w:t>
      </w:r>
      <w:r w:rsidR="00B93AF2" w:rsidRPr="000265C8">
        <w:t>and data from 24 semi-structured interviews</w:t>
      </w:r>
      <w:r w:rsidR="00163CF0" w:rsidRPr="000265C8">
        <w:t>.</w:t>
      </w:r>
      <w:r w:rsidR="00B93AF2" w:rsidRPr="000265C8">
        <w:t xml:space="preserve"> </w:t>
      </w:r>
      <w:r w:rsidR="00163CF0" w:rsidRPr="000265C8">
        <w:t>There were 13 interviews in universities (six in a London-based global research university</w:t>
      </w:r>
      <w:r w:rsidR="00FC04C7" w:rsidRPr="000265C8">
        <w:t>,</w:t>
      </w:r>
      <w:r w:rsidR="00163CF0" w:rsidRPr="000265C8">
        <w:t xml:space="preserve"> seven in a provincial research university not in the Russell Group), and 11 other interviews, including four current or former policy makers and/or regulators, three leaders of national organisation</w:t>
      </w:r>
      <w:r w:rsidR="00FC04C7" w:rsidRPr="000265C8">
        <w:t>s</w:t>
      </w:r>
      <w:r w:rsidR="00163CF0" w:rsidRPr="000265C8">
        <w:t>, one journalist in national media</w:t>
      </w:r>
      <w:r w:rsidR="00FC04C7" w:rsidRPr="000265C8">
        <w:t>,</w:t>
      </w:r>
      <w:r w:rsidR="00163CF0" w:rsidRPr="000265C8">
        <w:t xml:space="preserve"> and four academic experts on the topic. </w:t>
      </w:r>
      <w:r w:rsidR="00FC04C7" w:rsidRPr="000265C8">
        <w:t xml:space="preserve">(One person was in two of these categories). </w:t>
      </w:r>
      <w:r w:rsidR="00163CF0" w:rsidRPr="000265C8">
        <w:rPr>
          <w:rFonts w:cstheme="minorHAnsi"/>
        </w:rPr>
        <w:t>The study incorporated a strong bias towards England within the UK. All 13 university personnel were England based</w:t>
      </w:r>
      <w:r w:rsidR="00FC04C7" w:rsidRPr="000265C8">
        <w:rPr>
          <w:rFonts w:cstheme="minorHAnsi"/>
        </w:rPr>
        <w:t>, and</w:t>
      </w:r>
      <w:r w:rsidR="00163CF0" w:rsidRPr="000265C8">
        <w:rPr>
          <w:rFonts w:cstheme="minorHAnsi"/>
        </w:rPr>
        <w:t xml:space="preserve"> </w:t>
      </w:r>
      <w:r w:rsidR="00FC04C7" w:rsidRPr="000265C8">
        <w:rPr>
          <w:rFonts w:cstheme="minorHAnsi"/>
        </w:rPr>
        <w:t>while t</w:t>
      </w:r>
      <w:r w:rsidR="00163CF0" w:rsidRPr="000265C8">
        <w:rPr>
          <w:rFonts w:cstheme="minorHAnsi"/>
        </w:rPr>
        <w:t xml:space="preserve">he other 11 interviewees had a UK </w:t>
      </w:r>
      <w:r w:rsidR="00FC04C7" w:rsidRPr="000265C8">
        <w:rPr>
          <w:rFonts w:cstheme="minorHAnsi"/>
        </w:rPr>
        <w:t>wide</w:t>
      </w:r>
      <w:r w:rsidR="00163CF0" w:rsidRPr="000265C8">
        <w:rPr>
          <w:rFonts w:cstheme="minorHAnsi"/>
        </w:rPr>
        <w:t xml:space="preserve"> remit </w:t>
      </w:r>
      <w:r w:rsidR="00FC04C7" w:rsidRPr="000265C8">
        <w:rPr>
          <w:rFonts w:cstheme="minorHAnsi"/>
        </w:rPr>
        <w:t>all but one</w:t>
      </w:r>
      <w:r w:rsidR="00163CF0" w:rsidRPr="000265C8">
        <w:rPr>
          <w:rFonts w:cstheme="minorHAnsi"/>
        </w:rPr>
        <w:t xml:space="preserve"> 10 worked in England.</w:t>
      </w:r>
    </w:p>
    <w:p w14:paraId="00AA75D5" w14:textId="77777777" w:rsidR="0082697F" w:rsidRPr="000265C8" w:rsidRDefault="0082697F" w:rsidP="000265C8">
      <w:pPr>
        <w:spacing w:line="276" w:lineRule="auto"/>
      </w:pPr>
    </w:p>
    <w:p w14:paraId="7B65B7C0" w14:textId="77777777" w:rsidR="00B24D1B" w:rsidRPr="000265C8" w:rsidRDefault="00B24D1B" w:rsidP="000265C8">
      <w:pPr>
        <w:spacing w:line="276" w:lineRule="auto"/>
        <w:rPr>
          <w:b/>
          <w:bCs/>
        </w:rPr>
      </w:pPr>
      <w:r w:rsidRPr="000265C8">
        <w:rPr>
          <w:b/>
          <w:bCs/>
        </w:rPr>
        <w:t>[Significant policy reports]</w:t>
      </w:r>
    </w:p>
    <w:p w14:paraId="023FC647" w14:textId="6677440A" w:rsidR="00227020" w:rsidRPr="000265C8" w:rsidRDefault="00C312E4" w:rsidP="000265C8">
      <w:pPr>
        <w:spacing w:line="276" w:lineRule="auto"/>
      </w:pPr>
      <w:r w:rsidRPr="000265C8">
        <w:t>We look</w:t>
      </w:r>
      <w:r w:rsidR="00FC04C7" w:rsidRPr="000265C8">
        <w:t>ed</w:t>
      </w:r>
      <w:r w:rsidRPr="000265C8">
        <w:t xml:space="preserve"> at </w:t>
      </w:r>
      <w:r w:rsidR="00A67B2F" w:rsidRPr="000265C8">
        <w:t>the landmark reports by</w:t>
      </w:r>
      <w:r w:rsidRPr="000265C8">
        <w:t xml:space="preserve"> Robins 1963, Dearing </w:t>
      </w:r>
      <w:proofErr w:type="gramStart"/>
      <w:r w:rsidRPr="000265C8">
        <w:t>1997</w:t>
      </w:r>
      <w:proofErr w:type="gramEnd"/>
      <w:r w:rsidR="00227020" w:rsidRPr="000265C8">
        <w:t xml:space="preserve"> and Browne 2010. </w:t>
      </w:r>
      <w:r w:rsidR="00743B13" w:rsidRPr="000265C8">
        <w:t xml:space="preserve">Most policy reports do not matter much, but in the highly centralised English sector some take on great importance. </w:t>
      </w:r>
      <w:r w:rsidR="00227020" w:rsidRPr="000265C8">
        <w:t xml:space="preserve">The question </w:t>
      </w:r>
      <w:r w:rsidR="00FC04C7" w:rsidRPr="000265C8">
        <w:t>was,</w:t>
      </w:r>
      <w:r w:rsidR="00227020" w:rsidRPr="000265C8">
        <w:t xml:space="preserve"> what did the reports say about higher education and public good, or public goods</w:t>
      </w:r>
      <w:r w:rsidR="00173E87" w:rsidRPr="000265C8">
        <w:t>?</w:t>
      </w:r>
      <w:r w:rsidR="00227020" w:rsidRPr="000265C8">
        <w:t xml:space="preserve"> To bring the discussion up to the present we added the </w:t>
      </w:r>
      <w:proofErr w:type="spellStart"/>
      <w:r w:rsidR="00227020" w:rsidRPr="000265C8">
        <w:t>Augar</w:t>
      </w:r>
      <w:proofErr w:type="spellEnd"/>
      <w:r w:rsidR="00227020" w:rsidRPr="000265C8">
        <w:t xml:space="preserve"> report</w:t>
      </w:r>
      <w:r w:rsidR="00FC04C7" w:rsidRPr="000265C8">
        <w:t xml:space="preserve"> </w:t>
      </w:r>
      <w:r w:rsidR="00227020" w:rsidRPr="000265C8">
        <w:t xml:space="preserve">of 2019, less of a watershed but </w:t>
      </w:r>
      <w:r w:rsidR="00743B13" w:rsidRPr="000265C8">
        <w:t>again,</w:t>
      </w:r>
      <w:r w:rsidR="00227020" w:rsidRPr="000265C8">
        <w:t xml:space="preserve"> a window into the </w:t>
      </w:r>
      <w:r w:rsidR="00173E87" w:rsidRPr="000265C8">
        <w:t xml:space="preserve">mind </w:t>
      </w:r>
      <w:r w:rsidR="00227020" w:rsidRPr="000265C8">
        <w:t xml:space="preserve">of government. </w:t>
      </w:r>
    </w:p>
    <w:p w14:paraId="1480C64F" w14:textId="282A1EAA" w:rsidR="0003646F" w:rsidRPr="000265C8" w:rsidRDefault="0003646F" w:rsidP="000265C8">
      <w:pPr>
        <w:spacing w:line="276" w:lineRule="auto"/>
        <w:ind w:firstLine="454"/>
        <w:rPr>
          <w:rFonts w:ascii="Calibri" w:hAnsi="Calibri" w:cs="Calibri"/>
          <w:kern w:val="0"/>
        </w:rPr>
      </w:pPr>
      <w:r w:rsidRPr="000265C8">
        <w:rPr>
          <w:rFonts w:cstheme="minorHAnsi"/>
          <w:kern w:val="0"/>
        </w:rPr>
        <w:t>Through all political regimes, from the welfare state of</w:t>
      </w:r>
      <w:r w:rsidRPr="000265C8">
        <w:rPr>
          <w:rFonts w:ascii="Calibri" w:hAnsi="Calibri" w:cs="Calibri"/>
          <w:b/>
          <w:bCs/>
        </w:rPr>
        <w:t xml:space="preserve"> </w:t>
      </w:r>
      <w:r w:rsidRPr="000265C8">
        <w:rPr>
          <w:rFonts w:cstheme="minorHAnsi"/>
          <w:kern w:val="0"/>
        </w:rPr>
        <w:t xml:space="preserve">1945–1975 to the high capitalism of the neoliberal era, the educational, </w:t>
      </w:r>
      <w:proofErr w:type="gramStart"/>
      <w:r w:rsidRPr="000265C8">
        <w:rPr>
          <w:rFonts w:cstheme="minorHAnsi"/>
          <w:kern w:val="0"/>
        </w:rPr>
        <w:t>social</w:t>
      </w:r>
      <w:proofErr w:type="gramEnd"/>
      <w:r w:rsidRPr="000265C8">
        <w:rPr>
          <w:rFonts w:cstheme="minorHAnsi"/>
          <w:kern w:val="0"/>
        </w:rPr>
        <w:t xml:space="preserve"> and economic weight of UK higher education has continued to grow, unevenly, but the shaping discourses and </w:t>
      </w:r>
      <w:r w:rsidRPr="000265C8">
        <w:rPr>
          <w:rFonts w:ascii="Calibri" w:hAnsi="Calibri" w:cs="Calibri"/>
          <w:kern w:val="0"/>
        </w:rPr>
        <w:t>rationales</w:t>
      </w:r>
      <w:r w:rsidR="00FC04C7" w:rsidRPr="000265C8">
        <w:rPr>
          <w:rFonts w:ascii="Calibri" w:hAnsi="Calibri" w:cs="Calibri"/>
          <w:kern w:val="0"/>
        </w:rPr>
        <w:t xml:space="preserve"> </w:t>
      </w:r>
      <w:r w:rsidRPr="000265C8">
        <w:rPr>
          <w:rFonts w:ascii="Calibri" w:hAnsi="Calibri" w:cs="Calibri"/>
          <w:kern w:val="0"/>
        </w:rPr>
        <w:t xml:space="preserve">have changed. </w:t>
      </w:r>
      <w:r w:rsidR="00FC04C7" w:rsidRPr="000265C8">
        <w:rPr>
          <w:rFonts w:ascii="Calibri" w:hAnsi="Calibri" w:cs="Calibri"/>
          <w:kern w:val="0"/>
        </w:rPr>
        <w:t>Nevertheless, o</w:t>
      </w:r>
      <w:r w:rsidRPr="000265C8">
        <w:rPr>
          <w:rFonts w:ascii="Calibri" w:hAnsi="Calibri" w:cs="Calibri"/>
          <w:kern w:val="0"/>
        </w:rPr>
        <w:t>ne constant is that ‘public good’ and ‘public goods’ appear in none of the major policy reports. The term ‘public’ is used sparing, mostly to refer to government funding</w:t>
      </w:r>
      <w:r w:rsidR="00FC04C7" w:rsidRPr="000265C8">
        <w:rPr>
          <w:rFonts w:ascii="Calibri" w:hAnsi="Calibri" w:cs="Calibri"/>
          <w:kern w:val="0"/>
        </w:rPr>
        <w:t>,</w:t>
      </w:r>
      <w:r w:rsidRPr="000265C8">
        <w:rPr>
          <w:rFonts w:ascii="Calibri" w:hAnsi="Calibri" w:cs="Calibri"/>
          <w:kern w:val="0"/>
        </w:rPr>
        <w:t xml:space="preserve"> or the communicative inclusive public, or the state as locus of the public interest. </w:t>
      </w:r>
    </w:p>
    <w:p w14:paraId="2B448FDB" w14:textId="77777777" w:rsidR="0003646F" w:rsidRPr="000265C8" w:rsidRDefault="0003646F" w:rsidP="000265C8">
      <w:pPr>
        <w:spacing w:line="276" w:lineRule="auto"/>
        <w:rPr>
          <w:rFonts w:ascii="Calibri" w:hAnsi="Calibri" w:cs="Calibri"/>
          <w:kern w:val="0"/>
        </w:rPr>
      </w:pPr>
    </w:p>
    <w:p w14:paraId="004F7F28" w14:textId="2EFC8F99" w:rsidR="0003646F" w:rsidRPr="000265C8" w:rsidRDefault="00B24D1B" w:rsidP="000265C8">
      <w:pPr>
        <w:spacing w:line="276" w:lineRule="auto"/>
        <w:rPr>
          <w:rFonts w:ascii="Calibri" w:hAnsi="Calibri" w:cs="Calibri"/>
          <w:b/>
          <w:bCs/>
          <w:kern w:val="0"/>
        </w:rPr>
      </w:pPr>
      <w:r w:rsidRPr="000265C8">
        <w:rPr>
          <w:rFonts w:ascii="Calibri" w:hAnsi="Calibri" w:cs="Calibri"/>
          <w:b/>
          <w:bCs/>
          <w:kern w:val="0"/>
        </w:rPr>
        <w:lastRenderedPageBreak/>
        <w:t>[</w:t>
      </w:r>
      <w:r w:rsidR="0003646F" w:rsidRPr="000265C8">
        <w:rPr>
          <w:rFonts w:ascii="Calibri" w:hAnsi="Calibri" w:cs="Calibri"/>
          <w:b/>
          <w:bCs/>
          <w:kern w:val="0"/>
        </w:rPr>
        <w:t>Robbins 1963</w:t>
      </w:r>
      <w:r w:rsidRPr="000265C8">
        <w:rPr>
          <w:rFonts w:ascii="Calibri" w:hAnsi="Calibri" w:cs="Calibri"/>
          <w:b/>
          <w:bCs/>
          <w:kern w:val="0"/>
        </w:rPr>
        <w:t>]</w:t>
      </w:r>
    </w:p>
    <w:p w14:paraId="2FF83654" w14:textId="2F4D0C79" w:rsidR="0003646F" w:rsidRPr="000265C8" w:rsidRDefault="0003646F" w:rsidP="000265C8">
      <w:pPr>
        <w:spacing w:line="276" w:lineRule="auto"/>
        <w:rPr>
          <w:rFonts w:ascii="Calibri" w:hAnsi="Calibri" w:cs="Calibri"/>
          <w:kern w:val="0"/>
        </w:rPr>
      </w:pPr>
      <w:r w:rsidRPr="000265C8">
        <w:rPr>
          <w:rFonts w:ascii="Calibri" w:hAnsi="Calibri" w:cs="Calibri"/>
          <w:kern w:val="0"/>
        </w:rPr>
        <w:t>The Robbins Report normalised the socially inclusive principle that all qualified students who aspired to higher education should be able to enter, which ignited a latent idealism even at Treasury</w:t>
      </w:r>
      <w:r w:rsidR="00173E87" w:rsidRPr="000265C8">
        <w:rPr>
          <w:rFonts w:ascii="Calibri" w:hAnsi="Calibri" w:cs="Calibri"/>
          <w:kern w:val="0"/>
        </w:rPr>
        <w:t>.</w:t>
      </w:r>
      <w:r w:rsidRPr="000265C8">
        <w:rPr>
          <w:rFonts w:ascii="Calibri" w:hAnsi="Calibri" w:cs="Calibri"/>
          <w:kern w:val="0"/>
        </w:rPr>
        <w:t xml:space="preserve"> The principle of growth driven from below </w:t>
      </w:r>
      <w:r w:rsidR="00173E87" w:rsidRPr="000265C8">
        <w:rPr>
          <w:rFonts w:ascii="Calibri" w:hAnsi="Calibri" w:cs="Calibri"/>
          <w:kern w:val="0"/>
        </w:rPr>
        <w:t xml:space="preserve">became </w:t>
      </w:r>
      <w:r w:rsidRPr="000265C8">
        <w:rPr>
          <w:rFonts w:ascii="Calibri" w:hAnsi="Calibri" w:cs="Calibri"/>
          <w:kern w:val="0"/>
        </w:rPr>
        <w:t>commonplace after Robbins</w:t>
      </w:r>
      <w:r w:rsidR="00173E87" w:rsidRPr="000265C8">
        <w:rPr>
          <w:rFonts w:ascii="Calibri" w:hAnsi="Calibri" w:cs="Calibri"/>
          <w:kern w:val="0"/>
        </w:rPr>
        <w:t>, but i</w:t>
      </w:r>
      <w:r w:rsidRPr="000265C8">
        <w:rPr>
          <w:rFonts w:ascii="Calibri" w:hAnsi="Calibri" w:cs="Calibri"/>
          <w:kern w:val="0"/>
        </w:rPr>
        <w:t xml:space="preserve">t was new in 1963. Robbins rejected financing of </w:t>
      </w:r>
      <w:r w:rsidR="00173E87" w:rsidRPr="000265C8">
        <w:rPr>
          <w:rFonts w:ascii="Calibri" w:hAnsi="Calibri" w:cs="Calibri"/>
          <w:kern w:val="0"/>
        </w:rPr>
        <w:t xml:space="preserve">the growing higher education system </w:t>
      </w:r>
      <w:r w:rsidRPr="000265C8">
        <w:rPr>
          <w:rFonts w:ascii="Calibri" w:hAnsi="Calibri" w:cs="Calibri"/>
          <w:kern w:val="0"/>
        </w:rPr>
        <w:t>by fees and student loans. The objections to loans were that ‘it is a bad thing … for young people to emerge with a load of debt’; ‘the conne</w:t>
      </w:r>
      <w:r w:rsidR="00FC04C7" w:rsidRPr="000265C8">
        <w:rPr>
          <w:rFonts w:ascii="Calibri" w:hAnsi="Calibri" w:cs="Calibri"/>
          <w:kern w:val="0"/>
        </w:rPr>
        <w:t>ct</w:t>
      </w:r>
      <w:r w:rsidRPr="000265C8">
        <w:rPr>
          <w:rFonts w:ascii="Calibri" w:hAnsi="Calibri" w:cs="Calibri"/>
          <w:kern w:val="0"/>
        </w:rPr>
        <w:t xml:space="preserve">ion between higher education and earning power can be over-stressed’; and loans would discourage participation. The fact that higher education created private benefits did not mean it should be privately funded. The report noted that higher education, then 90 per cent funded by government, was ‘rightly of great public concern’, calling up the need for policy objectives and a system approach. However, it stated, institutions should enjoy ‘the maximum of independence’ compatible with a modest level of necessary central control. </w:t>
      </w:r>
    </w:p>
    <w:p w14:paraId="6048FE8C" w14:textId="77777777" w:rsidR="0003646F" w:rsidRPr="000265C8" w:rsidRDefault="0003646F" w:rsidP="000265C8">
      <w:pPr>
        <w:spacing w:line="276" w:lineRule="auto"/>
        <w:rPr>
          <w:rFonts w:ascii="Calibri" w:hAnsi="Calibri" w:cs="Calibri"/>
        </w:rPr>
      </w:pPr>
    </w:p>
    <w:p w14:paraId="6B5A1D05" w14:textId="4A666253" w:rsidR="0003646F" w:rsidRPr="000265C8" w:rsidRDefault="00B24D1B" w:rsidP="000265C8">
      <w:pPr>
        <w:spacing w:line="276" w:lineRule="auto"/>
        <w:rPr>
          <w:rFonts w:ascii="Calibri" w:hAnsi="Calibri" w:cs="Calibri"/>
          <w:b/>
          <w:bCs/>
        </w:rPr>
      </w:pPr>
      <w:r w:rsidRPr="000265C8">
        <w:rPr>
          <w:rFonts w:ascii="Calibri" w:hAnsi="Calibri" w:cs="Calibri"/>
          <w:b/>
          <w:bCs/>
        </w:rPr>
        <w:t>[</w:t>
      </w:r>
      <w:r w:rsidR="0003646F" w:rsidRPr="000265C8">
        <w:rPr>
          <w:rFonts w:ascii="Calibri" w:hAnsi="Calibri" w:cs="Calibri"/>
          <w:b/>
          <w:bCs/>
        </w:rPr>
        <w:t>Dearing 1997</w:t>
      </w:r>
      <w:r w:rsidRPr="000265C8">
        <w:rPr>
          <w:rFonts w:ascii="Calibri" w:hAnsi="Calibri" w:cs="Calibri"/>
          <w:b/>
          <w:bCs/>
        </w:rPr>
        <w:t>]</w:t>
      </w:r>
    </w:p>
    <w:p w14:paraId="7A5FA36C" w14:textId="77777777" w:rsidR="00E45AE1" w:rsidRPr="000265C8" w:rsidRDefault="0003646F" w:rsidP="000265C8">
      <w:pPr>
        <w:spacing w:line="276" w:lineRule="auto"/>
        <w:rPr>
          <w:rFonts w:cstheme="minorHAnsi"/>
          <w:color w:val="000000"/>
        </w:rPr>
      </w:pPr>
      <w:r w:rsidRPr="000265C8">
        <w:rPr>
          <w:rFonts w:cstheme="minorHAnsi"/>
        </w:rPr>
        <w:t>The Dearing committee met after three decades of tightening regulation and the advent of neoliberal business and market models. Nevertheless, i</w:t>
      </w:r>
      <w:r w:rsidR="00C551B5" w:rsidRPr="000265C8">
        <w:rPr>
          <w:rFonts w:cstheme="minorHAnsi"/>
        </w:rPr>
        <w:t>t</w:t>
      </w:r>
      <w:r w:rsidRPr="000265C8">
        <w:rPr>
          <w:rFonts w:cstheme="minorHAnsi"/>
        </w:rPr>
        <w:t xml:space="preserve"> conceived the sector in large terms. </w:t>
      </w:r>
      <w:r w:rsidR="00FC04C7" w:rsidRPr="000265C8">
        <w:rPr>
          <w:rFonts w:cstheme="minorHAnsi"/>
        </w:rPr>
        <w:t>T</w:t>
      </w:r>
      <w:r w:rsidRPr="000265C8">
        <w:rPr>
          <w:rFonts w:cstheme="minorHAnsi"/>
        </w:rPr>
        <w:t xml:space="preserve">he </w:t>
      </w:r>
      <w:bookmarkStart w:id="0" w:name="05"/>
      <w:r w:rsidRPr="000265C8">
        <w:rPr>
          <w:rFonts w:cstheme="minorHAnsi"/>
          <w:color w:val="000000"/>
        </w:rPr>
        <w:t xml:space="preserve">purposes </w:t>
      </w:r>
      <w:r w:rsidR="00C551B5" w:rsidRPr="000265C8">
        <w:rPr>
          <w:rFonts w:cstheme="minorHAnsi"/>
          <w:color w:val="000000"/>
        </w:rPr>
        <w:t xml:space="preserve">of higher education </w:t>
      </w:r>
      <w:r w:rsidRPr="000265C8">
        <w:rPr>
          <w:rFonts w:cstheme="minorHAnsi"/>
          <w:color w:val="000000"/>
        </w:rPr>
        <w:t>were to enable the development of individuals, to expand knowledge, ‘to serve the needs’ of the economy, and ‘t</w:t>
      </w:r>
      <w:r w:rsidRPr="000265C8">
        <w:rPr>
          <w:rFonts w:eastAsia="Times New Roman" w:cstheme="minorHAnsi"/>
          <w:color w:val="000000"/>
          <w:kern w:val="0"/>
          <w:lang w:eastAsia="en-GB"/>
          <w14:ligatures w14:val="none"/>
        </w:rPr>
        <w:t>o play a major role in shaping a democratic, civilised, inclusive society’. Higher education should ‘</w:t>
      </w:r>
      <w:r w:rsidRPr="000265C8">
        <w:rPr>
          <w:rFonts w:cstheme="minorHAnsi"/>
          <w:color w:val="000000"/>
        </w:rPr>
        <w:t>enable society to make progress through an understanding of itself and its world’. This suggested a broadly conceived mission to further the public good</w:t>
      </w:r>
      <w:r w:rsidR="00C551B5" w:rsidRPr="000265C8">
        <w:rPr>
          <w:rFonts w:cstheme="minorHAnsi"/>
          <w:color w:val="000000"/>
        </w:rPr>
        <w:t>, but it</w:t>
      </w:r>
      <w:r w:rsidRPr="000265C8">
        <w:rPr>
          <w:rFonts w:cstheme="minorHAnsi"/>
          <w:color w:val="000000"/>
        </w:rPr>
        <w:t xml:space="preserve"> was not named as such. </w:t>
      </w:r>
      <w:bookmarkEnd w:id="0"/>
    </w:p>
    <w:p w14:paraId="149325B8" w14:textId="77777777" w:rsidR="00E45AE1" w:rsidRPr="000265C8" w:rsidRDefault="00E45AE1" w:rsidP="000265C8">
      <w:pPr>
        <w:spacing w:line="276" w:lineRule="auto"/>
        <w:rPr>
          <w:rFonts w:cstheme="minorHAnsi"/>
          <w:color w:val="000000"/>
        </w:rPr>
      </w:pPr>
    </w:p>
    <w:p w14:paraId="23D54A08" w14:textId="6FB9F29F" w:rsidR="00E45AE1" w:rsidRPr="000265C8" w:rsidRDefault="00E45AE1" w:rsidP="000265C8">
      <w:pPr>
        <w:spacing w:line="276" w:lineRule="auto"/>
        <w:rPr>
          <w:rFonts w:cstheme="minorHAnsi"/>
          <w:b/>
          <w:bCs/>
          <w:color w:val="000000"/>
          <w:lang w:val="en-US"/>
        </w:rPr>
      </w:pPr>
      <w:r w:rsidRPr="000265C8">
        <w:rPr>
          <w:rFonts w:cstheme="minorHAnsi"/>
          <w:b/>
          <w:bCs/>
          <w:color w:val="000000"/>
        </w:rPr>
        <w:t>[</w:t>
      </w:r>
      <w:r w:rsidRPr="000265C8">
        <w:rPr>
          <w:rFonts w:cstheme="minorHAnsi"/>
          <w:b/>
          <w:bCs/>
          <w:color w:val="000000"/>
          <w:lang w:val="en-US"/>
        </w:rPr>
        <w:t>Dearing combined a broad public perspective with neo-liberal financing]</w:t>
      </w:r>
    </w:p>
    <w:p w14:paraId="6A5D7D1A" w14:textId="64F5FFD8" w:rsidR="0003646F" w:rsidRPr="000265C8" w:rsidRDefault="00C551B5" w:rsidP="000265C8">
      <w:pPr>
        <w:spacing w:line="276" w:lineRule="auto"/>
        <w:rPr>
          <w:rFonts w:ascii="Calibri" w:hAnsi="Calibri" w:cs="Calibri"/>
          <w:color w:val="000000"/>
        </w:rPr>
      </w:pPr>
      <w:r w:rsidRPr="000265C8">
        <w:rPr>
          <w:rFonts w:cstheme="minorHAnsi"/>
        </w:rPr>
        <w:t>One likely reason was that th</w:t>
      </w:r>
      <w:r w:rsidR="0003646F" w:rsidRPr="000265C8">
        <w:rPr>
          <w:rFonts w:cstheme="minorHAnsi"/>
        </w:rPr>
        <w:t>e Dearing committee proposed the introduction of tuition fees financed by income contingent student loans in what had been a free system.</w:t>
      </w:r>
      <w:r w:rsidR="0003646F" w:rsidRPr="000265C8">
        <w:rPr>
          <w:rFonts w:ascii="Calibri" w:hAnsi="Calibri" w:cs="Calibri"/>
          <w:color w:val="000000"/>
        </w:rPr>
        <w:t xml:space="preserve"> </w:t>
      </w:r>
      <w:r w:rsidRPr="000265C8">
        <w:rPr>
          <w:rFonts w:ascii="Calibri" w:hAnsi="Calibri" w:cs="Calibri"/>
          <w:color w:val="000000"/>
        </w:rPr>
        <w:t xml:space="preserve">To justify </w:t>
      </w:r>
      <w:proofErr w:type="gramStart"/>
      <w:r w:rsidRPr="000265C8">
        <w:rPr>
          <w:rFonts w:ascii="Calibri" w:hAnsi="Calibri" w:cs="Calibri"/>
          <w:color w:val="000000"/>
        </w:rPr>
        <w:t>this</w:t>
      </w:r>
      <w:proofErr w:type="gramEnd"/>
      <w:r w:rsidRPr="000265C8">
        <w:rPr>
          <w:rFonts w:ascii="Calibri" w:hAnsi="Calibri" w:cs="Calibri"/>
          <w:color w:val="000000"/>
        </w:rPr>
        <w:t xml:space="preserve"> it stated</w:t>
      </w:r>
      <w:r w:rsidR="00E45AE1" w:rsidRPr="000265C8">
        <w:rPr>
          <w:rFonts w:ascii="Calibri" w:hAnsi="Calibri" w:cs="Calibri"/>
          <w:color w:val="000000"/>
        </w:rPr>
        <w:t xml:space="preserve"> students’ obligation to pay in unambiguously </w:t>
      </w:r>
      <w:r w:rsidRPr="000265C8">
        <w:rPr>
          <w:rFonts w:ascii="Calibri" w:hAnsi="Calibri" w:cs="Calibri"/>
          <w:color w:val="000000"/>
        </w:rPr>
        <w:t xml:space="preserve">neo-liberal terms: </w:t>
      </w:r>
    </w:p>
    <w:p w14:paraId="39457E09" w14:textId="77777777" w:rsidR="0003646F" w:rsidRPr="000265C8" w:rsidRDefault="0003646F" w:rsidP="000265C8">
      <w:pPr>
        <w:spacing w:line="276" w:lineRule="auto"/>
      </w:pPr>
    </w:p>
    <w:p w14:paraId="60FEA5FB" w14:textId="065B18DE" w:rsidR="0003646F" w:rsidRPr="000265C8" w:rsidRDefault="00E45AE1" w:rsidP="000265C8">
      <w:pPr>
        <w:spacing w:line="276" w:lineRule="auto"/>
        <w:ind w:left="454"/>
        <w:rPr>
          <w:rFonts w:cstheme="minorHAnsi"/>
        </w:rPr>
      </w:pPr>
      <w:r w:rsidRPr="000265C8">
        <w:rPr>
          <w:rFonts w:cstheme="minorHAnsi"/>
          <w:color w:val="000000"/>
        </w:rPr>
        <w:t>[quote]</w:t>
      </w:r>
    </w:p>
    <w:p w14:paraId="24326DCB" w14:textId="77777777" w:rsidR="0003646F" w:rsidRPr="000265C8" w:rsidRDefault="0003646F" w:rsidP="000265C8">
      <w:pPr>
        <w:spacing w:line="276" w:lineRule="auto"/>
      </w:pPr>
    </w:p>
    <w:p w14:paraId="3DAAD5E5" w14:textId="28B41495" w:rsidR="0003646F" w:rsidRPr="000265C8" w:rsidRDefault="000465CA" w:rsidP="000265C8">
      <w:pPr>
        <w:spacing w:line="276" w:lineRule="auto"/>
        <w:rPr>
          <w:b/>
          <w:bCs/>
        </w:rPr>
      </w:pPr>
      <w:r w:rsidRPr="000265C8">
        <w:rPr>
          <w:b/>
          <w:bCs/>
        </w:rPr>
        <w:t>[</w:t>
      </w:r>
      <w:r w:rsidR="0003646F" w:rsidRPr="000265C8">
        <w:rPr>
          <w:b/>
          <w:bCs/>
        </w:rPr>
        <w:t>Browne 2010</w:t>
      </w:r>
      <w:r w:rsidRPr="000265C8">
        <w:rPr>
          <w:b/>
          <w:bCs/>
        </w:rPr>
        <w:t>]</w:t>
      </w:r>
    </w:p>
    <w:p w14:paraId="6F541354" w14:textId="66BF7AE4" w:rsidR="0003646F" w:rsidRPr="000265C8" w:rsidRDefault="0003646F" w:rsidP="000265C8">
      <w:pPr>
        <w:spacing w:line="276" w:lineRule="auto"/>
      </w:pPr>
      <w:r w:rsidRPr="000265C8">
        <w:t>In 1998 the then Labour government introduced a £1000 tuition fee without Dearing’s income contingent repayment mechanism, but in 2005 it applied th</w:t>
      </w:r>
      <w:r w:rsidR="00F52FAE" w:rsidRPr="000265C8">
        <w:t>at</w:t>
      </w:r>
      <w:r w:rsidRPr="000265C8">
        <w:t xml:space="preserve"> loans scheme </w:t>
      </w:r>
      <w:r w:rsidR="00F52FAE" w:rsidRPr="000265C8">
        <w:t xml:space="preserve">and hiked fees </w:t>
      </w:r>
      <w:r w:rsidRPr="000265C8">
        <w:t xml:space="preserve">to £3000. Labour subsequently established an inquiry into fees and funding which reported in 2010, after a Conservative Party led government had been elected. </w:t>
      </w:r>
    </w:p>
    <w:p w14:paraId="6540CA5A" w14:textId="184487A8" w:rsidR="0003646F" w:rsidRPr="000265C8" w:rsidRDefault="0003646F" w:rsidP="000265C8">
      <w:pPr>
        <w:spacing w:line="276" w:lineRule="auto"/>
        <w:ind w:firstLine="454"/>
      </w:pPr>
      <w:r w:rsidRPr="000265C8">
        <w:t>The resulting Browne report (2010) proposed the largest transformation since Robbins</w:t>
      </w:r>
      <w:r w:rsidR="00F52FAE" w:rsidRPr="000265C8">
        <w:t>.</w:t>
      </w:r>
      <w:r w:rsidRPr="000265C8">
        <w:t xml:space="preserve"> Like Dearing the Browne </w:t>
      </w:r>
      <w:proofErr w:type="gramStart"/>
      <w:r w:rsidRPr="000265C8">
        <w:t>committee</w:t>
      </w:r>
      <w:proofErr w:type="gramEnd"/>
      <w:r w:rsidRPr="000265C8">
        <w:t xml:space="preserve"> </w:t>
      </w:r>
      <w:r w:rsidR="00F52FAE" w:rsidRPr="000265C8">
        <w:t xml:space="preserve">it began by </w:t>
      </w:r>
      <w:r w:rsidRPr="000265C8">
        <w:t>couch</w:t>
      </w:r>
      <w:r w:rsidR="00F52FAE" w:rsidRPr="000265C8">
        <w:t>ing</w:t>
      </w:r>
      <w:r w:rsidRPr="000265C8">
        <w:t xml:space="preserve"> the role of higher education in broad terms social and cultural terms </w:t>
      </w:r>
      <w:r w:rsidR="00B3101E" w:rsidRPr="000265C8">
        <w:t>though it avoided</w:t>
      </w:r>
      <w:r w:rsidRPr="000265C8">
        <w:t xml:space="preserve"> the words ‘public’ or ‘common’: </w:t>
      </w:r>
    </w:p>
    <w:p w14:paraId="17E07329" w14:textId="77777777" w:rsidR="000465CA" w:rsidRPr="000265C8" w:rsidRDefault="000465CA" w:rsidP="000265C8">
      <w:pPr>
        <w:spacing w:line="276" w:lineRule="auto"/>
      </w:pPr>
      <w:r w:rsidRPr="000265C8">
        <w:t>‘</w:t>
      </w:r>
      <w:r w:rsidR="0003646F" w:rsidRPr="000265C8">
        <w:t>Higher education … helps to create the knowledge, skills and values that underpin a civilised society.</w:t>
      </w:r>
      <w:r w:rsidRPr="000265C8">
        <w:t>’</w:t>
      </w:r>
      <w:r w:rsidR="0003646F" w:rsidRPr="000265C8">
        <w:t xml:space="preserve"> Yet this broad role was no further defined, and the </w:t>
      </w:r>
      <w:r w:rsidR="00F52FAE" w:rsidRPr="000265C8">
        <w:t xml:space="preserve">Browne </w:t>
      </w:r>
      <w:r w:rsidR="0003646F" w:rsidRPr="000265C8">
        <w:t xml:space="preserve">report immediately </w:t>
      </w:r>
      <w:r w:rsidR="0003646F" w:rsidRPr="000265C8">
        <w:lastRenderedPageBreak/>
        <w:t>followed this passage with discussion of the pecuniary benefits for individuals. This was joined to economic calculations of the value of those benefits</w:t>
      </w:r>
      <w:r w:rsidR="00D84CEE" w:rsidRPr="000265C8">
        <w:t>.</w:t>
      </w:r>
      <w:r w:rsidR="0003646F" w:rsidRPr="000265C8">
        <w:t xml:space="preserve"> </w:t>
      </w:r>
    </w:p>
    <w:p w14:paraId="00B9F371" w14:textId="77777777" w:rsidR="000465CA" w:rsidRPr="000265C8" w:rsidRDefault="000465CA" w:rsidP="000265C8">
      <w:pPr>
        <w:spacing w:line="276" w:lineRule="auto"/>
      </w:pPr>
    </w:p>
    <w:p w14:paraId="7E375612" w14:textId="2BEDEEF2" w:rsidR="000465CA" w:rsidRPr="000265C8" w:rsidRDefault="000465CA" w:rsidP="000265C8">
      <w:pPr>
        <w:spacing w:line="276" w:lineRule="auto"/>
        <w:rPr>
          <w:b/>
          <w:bCs/>
        </w:rPr>
      </w:pPr>
      <w:r w:rsidRPr="000265C8">
        <w:rPr>
          <w:b/>
          <w:bCs/>
        </w:rPr>
        <w:t>[</w:t>
      </w:r>
      <w:r w:rsidRPr="000265C8">
        <w:rPr>
          <w:b/>
          <w:bCs/>
          <w:lang w:val="en-US"/>
        </w:rPr>
        <w:t xml:space="preserve">The economic Public/private dualism is also a funding formula in a </w:t>
      </w:r>
      <w:proofErr w:type="spellStart"/>
      <w:r w:rsidRPr="000265C8">
        <w:rPr>
          <w:b/>
          <w:bCs/>
          <w:lang w:val="en-US"/>
        </w:rPr>
        <w:t>marketised</w:t>
      </w:r>
      <w:proofErr w:type="spellEnd"/>
      <w:r w:rsidRPr="000265C8">
        <w:rPr>
          <w:b/>
          <w:bCs/>
          <w:lang w:val="en-US"/>
        </w:rPr>
        <w:t xml:space="preserve"> system</w:t>
      </w:r>
      <w:r w:rsidRPr="000265C8">
        <w:rPr>
          <w:b/>
          <w:bCs/>
        </w:rPr>
        <w:t>]</w:t>
      </w:r>
    </w:p>
    <w:p w14:paraId="4F2B36AE" w14:textId="10E52887" w:rsidR="0003646F" w:rsidRPr="000265C8" w:rsidRDefault="00F52FAE" w:rsidP="000265C8">
      <w:pPr>
        <w:spacing w:line="276" w:lineRule="auto"/>
      </w:pPr>
      <w:r w:rsidRPr="000265C8">
        <w:t xml:space="preserve">Browne moved English higher education from a mixed private/public funded system to a universal quasi-market with full price tuition fees, supported by government-supported income contingent loans so the most students would not have to pay in the year of study. </w:t>
      </w:r>
      <w:r w:rsidR="0003646F" w:rsidRPr="000265C8">
        <w:t>The logic of the report was that any and every broad-based outcome of higher education would have to be financed by individualised tuition payments. ‘With public resources now limited, new investment will have to come from those who directly benefit from higher education’</w:t>
      </w:r>
      <w:r w:rsidR="000465CA" w:rsidRPr="000265C8">
        <w:t>, it stated</w:t>
      </w:r>
      <w:r w:rsidR="00D84CEE" w:rsidRPr="000265C8">
        <w:t>.</w:t>
      </w:r>
      <w:r w:rsidR="0003646F" w:rsidRPr="000265C8">
        <w:t xml:space="preserve"> The shift from Robbins </w:t>
      </w:r>
      <w:r w:rsidR="008927DF" w:rsidRPr="000265C8">
        <w:t>to</w:t>
      </w:r>
      <w:r w:rsidR="0003646F" w:rsidRPr="000265C8">
        <w:t xml:space="preserve"> Browne report </w:t>
      </w:r>
      <w:r w:rsidR="008927DF" w:rsidRPr="000265C8">
        <w:t>reversed</w:t>
      </w:r>
      <w:r w:rsidR="0003646F" w:rsidRPr="000265C8">
        <w:t xml:space="preserve"> the private/public relation in funding. Robbins expected government to carry the cost of producing private benefits to graduates, along with the public benefits</w:t>
      </w:r>
      <w:r w:rsidR="008927DF" w:rsidRPr="000265C8">
        <w:t>.</w:t>
      </w:r>
      <w:r w:rsidR="0003646F" w:rsidRPr="000265C8">
        <w:t xml:space="preserve"> Browne advocated the individualised private funding of what once were seen as public benefits. </w:t>
      </w:r>
      <w:r w:rsidR="008927DF" w:rsidRPr="000265C8">
        <w:t>In t</w:t>
      </w:r>
      <w:r w:rsidR="0003646F" w:rsidRPr="000265C8">
        <w:t>he 2012 funding reform</w:t>
      </w:r>
      <w:r w:rsidR="00D84CEE" w:rsidRPr="000265C8">
        <w:t xml:space="preserve"> </w:t>
      </w:r>
      <w:r w:rsidR="008927DF" w:rsidRPr="000265C8">
        <w:t>a modified version of Browne’s</w:t>
      </w:r>
      <w:r w:rsidRPr="000265C8">
        <w:t xml:space="preserve"> full-fee </w:t>
      </w:r>
      <w:r w:rsidR="0003646F" w:rsidRPr="000265C8">
        <w:t xml:space="preserve">quasi-market was installed. </w:t>
      </w:r>
      <w:r w:rsidR="008927DF" w:rsidRPr="000265C8">
        <w:t>P</w:t>
      </w:r>
      <w:r w:rsidR="0003646F" w:rsidRPr="000265C8">
        <w:t xml:space="preserve">ublic subsidies for teaching were abolished except </w:t>
      </w:r>
      <w:r w:rsidRPr="000265C8">
        <w:t>in</w:t>
      </w:r>
      <w:r w:rsidR="0003646F" w:rsidRPr="000265C8">
        <w:t xml:space="preserve"> s</w:t>
      </w:r>
      <w:r w:rsidR="007E2A48" w:rsidRPr="000265C8">
        <w:t xml:space="preserve">ome </w:t>
      </w:r>
      <w:r w:rsidRPr="000265C8">
        <w:t>STEM</w:t>
      </w:r>
      <w:r w:rsidR="0003646F" w:rsidRPr="000265C8">
        <w:t xml:space="preserve"> </w:t>
      </w:r>
      <w:r w:rsidRPr="000265C8">
        <w:t>discipline</w:t>
      </w:r>
      <w:r w:rsidR="0003646F" w:rsidRPr="000265C8">
        <w:t xml:space="preserve">s. </w:t>
      </w:r>
      <w:r w:rsidR="007E2A48" w:rsidRPr="000265C8">
        <w:t xml:space="preserve">Government also </w:t>
      </w:r>
      <w:r w:rsidR="0003646F" w:rsidRPr="000265C8">
        <w:t>carried the costs of former students whose incomes failed to trigger full loan repayment</w:t>
      </w:r>
      <w:r w:rsidR="007E2A48" w:rsidRPr="000265C8">
        <w:t>, but this was</w:t>
      </w:r>
      <w:r w:rsidR="0003646F" w:rsidRPr="000265C8">
        <w:t xml:space="preserve"> hidden</w:t>
      </w:r>
      <w:r w:rsidR="007E2A48" w:rsidRPr="000265C8">
        <w:t xml:space="preserve"> by the </w:t>
      </w:r>
      <w:r w:rsidRPr="000265C8">
        <w:t>ideological framing of the</w:t>
      </w:r>
      <w:r w:rsidR="007E2A48" w:rsidRPr="000265C8">
        <w:t xml:space="preserve"> system</w:t>
      </w:r>
      <w:r w:rsidR="000465CA" w:rsidRPr="000265C8">
        <w:t xml:space="preserve"> as primarily generating private pecuniary benefits.</w:t>
      </w:r>
      <w:r w:rsidR="007E2A48" w:rsidRPr="000265C8">
        <w:t xml:space="preserve"> </w:t>
      </w:r>
    </w:p>
    <w:p w14:paraId="47DD9158" w14:textId="77777777" w:rsidR="0003646F" w:rsidRPr="000265C8" w:rsidRDefault="0003646F" w:rsidP="000265C8">
      <w:pPr>
        <w:spacing w:line="276" w:lineRule="auto"/>
      </w:pPr>
    </w:p>
    <w:p w14:paraId="1A1DB889" w14:textId="7EB26017" w:rsidR="0003646F" w:rsidRPr="000265C8" w:rsidRDefault="000465CA" w:rsidP="000265C8">
      <w:pPr>
        <w:spacing w:line="276" w:lineRule="auto"/>
        <w:rPr>
          <w:b/>
          <w:bCs/>
        </w:rPr>
      </w:pPr>
      <w:r w:rsidRPr="000265C8">
        <w:rPr>
          <w:b/>
          <w:bCs/>
        </w:rPr>
        <w:t>[</w:t>
      </w:r>
      <w:proofErr w:type="spellStart"/>
      <w:r w:rsidR="0003646F" w:rsidRPr="000265C8">
        <w:rPr>
          <w:b/>
          <w:bCs/>
        </w:rPr>
        <w:t>Augar</w:t>
      </w:r>
      <w:proofErr w:type="spellEnd"/>
      <w:r w:rsidR="0003646F" w:rsidRPr="000265C8">
        <w:rPr>
          <w:b/>
          <w:bCs/>
        </w:rPr>
        <w:t xml:space="preserve"> 2019</w:t>
      </w:r>
      <w:r w:rsidRPr="000265C8">
        <w:rPr>
          <w:b/>
          <w:bCs/>
        </w:rPr>
        <w:t>]</w:t>
      </w:r>
    </w:p>
    <w:p w14:paraId="0CBAEB27" w14:textId="07C179AF" w:rsidR="005139AC" w:rsidRPr="000265C8" w:rsidRDefault="00F52FAE" w:rsidP="000265C8">
      <w:pPr>
        <w:spacing w:line="276" w:lineRule="auto"/>
      </w:pPr>
      <w:r w:rsidRPr="000265C8">
        <w:t>T</w:t>
      </w:r>
      <w:r w:rsidR="0003646F" w:rsidRPr="000265C8">
        <w:t xml:space="preserve">he </w:t>
      </w:r>
      <w:proofErr w:type="spellStart"/>
      <w:r w:rsidR="0003646F" w:rsidRPr="000265C8">
        <w:t>Augar</w:t>
      </w:r>
      <w:proofErr w:type="spellEnd"/>
      <w:r w:rsidR="0003646F" w:rsidRPr="000265C8">
        <w:t xml:space="preserve"> committee </w:t>
      </w:r>
      <w:r w:rsidR="001318A0" w:rsidRPr="000265C8">
        <w:t xml:space="preserve">usefully emphasised a combined tertiary approach across higher and further education. It </w:t>
      </w:r>
      <w:r w:rsidR="0003646F" w:rsidRPr="000265C8">
        <w:t xml:space="preserve">was </w:t>
      </w:r>
      <w:r w:rsidR="001318A0" w:rsidRPr="000265C8">
        <w:t xml:space="preserve">also </w:t>
      </w:r>
      <w:r w:rsidR="0003646F" w:rsidRPr="000265C8">
        <w:t>asked to recommend on student tuition</w:t>
      </w:r>
      <w:r w:rsidR="001318A0" w:rsidRPr="000265C8">
        <w:t>, and here the usual Treasury politic prevailed</w:t>
      </w:r>
      <w:r w:rsidR="0003646F" w:rsidRPr="000265C8">
        <w:t xml:space="preserve">. </w:t>
      </w:r>
    </w:p>
    <w:p w14:paraId="07800E31" w14:textId="77777777" w:rsidR="005139AC" w:rsidRPr="000265C8" w:rsidRDefault="005139AC" w:rsidP="000265C8">
      <w:pPr>
        <w:spacing w:line="276" w:lineRule="auto"/>
      </w:pPr>
    </w:p>
    <w:p w14:paraId="201278C8" w14:textId="77777777" w:rsidR="005139AC" w:rsidRPr="000265C8" w:rsidRDefault="005139AC" w:rsidP="000265C8">
      <w:pPr>
        <w:spacing w:line="276" w:lineRule="auto"/>
        <w:rPr>
          <w:b/>
          <w:bCs/>
        </w:rPr>
      </w:pPr>
      <w:r w:rsidRPr="000265C8">
        <w:rPr>
          <w:b/>
          <w:bCs/>
        </w:rPr>
        <w:t>[‘Assessing this wider value is very difficult’]</w:t>
      </w:r>
    </w:p>
    <w:p w14:paraId="2FB9759A" w14:textId="2465DDA2" w:rsidR="0003646F" w:rsidRPr="000265C8" w:rsidRDefault="005139AC" w:rsidP="000265C8">
      <w:pPr>
        <w:spacing w:line="276" w:lineRule="auto"/>
      </w:pPr>
      <w:r w:rsidRPr="000265C8">
        <w:t xml:space="preserve">The report did not begin with a broad-based statement of the contributions of higher education as Dearing and Browne had done. It noted the ‘considerable civic contribution of </w:t>
      </w:r>
      <w:proofErr w:type="gramStart"/>
      <w:r w:rsidRPr="000265C8">
        <w:t>universities’</w:t>
      </w:r>
      <w:proofErr w:type="gramEnd"/>
      <w:r w:rsidRPr="000265C8">
        <w:t xml:space="preserve">. However, it had no proposal to finance public goods. It focused instead on ‘enhancing value for money’ in a system that ‘incentivises choice and competition’. </w:t>
      </w:r>
      <w:r w:rsidR="0003646F" w:rsidRPr="000265C8">
        <w:t>Curiously</w:t>
      </w:r>
      <w:r w:rsidR="008927DF" w:rsidRPr="000265C8">
        <w:t>, though, in one boxed paragraph</w:t>
      </w:r>
      <w:r w:rsidR="0003646F" w:rsidRPr="000265C8">
        <w:t xml:space="preserve"> the </w:t>
      </w:r>
      <w:proofErr w:type="spellStart"/>
      <w:r w:rsidR="0003646F" w:rsidRPr="000265C8">
        <w:t>Augar</w:t>
      </w:r>
      <w:proofErr w:type="spellEnd"/>
      <w:r w:rsidR="0003646F" w:rsidRPr="000265C8">
        <w:t xml:space="preserve"> committee showed itself briefly aware of the narrowness of </w:t>
      </w:r>
      <w:r w:rsidR="001318A0" w:rsidRPr="000265C8">
        <w:t>the</w:t>
      </w:r>
      <w:r w:rsidR="00F52FAE" w:rsidRPr="000265C8">
        <w:t xml:space="preserve"> Treasury-determined</w:t>
      </w:r>
      <w:r w:rsidR="0003646F" w:rsidRPr="000265C8">
        <w:t xml:space="preserve"> </w:t>
      </w:r>
      <w:r w:rsidR="001318A0" w:rsidRPr="000265C8">
        <w:t xml:space="preserve">policy </w:t>
      </w:r>
      <w:r w:rsidR="0003646F" w:rsidRPr="000265C8">
        <w:t>framework</w:t>
      </w:r>
      <w:r w:rsidR="00B3101E" w:rsidRPr="000265C8">
        <w:t>:</w:t>
      </w:r>
      <w:r w:rsidR="0003646F" w:rsidRPr="000265C8">
        <w:t xml:space="preserve"> </w:t>
      </w:r>
    </w:p>
    <w:p w14:paraId="78E1644B" w14:textId="77777777" w:rsidR="0003646F" w:rsidRPr="000265C8" w:rsidRDefault="0003646F" w:rsidP="000265C8">
      <w:pPr>
        <w:spacing w:line="276" w:lineRule="auto"/>
      </w:pPr>
    </w:p>
    <w:p w14:paraId="0D921AAB" w14:textId="77777777" w:rsidR="00E45AE1" w:rsidRPr="000265C8" w:rsidRDefault="00E45AE1" w:rsidP="000265C8">
      <w:pPr>
        <w:spacing w:line="276" w:lineRule="auto"/>
        <w:ind w:left="454"/>
        <w:rPr>
          <w:rFonts w:cs="FS Lola"/>
          <w:color w:val="000000"/>
        </w:rPr>
      </w:pPr>
      <w:r w:rsidRPr="000265C8">
        <w:rPr>
          <w:rFonts w:cs="FS Lola"/>
          <w:color w:val="000000"/>
        </w:rPr>
        <w:t>[quote]</w:t>
      </w:r>
    </w:p>
    <w:p w14:paraId="74140525" w14:textId="77777777" w:rsidR="0003646F" w:rsidRPr="000265C8" w:rsidRDefault="0003646F" w:rsidP="000265C8">
      <w:pPr>
        <w:spacing w:line="276" w:lineRule="auto"/>
      </w:pPr>
    </w:p>
    <w:p w14:paraId="25B3F44C" w14:textId="72D701B1" w:rsidR="00B93AF2" w:rsidRPr="000265C8" w:rsidRDefault="0003646F" w:rsidP="000265C8">
      <w:pPr>
        <w:spacing w:line="276" w:lineRule="auto"/>
      </w:pPr>
      <w:r w:rsidRPr="000265C8">
        <w:tab/>
        <w:t xml:space="preserve">That was as far as it went. The </w:t>
      </w:r>
      <w:proofErr w:type="spellStart"/>
      <w:r w:rsidRPr="000265C8">
        <w:t>Augar</w:t>
      </w:r>
      <w:proofErr w:type="spellEnd"/>
      <w:r w:rsidRPr="000265C8">
        <w:t xml:space="preserve"> committee knew higher education generated public goods and its ‘wider value’ should be </w:t>
      </w:r>
      <w:proofErr w:type="gramStart"/>
      <w:r w:rsidRPr="000265C8">
        <w:t>recognised</w:t>
      </w:r>
      <w:r w:rsidR="00B670D4" w:rsidRPr="000265C8">
        <w:t>, b</w:t>
      </w:r>
      <w:r w:rsidRPr="000265C8">
        <w:t>ut</w:t>
      </w:r>
      <w:proofErr w:type="gramEnd"/>
      <w:r w:rsidRPr="000265C8">
        <w:t xml:space="preserve"> did not know how to do it. The report-l</w:t>
      </w:r>
      <w:r w:rsidR="00B670D4" w:rsidRPr="000265C8">
        <w:t>ength</w:t>
      </w:r>
      <w:r w:rsidRPr="000265C8">
        <w:t xml:space="preserve"> visions of Robbins and Dearing had shrunk to </w:t>
      </w:r>
      <w:r w:rsidR="00B670D4" w:rsidRPr="000265C8">
        <w:t>on</w:t>
      </w:r>
      <w:r w:rsidRPr="000265C8">
        <w:t xml:space="preserve">e paragraph left unresolved. </w:t>
      </w:r>
    </w:p>
    <w:p w14:paraId="194C05A2" w14:textId="77777777" w:rsidR="0003646F" w:rsidRPr="000265C8" w:rsidRDefault="0003646F" w:rsidP="000265C8">
      <w:pPr>
        <w:spacing w:line="276" w:lineRule="auto"/>
      </w:pPr>
    </w:p>
    <w:p w14:paraId="11AEF237" w14:textId="7769DE31" w:rsidR="00B93AF2" w:rsidRPr="000265C8" w:rsidRDefault="001318A0" w:rsidP="000265C8">
      <w:pPr>
        <w:spacing w:line="276" w:lineRule="auto"/>
        <w:rPr>
          <w:b/>
          <w:bCs/>
        </w:rPr>
      </w:pPr>
      <w:r w:rsidRPr="000265C8">
        <w:rPr>
          <w:b/>
          <w:bCs/>
        </w:rPr>
        <w:t>[Questions in interviews]</w:t>
      </w:r>
    </w:p>
    <w:p w14:paraId="04BA58C3" w14:textId="0B6E269A" w:rsidR="00CF56EF" w:rsidRPr="000265C8" w:rsidRDefault="00227020" w:rsidP="000265C8">
      <w:pPr>
        <w:spacing w:line="276" w:lineRule="auto"/>
        <w:rPr>
          <w:rFonts w:cstheme="minorHAnsi"/>
        </w:rPr>
      </w:pPr>
      <w:r w:rsidRPr="000265C8">
        <w:rPr>
          <w:rFonts w:cstheme="minorHAnsi"/>
        </w:rPr>
        <w:t>Now, the interviews.</w:t>
      </w:r>
      <w:r w:rsidR="00CF56EF" w:rsidRPr="000265C8">
        <w:rPr>
          <w:rFonts w:cstheme="minorHAnsi"/>
        </w:rPr>
        <w:t xml:space="preserve"> The data presented </w:t>
      </w:r>
      <w:r w:rsidRPr="000265C8">
        <w:rPr>
          <w:rFonts w:cstheme="minorHAnsi"/>
        </w:rPr>
        <w:t>here</w:t>
      </w:r>
      <w:r w:rsidR="00CF56EF" w:rsidRPr="000265C8">
        <w:rPr>
          <w:rFonts w:cstheme="minorHAnsi"/>
        </w:rPr>
        <w:t xml:space="preserve"> derive </w:t>
      </w:r>
      <w:r w:rsidR="00911414" w:rsidRPr="000265C8">
        <w:rPr>
          <w:rFonts w:cstheme="minorHAnsi"/>
        </w:rPr>
        <w:t xml:space="preserve">primarily </w:t>
      </w:r>
      <w:r w:rsidR="00CF56EF" w:rsidRPr="000265C8">
        <w:rPr>
          <w:rFonts w:cstheme="minorHAnsi"/>
        </w:rPr>
        <w:t>from answers to the following interview questions:</w:t>
      </w:r>
    </w:p>
    <w:p w14:paraId="7BEBD2EE" w14:textId="77777777" w:rsidR="00CF56EF" w:rsidRPr="000265C8" w:rsidRDefault="00CF56EF" w:rsidP="000265C8">
      <w:pPr>
        <w:spacing w:line="276" w:lineRule="auto"/>
        <w:rPr>
          <w:rFonts w:cstheme="minorHAnsi"/>
        </w:rPr>
      </w:pPr>
    </w:p>
    <w:p w14:paraId="2107E71A" w14:textId="23551B92" w:rsidR="00CF56EF" w:rsidRPr="000265C8" w:rsidRDefault="00CF56EF" w:rsidP="000265C8">
      <w:pPr>
        <w:pStyle w:val="ListParagraph"/>
        <w:numPr>
          <w:ilvl w:val="0"/>
          <w:numId w:val="2"/>
        </w:numPr>
        <w:spacing w:line="276" w:lineRule="auto"/>
        <w:rPr>
          <w:rFonts w:ascii="Calibri" w:hAnsi="Calibri" w:cs="Calibri"/>
        </w:rPr>
      </w:pPr>
      <w:r w:rsidRPr="000265C8">
        <w:rPr>
          <w:rFonts w:ascii="Calibri" w:hAnsi="Calibri" w:cs="Calibri"/>
        </w:rPr>
        <w:t xml:space="preserve">What do you understand by the term ‘public good’? </w:t>
      </w:r>
    </w:p>
    <w:p w14:paraId="18CF630B" w14:textId="77777777" w:rsidR="00227020" w:rsidRPr="000265C8" w:rsidRDefault="00CF56EF" w:rsidP="000265C8">
      <w:pPr>
        <w:pStyle w:val="ListParagraph"/>
        <w:numPr>
          <w:ilvl w:val="0"/>
          <w:numId w:val="2"/>
        </w:numPr>
        <w:spacing w:line="276" w:lineRule="auto"/>
        <w:rPr>
          <w:rFonts w:ascii="Calibri" w:hAnsi="Calibri" w:cs="Calibri"/>
        </w:rPr>
      </w:pPr>
      <w:r w:rsidRPr="000265C8">
        <w:rPr>
          <w:rFonts w:ascii="Calibri" w:hAnsi="Calibri" w:cs="Calibri"/>
        </w:rPr>
        <w:t>What do higher education and research contribute to the public good, or public goods?</w:t>
      </w:r>
    </w:p>
    <w:p w14:paraId="0BFEDE5A" w14:textId="245FC63E" w:rsidR="00227020" w:rsidRPr="000265C8" w:rsidRDefault="00CF56EF" w:rsidP="000265C8">
      <w:pPr>
        <w:pStyle w:val="ListParagraph"/>
        <w:numPr>
          <w:ilvl w:val="0"/>
          <w:numId w:val="2"/>
        </w:numPr>
        <w:spacing w:line="276" w:lineRule="auto"/>
        <w:rPr>
          <w:rFonts w:ascii="Calibri" w:hAnsi="Calibri" w:cs="Calibri"/>
        </w:rPr>
      </w:pPr>
      <w:r w:rsidRPr="000265C8">
        <w:rPr>
          <w:rFonts w:ascii="Calibri" w:hAnsi="Calibri" w:cs="Calibri"/>
        </w:rPr>
        <w:t xml:space="preserve">What are the main roles of government in higher education? What should government do? </w:t>
      </w:r>
      <w:r w:rsidR="00E45AE1" w:rsidRPr="000265C8">
        <w:rPr>
          <w:rFonts w:ascii="Calibri" w:hAnsi="Calibri" w:cs="Calibri"/>
        </w:rPr>
        <w:t xml:space="preserve">What should </w:t>
      </w:r>
      <w:r w:rsidRPr="000265C8">
        <w:rPr>
          <w:rFonts w:ascii="Calibri" w:hAnsi="Calibri" w:cs="Calibri"/>
        </w:rPr>
        <w:t xml:space="preserve">universities </w:t>
      </w:r>
      <w:r w:rsidR="00E45AE1" w:rsidRPr="000265C8">
        <w:rPr>
          <w:rFonts w:ascii="Calibri" w:hAnsi="Calibri" w:cs="Calibri"/>
        </w:rPr>
        <w:t>do?</w:t>
      </w:r>
    </w:p>
    <w:p w14:paraId="47B0D874" w14:textId="77777777" w:rsidR="00CF56EF" w:rsidRPr="000265C8" w:rsidRDefault="00CF56EF" w:rsidP="000265C8">
      <w:pPr>
        <w:spacing w:line="276" w:lineRule="auto"/>
        <w:rPr>
          <w:rFonts w:ascii="Calibri" w:hAnsi="Calibri" w:cs="Calibri"/>
        </w:rPr>
      </w:pPr>
    </w:p>
    <w:p w14:paraId="6A6F1C1D" w14:textId="7125EEA6" w:rsidR="005D1BF6" w:rsidRPr="000265C8" w:rsidRDefault="00911414" w:rsidP="000265C8">
      <w:pPr>
        <w:spacing w:line="276" w:lineRule="auto"/>
      </w:pPr>
      <w:r w:rsidRPr="000265C8">
        <w:rPr>
          <w:b/>
          <w:bCs/>
        </w:rPr>
        <w:t>[‘Transcends individual utility’]</w:t>
      </w:r>
    </w:p>
    <w:p w14:paraId="752F72DA" w14:textId="0C0135D0" w:rsidR="000E10D3" w:rsidRPr="000265C8" w:rsidRDefault="00373237" w:rsidP="000265C8">
      <w:pPr>
        <w:spacing w:line="276" w:lineRule="auto"/>
      </w:pPr>
      <w:r w:rsidRPr="000265C8">
        <w:t xml:space="preserve">There was no single understanding among the UK interviewees of the ‘public good’, or ‘public goods’ as distinct from ‘private </w:t>
      </w:r>
      <w:proofErr w:type="gramStart"/>
      <w:r w:rsidRPr="000265C8">
        <w:t>goods’</w:t>
      </w:r>
      <w:proofErr w:type="gramEnd"/>
      <w:r w:rsidRPr="000265C8">
        <w:t xml:space="preserve">. </w:t>
      </w:r>
      <w:r w:rsidR="000E10D3" w:rsidRPr="000265C8">
        <w:t xml:space="preserve">But the answers were largely not neo-liberal. </w:t>
      </w:r>
      <w:r w:rsidRPr="000265C8">
        <w:t xml:space="preserve">More than half the interviewees developed an expansive, albeit ill-defined, </w:t>
      </w:r>
      <w:r w:rsidR="00CF56EF" w:rsidRPr="000265C8">
        <w:t>domain</w:t>
      </w:r>
      <w:r w:rsidRPr="000265C8">
        <w:t xml:space="preserve"> of public action or </w:t>
      </w:r>
      <w:r w:rsidR="000E10D3" w:rsidRPr="000265C8">
        <w:t>public r</w:t>
      </w:r>
      <w:r w:rsidRPr="000265C8">
        <w:t xml:space="preserve">elations, sometimes linked to </w:t>
      </w:r>
      <w:r w:rsidR="000E10D3" w:rsidRPr="000265C8">
        <w:t xml:space="preserve">ideas of </w:t>
      </w:r>
      <w:r w:rsidRPr="000265C8">
        <w:t xml:space="preserve">grass roots democracy. </w:t>
      </w:r>
    </w:p>
    <w:p w14:paraId="310DB2B1" w14:textId="77777777" w:rsidR="008924DB" w:rsidRPr="000265C8" w:rsidRDefault="008924DB" w:rsidP="000265C8">
      <w:pPr>
        <w:spacing w:line="276" w:lineRule="auto"/>
      </w:pPr>
    </w:p>
    <w:p w14:paraId="38760AA2" w14:textId="7072A02B" w:rsidR="001E4712" w:rsidRPr="000265C8" w:rsidRDefault="00E45AE1" w:rsidP="000265C8">
      <w:pPr>
        <w:spacing w:line="276" w:lineRule="auto"/>
        <w:ind w:left="454"/>
      </w:pPr>
      <w:r w:rsidRPr="000265C8">
        <w:rPr>
          <w:rFonts w:ascii="Calibri" w:hAnsi="Calibri" w:cs="Calibri"/>
        </w:rPr>
        <w:t>[quote]</w:t>
      </w:r>
    </w:p>
    <w:p w14:paraId="5D0BBF74" w14:textId="77777777" w:rsidR="001E4712" w:rsidRPr="000265C8" w:rsidRDefault="001E4712" w:rsidP="000265C8">
      <w:pPr>
        <w:spacing w:line="276" w:lineRule="auto"/>
      </w:pPr>
    </w:p>
    <w:p w14:paraId="58803449" w14:textId="6896E5F7" w:rsidR="00CF56EF" w:rsidRPr="000265C8" w:rsidRDefault="00F52FAE" w:rsidP="000265C8">
      <w:pPr>
        <w:spacing w:line="276" w:lineRule="auto"/>
        <w:ind w:firstLine="454"/>
        <w:rPr>
          <w:rFonts w:ascii="Calibri" w:hAnsi="Calibri" w:cs="Calibri"/>
        </w:rPr>
      </w:pPr>
      <w:r w:rsidRPr="000265C8">
        <w:t>Here o</w:t>
      </w:r>
      <w:r w:rsidR="000E10D3" w:rsidRPr="000265C8">
        <w:t xml:space="preserve">nly a </w:t>
      </w:r>
      <w:r w:rsidR="008601E3" w:rsidRPr="000265C8">
        <w:t xml:space="preserve">small </w:t>
      </w:r>
      <w:r w:rsidR="000E10D3" w:rsidRPr="000265C8">
        <w:t xml:space="preserve">minority </w:t>
      </w:r>
      <w:r w:rsidR="00225533" w:rsidRPr="000265C8">
        <w:t>defined</w:t>
      </w:r>
      <w:r w:rsidR="000E10D3" w:rsidRPr="000265C8">
        <w:t xml:space="preserve"> </w:t>
      </w:r>
      <w:r w:rsidR="00225533" w:rsidRPr="000265C8">
        <w:t>‘</w:t>
      </w:r>
      <w:r w:rsidR="000E10D3" w:rsidRPr="000265C8">
        <w:t>public</w:t>
      </w:r>
      <w:r w:rsidR="00225533" w:rsidRPr="000265C8">
        <w:t>’</w:t>
      </w:r>
      <w:r w:rsidR="000E10D3" w:rsidRPr="000265C8">
        <w:t xml:space="preserve"> </w:t>
      </w:r>
      <w:r w:rsidRPr="000265C8">
        <w:t>using</w:t>
      </w:r>
      <w:r w:rsidR="000E10D3" w:rsidRPr="000265C8">
        <w:t xml:space="preserve"> the private/public dual in economics. </w:t>
      </w:r>
    </w:p>
    <w:p w14:paraId="01672E75" w14:textId="77777777" w:rsidR="00CF56EF" w:rsidRPr="000265C8" w:rsidRDefault="00CF56EF" w:rsidP="000265C8">
      <w:pPr>
        <w:spacing w:line="276" w:lineRule="auto"/>
      </w:pPr>
    </w:p>
    <w:p w14:paraId="67DC7DC2" w14:textId="42CF16CA" w:rsidR="008924DB" w:rsidRPr="000265C8" w:rsidRDefault="00911414" w:rsidP="000265C8">
      <w:pPr>
        <w:spacing w:line="276" w:lineRule="auto"/>
      </w:pPr>
      <w:r w:rsidRPr="000265C8">
        <w:rPr>
          <w:b/>
          <w:bCs/>
        </w:rPr>
        <w:t>[Regulation shapes a narrow understanding]</w:t>
      </w:r>
    </w:p>
    <w:p w14:paraId="18A03F16" w14:textId="1B063ED5" w:rsidR="00532BF2" w:rsidRPr="000265C8" w:rsidRDefault="008601E3" w:rsidP="000265C8">
      <w:pPr>
        <w:spacing w:line="276" w:lineRule="auto"/>
      </w:pPr>
      <w:r w:rsidRPr="000265C8">
        <w:t>When it came to public and private in higher education, a typical response was the middle level manager who stated that h</w:t>
      </w:r>
      <w:r w:rsidR="00535908" w:rsidRPr="000265C8">
        <w:t>igher education was committed ‘to serving society [and] making the world a better place’</w:t>
      </w:r>
      <w:r w:rsidRPr="000265C8">
        <w:t>.</w:t>
      </w:r>
      <w:r w:rsidR="00535908" w:rsidRPr="000265C8">
        <w:t xml:space="preserve"> </w:t>
      </w:r>
      <w:r w:rsidRPr="000265C8">
        <w:t>But w</w:t>
      </w:r>
      <w:r w:rsidR="00006D0F" w:rsidRPr="000265C8">
        <w:t xml:space="preserve">hat did this mean? </w:t>
      </w:r>
      <w:r w:rsidR="000E10D3" w:rsidRPr="000265C8">
        <w:t>U</w:t>
      </w:r>
      <w:r w:rsidR="00A94E2A" w:rsidRPr="000265C8">
        <w:t xml:space="preserve">nderstandings of the public good role of higher education </w:t>
      </w:r>
      <w:r w:rsidR="00532BF2" w:rsidRPr="000265C8">
        <w:t>seemed to be strongly influenced</w:t>
      </w:r>
      <w:r w:rsidR="00A1525F" w:rsidRPr="000265C8">
        <w:t xml:space="preserve"> by </w:t>
      </w:r>
      <w:r w:rsidR="00532BF2" w:rsidRPr="000265C8">
        <w:t xml:space="preserve">government </w:t>
      </w:r>
      <w:r w:rsidR="00A1525F" w:rsidRPr="000265C8">
        <w:t>performance regimes</w:t>
      </w:r>
      <w:r w:rsidR="000E10D3" w:rsidRPr="000265C8">
        <w:t>,</w:t>
      </w:r>
      <w:r w:rsidR="00A1525F" w:rsidRPr="000265C8">
        <w:t xml:space="preserve"> </w:t>
      </w:r>
      <w:r w:rsidR="000E10D3" w:rsidRPr="000265C8">
        <w:t>which</w:t>
      </w:r>
      <w:r w:rsidR="00A1525F" w:rsidRPr="000265C8">
        <w:t xml:space="preserve"> highlight</w:t>
      </w:r>
      <w:r w:rsidR="000E10D3" w:rsidRPr="000265C8">
        <w:t>ed</w:t>
      </w:r>
      <w:r w:rsidR="00A1525F" w:rsidRPr="000265C8">
        <w:t xml:space="preserve"> some factors and not others</w:t>
      </w:r>
      <w:r w:rsidR="00920655" w:rsidRPr="000265C8">
        <w:t xml:space="preserve">. </w:t>
      </w:r>
      <w:r w:rsidR="00532BF2" w:rsidRPr="000265C8">
        <w:t>These performance regimes included the REF, TEF, and KEF, the Research Excellence framework which referred to impact, the Knowledge Exchange Framework, and the Teaching Excellence Framework:</w:t>
      </w:r>
    </w:p>
    <w:p w14:paraId="7AB025E3" w14:textId="77777777" w:rsidR="006D1A7C" w:rsidRPr="000265C8" w:rsidRDefault="006D1A7C" w:rsidP="000265C8">
      <w:pPr>
        <w:spacing w:line="276" w:lineRule="auto"/>
      </w:pPr>
    </w:p>
    <w:p w14:paraId="4C747E73" w14:textId="4488A0FF" w:rsidR="00483505" w:rsidRPr="000265C8" w:rsidRDefault="00E45AE1" w:rsidP="000265C8">
      <w:pPr>
        <w:spacing w:line="276" w:lineRule="auto"/>
        <w:ind w:left="454"/>
        <w:rPr>
          <w:rFonts w:ascii="Calibri" w:hAnsi="Calibri" w:cs="Calibri"/>
        </w:rPr>
      </w:pPr>
      <w:r w:rsidRPr="000265C8">
        <w:rPr>
          <w:rFonts w:ascii="Calibri" w:hAnsi="Calibri" w:cs="Calibri"/>
        </w:rPr>
        <w:t>[quote]</w:t>
      </w:r>
    </w:p>
    <w:p w14:paraId="56A26870" w14:textId="77777777" w:rsidR="006D1A7C" w:rsidRPr="000265C8" w:rsidRDefault="006D1A7C" w:rsidP="000265C8">
      <w:pPr>
        <w:spacing w:line="276" w:lineRule="auto"/>
        <w:ind w:left="454"/>
      </w:pPr>
    </w:p>
    <w:p w14:paraId="064EAD92" w14:textId="2FE06EB5" w:rsidR="000577C7" w:rsidRPr="000265C8" w:rsidRDefault="000577C7" w:rsidP="000265C8">
      <w:pPr>
        <w:spacing w:line="276" w:lineRule="auto"/>
        <w:rPr>
          <w:b/>
          <w:bCs/>
        </w:rPr>
      </w:pPr>
      <w:r w:rsidRPr="000265C8">
        <w:rPr>
          <w:b/>
          <w:bCs/>
        </w:rPr>
        <w:t>[No single conceptual framework for measuring public good(s)]</w:t>
      </w:r>
    </w:p>
    <w:p w14:paraId="23E28132" w14:textId="6691E6C3" w:rsidR="00006D0F" w:rsidRPr="000265C8" w:rsidRDefault="000E10D3" w:rsidP="000265C8">
      <w:pPr>
        <w:spacing w:line="276" w:lineRule="auto"/>
      </w:pPr>
      <w:r w:rsidRPr="000265C8">
        <w:t xml:space="preserve">An executive leader in one national higher education organisations noted that it was </w:t>
      </w:r>
      <w:r w:rsidR="00532BF2" w:rsidRPr="000265C8">
        <w:t xml:space="preserve">very </w:t>
      </w:r>
      <w:r w:rsidRPr="000265C8">
        <w:t xml:space="preserve">difficult to create </w:t>
      </w:r>
      <w:r w:rsidR="00532BF2" w:rsidRPr="000265C8">
        <w:t xml:space="preserve">more </w:t>
      </w:r>
      <w:r w:rsidRPr="000265C8">
        <w:t xml:space="preserve">comprehensive measures </w:t>
      </w:r>
      <w:r w:rsidR="00532BF2" w:rsidRPr="000265C8">
        <w:t xml:space="preserve">of the contributions to public good: </w:t>
      </w:r>
    </w:p>
    <w:p w14:paraId="46306588" w14:textId="77777777" w:rsidR="00A53293" w:rsidRPr="000265C8" w:rsidRDefault="00A53293" w:rsidP="000265C8">
      <w:pPr>
        <w:spacing w:line="276" w:lineRule="auto"/>
        <w:ind w:left="454"/>
        <w:rPr>
          <w:color w:val="000000" w:themeColor="text1"/>
        </w:rPr>
      </w:pPr>
    </w:p>
    <w:p w14:paraId="314C9C9E" w14:textId="7BF1054E" w:rsidR="00A53293" w:rsidRPr="000265C8" w:rsidRDefault="00E45AE1" w:rsidP="000265C8">
      <w:pPr>
        <w:spacing w:line="276" w:lineRule="auto"/>
        <w:ind w:left="454"/>
        <w:rPr>
          <w:color w:val="000000" w:themeColor="text1"/>
        </w:rPr>
      </w:pPr>
      <w:r w:rsidRPr="000265C8">
        <w:rPr>
          <w:color w:val="000000" w:themeColor="text1"/>
        </w:rPr>
        <w:t>[quote]</w:t>
      </w:r>
    </w:p>
    <w:p w14:paraId="616FF2E4" w14:textId="77777777" w:rsidR="00A94E2A" w:rsidRPr="000265C8" w:rsidRDefault="00A94E2A" w:rsidP="000265C8">
      <w:pPr>
        <w:spacing w:line="276" w:lineRule="auto"/>
        <w:rPr>
          <w:color w:val="000000" w:themeColor="text1"/>
        </w:rPr>
      </w:pPr>
    </w:p>
    <w:p w14:paraId="3E188B64" w14:textId="1162A763" w:rsidR="00BF3313" w:rsidRPr="000265C8" w:rsidRDefault="00BF3313" w:rsidP="000265C8">
      <w:pPr>
        <w:spacing w:line="276" w:lineRule="auto"/>
        <w:rPr>
          <w:b/>
          <w:bCs/>
        </w:rPr>
      </w:pPr>
      <w:r w:rsidRPr="000265C8">
        <w:rPr>
          <w:b/>
          <w:bCs/>
        </w:rPr>
        <w:t>[Individuals gain more than pecuniary benefits]</w:t>
      </w:r>
    </w:p>
    <w:p w14:paraId="54450052" w14:textId="7182B2F6" w:rsidR="008924DB" w:rsidRPr="000265C8" w:rsidRDefault="00532BF2" w:rsidP="000265C8">
      <w:pPr>
        <w:spacing w:line="276" w:lineRule="auto"/>
        <w:rPr>
          <w:color w:val="000000" w:themeColor="text1"/>
        </w:rPr>
      </w:pPr>
      <w:r w:rsidRPr="000265C8">
        <w:t xml:space="preserve">However, </w:t>
      </w:r>
      <w:r w:rsidR="00BC658E" w:rsidRPr="000265C8">
        <w:t xml:space="preserve">interviewees emphasised that </w:t>
      </w:r>
      <w:r w:rsidRPr="000265C8">
        <w:t xml:space="preserve">even </w:t>
      </w:r>
      <w:r w:rsidR="00BC658E" w:rsidRPr="000265C8">
        <w:t>the</w:t>
      </w:r>
      <w:r w:rsidR="008924DB" w:rsidRPr="000265C8">
        <w:t xml:space="preserve"> individual</w:t>
      </w:r>
      <w:r w:rsidR="00BC658E" w:rsidRPr="000265C8">
        <w:t>ised</w:t>
      </w:r>
      <w:r w:rsidR="008924DB" w:rsidRPr="000265C8">
        <w:t xml:space="preserve"> </w:t>
      </w:r>
      <w:r w:rsidR="00F52FAE" w:rsidRPr="000265C8">
        <w:t>outcome</w:t>
      </w:r>
      <w:r w:rsidR="008924DB" w:rsidRPr="000265C8">
        <w:t xml:space="preserve">s of higher education were broader than private pecuniary benefits. </w:t>
      </w:r>
      <w:r w:rsidR="00225533" w:rsidRPr="000265C8">
        <w:t>There was a</w:t>
      </w:r>
      <w:r w:rsidR="00F52FAE" w:rsidRPr="000265C8">
        <w:t xml:space="preserve"> </w:t>
      </w:r>
      <w:r w:rsidR="00225533" w:rsidRPr="000265C8">
        <w:t>public good component in the education of individuals</w:t>
      </w:r>
      <w:r w:rsidR="008924DB" w:rsidRPr="000265C8">
        <w:t xml:space="preserve"> as capable, </w:t>
      </w:r>
      <w:proofErr w:type="gramStart"/>
      <w:r w:rsidR="008924DB" w:rsidRPr="000265C8">
        <w:t>socialised</w:t>
      </w:r>
      <w:proofErr w:type="gramEnd"/>
      <w:r w:rsidR="008924DB" w:rsidRPr="000265C8">
        <w:t xml:space="preserve"> and autonomous persons. </w:t>
      </w:r>
    </w:p>
    <w:p w14:paraId="4BA000A1" w14:textId="77777777" w:rsidR="008924DB" w:rsidRPr="000265C8" w:rsidRDefault="008924DB" w:rsidP="000265C8">
      <w:pPr>
        <w:spacing w:line="276" w:lineRule="auto"/>
      </w:pPr>
    </w:p>
    <w:p w14:paraId="7940CEBF" w14:textId="25EEEF2C" w:rsidR="005F1933" w:rsidRPr="000265C8" w:rsidRDefault="00E45AE1" w:rsidP="000265C8">
      <w:pPr>
        <w:spacing w:line="276" w:lineRule="auto"/>
        <w:ind w:left="454"/>
      </w:pPr>
      <w:r w:rsidRPr="000265C8">
        <w:rPr>
          <w:rFonts w:ascii="Calibri" w:hAnsi="Calibri" w:cs="Calibri"/>
          <w:color w:val="000000" w:themeColor="text1"/>
        </w:rPr>
        <w:t>[quotes]</w:t>
      </w:r>
    </w:p>
    <w:p w14:paraId="094E2445" w14:textId="77C3299A" w:rsidR="00FF0F14" w:rsidRPr="000265C8" w:rsidRDefault="00FF0F14" w:rsidP="000265C8">
      <w:pPr>
        <w:spacing w:line="276" w:lineRule="auto"/>
        <w:rPr>
          <w:color w:val="000000" w:themeColor="text1"/>
        </w:rPr>
      </w:pPr>
    </w:p>
    <w:p w14:paraId="76D3667F" w14:textId="03714840" w:rsidR="00BF3313" w:rsidRPr="000265C8" w:rsidRDefault="00BF3313" w:rsidP="000265C8">
      <w:pPr>
        <w:spacing w:line="276" w:lineRule="auto"/>
        <w:rPr>
          <w:b/>
          <w:bCs/>
        </w:rPr>
      </w:pPr>
      <w:r w:rsidRPr="000265C8">
        <w:rPr>
          <w:b/>
          <w:bCs/>
        </w:rPr>
        <w:lastRenderedPageBreak/>
        <w:t>[‘We need to think of education as education’]</w:t>
      </w:r>
    </w:p>
    <w:p w14:paraId="147E1967" w14:textId="5C325E8A" w:rsidR="00ED1F83" w:rsidRPr="000265C8" w:rsidRDefault="00ED1F83" w:rsidP="000265C8">
      <w:pPr>
        <w:spacing w:line="276" w:lineRule="auto"/>
      </w:pPr>
      <w:r w:rsidRPr="000265C8">
        <w:t xml:space="preserve">There was a shared concern that the focus on individual pecuniary benefits had narrowed </w:t>
      </w:r>
      <w:r w:rsidR="00F52FAE" w:rsidRPr="000265C8">
        <w:t>ideas</w:t>
      </w:r>
      <w:r w:rsidRPr="000265C8">
        <w:t xml:space="preserve"> of the sector’s mission</w:t>
      </w:r>
      <w:r w:rsidR="00BF3313" w:rsidRPr="000265C8">
        <w:t>. ‘</w:t>
      </w:r>
      <w:r w:rsidR="00BF3313" w:rsidRPr="000265C8">
        <w:rPr>
          <w:rFonts w:ascii="Calibri" w:hAnsi="Calibri" w:cs="Calibri"/>
        </w:rPr>
        <w:t>We need to think of education as being education, not training for a job.’</w:t>
      </w:r>
    </w:p>
    <w:p w14:paraId="647CFA49" w14:textId="77777777" w:rsidR="00ED1F83" w:rsidRPr="000265C8" w:rsidRDefault="00ED1F83" w:rsidP="000265C8">
      <w:pPr>
        <w:spacing w:line="276" w:lineRule="auto"/>
      </w:pPr>
    </w:p>
    <w:p w14:paraId="2FBFF54E" w14:textId="70161C05" w:rsidR="00ED1F83" w:rsidRPr="000265C8" w:rsidRDefault="002A7077" w:rsidP="000265C8">
      <w:pPr>
        <w:spacing w:line="276" w:lineRule="auto"/>
        <w:ind w:left="454"/>
        <w:rPr>
          <w:color w:val="000000" w:themeColor="text1"/>
        </w:rPr>
      </w:pPr>
      <w:r w:rsidRPr="000265C8">
        <w:rPr>
          <w:rFonts w:ascii="Calibri" w:hAnsi="Calibri" w:cs="Calibri"/>
          <w:color w:val="000000" w:themeColor="text1"/>
        </w:rPr>
        <w:t>[quotes]</w:t>
      </w:r>
    </w:p>
    <w:p w14:paraId="69726441" w14:textId="77777777" w:rsidR="00ED1F83" w:rsidRPr="000265C8" w:rsidRDefault="00ED1F83" w:rsidP="000265C8">
      <w:pPr>
        <w:spacing w:line="276" w:lineRule="auto"/>
      </w:pPr>
    </w:p>
    <w:p w14:paraId="531C57BF" w14:textId="211E19E2" w:rsidR="00BF3313" w:rsidRPr="000265C8" w:rsidRDefault="00BF3313" w:rsidP="000265C8">
      <w:pPr>
        <w:spacing w:line="276" w:lineRule="auto"/>
        <w:rPr>
          <w:rFonts w:ascii="Calibri" w:hAnsi="Calibri" w:cs="Calibri"/>
          <w:b/>
          <w:bCs/>
          <w:color w:val="000000" w:themeColor="text1"/>
        </w:rPr>
      </w:pPr>
      <w:r w:rsidRPr="000265C8">
        <w:rPr>
          <w:b/>
          <w:bCs/>
        </w:rPr>
        <w:t xml:space="preserve">[But </w:t>
      </w:r>
      <w:r w:rsidRPr="000265C8">
        <w:rPr>
          <w:rFonts w:ascii="Calibri" w:hAnsi="Calibri" w:cs="Calibri"/>
          <w:b/>
          <w:bCs/>
          <w:color w:val="000000" w:themeColor="text1"/>
        </w:rPr>
        <w:t>‘it is creating social division’]</w:t>
      </w:r>
    </w:p>
    <w:p w14:paraId="375C12EE" w14:textId="2691CB80" w:rsidR="00842219" w:rsidRPr="000265C8" w:rsidRDefault="00532BF2" w:rsidP="000265C8">
      <w:pPr>
        <w:spacing w:line="276" w:lineRule="auto"/>
      </w:pPr>
      <w:r w:rsidRPr="000265C8">
        <w:t>An</w:t>
      </w:r>
      <w:r w:rsidR="00265E8C" w:rsidRPr="000265C8">
        <w:t xml:space="preserve">other </w:t>
      </w:r>
      <w:r w:rsidR="00F52FAE" w:rsidRPr="000265C8">
        <w:t xml:space="preserve">much discussed </w:t>
      </w:r>
      <w:r w:rsidRPr="000265C8">
        <w:t>public</w:t>
      </w:r>
      <w:r w:rsidR="00265E8C" w:rsidRPr="000265C8">
        <w:t xml:space="preserve"> benefit was higher education’s role in facilitating social opportunity and mobility</w:t>
      </w:r>
      <w:r w:rsidRPr="000265C8">
        <w:t>.</w:t>
      </w:r>
      <w:r w:rsidR="00265E8C" w:rsidRPr="000265C8">
        <w:t xml:space="preserve"> </w:t>
      </w:r>
      <w:r w:rsidR="00F52FAE" w:rsidRPr="000265C8">
        <w:t>This was seen as</w:t>
      </w:r>
      <w:r w:rsidR="00C9188C" w:rsidRPr="000265C8">
        <w:t xml:space="preserve"> central to higher education’s public role</w:t>
      </w:r>
      <w:r w:rsidR="00BF3313" w:rsidRPr="000265C8">
        <w:t>. But</w:t>
      </w:r>
      <w:r w:rsidR="00F52FAE" w:rsidRPr="000265C8">
        <w:t xml:space="preserve"> </w:t>
      </w:r>
      <w:r w:rsidR="009E3F08" w:rsidRPr="000265C8">
        <w:t>several interviewees</w:t>
      </w:r>
      <w:r w:rsidR="00F52FAE" w:rsidRPr="000265C8">
        <w:t xml:space="preserve"> </w:t>
      </w:r>
      <w:r w:rsidR="009E3F08" w:rsidRPr="000265C8">
        <w:t xml:space="preserve">expressed </w:t>
      </w:r>
      <w:r w:rsidR="00F52FAE" w:rsidRPr="000265C8">
        <w:t>doubts about its effectiveness</w:t>
      </w:r>
      <w:r w:rsidR="009E3F08" w:rsidRPr="000265C8">
        <w:t xml:space="preserve"> in creating mobility, and </w:t>
      </w:r>
      <w:r w:rsidR="00BF3313" w:rsidRPr="000265C8">
        <w:t xml:space="preserve">there were </w:t>
      </w:r>
      <w:r w:rsidR="009E3F08" w:rsidRPr="000265C8">
        <w:t xml:space="preserve">concerns that it was </w:t>
      </w:r>
      <w:r w:rsidRPr="000265C8">
        <w:t>creating barriers that reinforced social stratification</w:t>
      </w:r>
      <w:r w:rsidR="002A7077" w:rsidRPr="000265C8">
        <w:t>, between those who received the private good and those who did not. In the absence of a perspective on the public benefits for those outside higher education, for them it was a negative</w:t>
      </w:r>
      <w:r w:rsidRPr="000265C8">
        <w:t xml:space="preserve">. </w:t>
      </w:r>
      <w:r w:rsidR="00265E8C" w:rsidRPr="000265C8">
        <w:t xml:space="preserve"> </w:t>
      </w:r>
    </w:p>
    <w:p w14:paraId="2604E81F" w14:textId="77777777" w:rsidR="00FF0F14" w:rsidRPr="000265C8" w:rsidRDefault="00FF0F14" w:rsidP="000265C8">
      <w:pPr>
        <w:spacing w:line="276" w:lineRule="auto"/>
      </w:pPr>
    </w:p>
    <w:p w14:paraId="77E08DD3" w14:textId="42D01A75" w:rsidR="009E3F08" w:rsidRPr="000265C8" w:rsidRDefault="002A7077" w:rsidP="000265C8">
      <w:pPr>
        <w:spacing w:line="276" w:lineRule="auto"/>
        <w:ind w:left="454"/>
        <w:rPr>
          <w:rFonts w:ascii="Calibri" w:hAnsi="Calibri" w:cs="Calibri"/>
          <w:color w:val="000000" w:themeColor="text1"/>
        </w:rPr>
      </w:pPr>
      <w:r w:rsidRPr="000265C8">
        <w:rPr>
          <w:rFonts w:ascii="Calibri" w:hAnsi="Calibri" w:cs="Calibri"/>
          <w:color w:val="000000" w:themeColor="text1"/>
        </w:rPr>
        <w:t>[quote]</w:t>
      </w:r>
    </w:p>
    <w:p w14:paraId="44B8A2BE" w14:textId="77777777" w:rsidR="007A6B90" w:rsidRPr="000265C8" w:rsidRDefault="007A6B90" w:rsidP="000265C8">
      <w:pPr>
        <w:spacing w:line="276" w:lineRule="auto"/>
      </w:pPr>
    </w:p>
    <w:p w14:paraId="144CF860" w14:textId="0F325EF3" w:rsidR="00A1525F" w:rsidRPr="000265C8" w:rsidRDefault="00BF3313" w:rsidP="000265C8">
      <w:pPr>
        <w:spacing w:line="276" w:lineRule="auto"/>
        <w:rPr>
          <w:b/>
          <w:bCs/>
        </w:rPr>
      </w:pPr>
      <w:r w:rsidRPr="000265C8">
        <w:rPr>
          <w:b/>
          <w:bCs/>
        </w:rPr>
        <w:t>[‘</w:t>
      </w:r>
      <w:r w:rsidRPr="000265C8">
        <w:rPr>
          <w:rFonts w:ascii="Calibri" w:hAnsi="Calibri" w:cs="Calibri"/>
          <w:b/>
          <w:bCs/>
        </w:rPr>
        <w:t>Public and private benefit are not necessarily antagonistic’]</w:t>
      </w:r>
    </w:p>
    <w:p w14:paraId="2B4A7701" w14:textId="33A53E55" w:rsidR="008601E3" w:rsidRPr="000265C8" w:rsidRDefault="00A1525F" w:rsidP="000265C8">
      <w:pPr>
        <w:spacing w:line="276" w:lineRule="auto"/>
      </w:pPr>
      <w:r w:rsidRPr="000265C8">
        <w:t xml:space="preserve">When it came to discussion of the Samuelson </w:t>
      </w:r>
      <w:r w:rsidR="00BC7AE4" w:rsidRPr="000265C8">
        <w:t xml:space="preserve">private/public </w:t>
      </w:r>
      <w:r w:rsidRPr="000265C8">
        <w:t xml:space="preserve">dualism within higher education, there was curious variation. </w:t>
      </w:r>
      <w:r w:rsidR="00225533" w:rsidRPr="000265C8">
        <w:t>T</w:t>
      </w:r>
      <w:r w:rsidRPr="000265C8">
        <w:t xml:space="preserve">he </w:t>
      </w:r>
      <w:proofErr w:type="gramStart"/>
      <w:r w:rsidRPr="000265C8">
        <w:t>economically-trained</w:t>
      </w:r>
      <w:proofErr w:type="gramEnd"/>
      <w:r w:rsidRPr="000265C8">
        <w:t xml:space="preserve"> </w:t>
      </w:r>
      <w:r w:rsidR="008601E3" w:rsidRPr="000265C8">
        <w:t>readily moved to the</w:t>
      </w:r>
      <w:r w:rsidRPr="000265C8">
        <w:t xml:space="preserve"> </w:t>
      </w:r>
      <w:r w:rsidR="008601E3" w:rsidRPr="000265C8">
        <w:t xml:space="preserve">economic </w:t>
      </w:r>
      <w:r w:rsidR="007A6B90" w:rsidRPr="000265C8">
        <w:t>language</w:t>
      </w:r>
      <w:r w:rsidR="008601E3" w:rsidRPr="000265C8">
        <w:t xml:space="preserve">. Others did not. But the approach also differed, across the whole interviewee group, between discussion of the </w:t>
      </w:r>
      <w:r w:rsidR="008601E3" w:rsidRPr="000265C8">
        <w:rPr>
          <w:i/>
          <w:iCs/>
        </w:rPr>
        <w:t xml:space="preserve">outcomes </w:t>
      </w:r>
      <w:r w:rsidR="008601E3" w:rsidRPr="000265C8">
        <w:t xml:space="preserve">of higher education, and discussion of </w:t>
      </w:r>
      <w:r w:rsidR="009E3F08" w:rsidRPr="000265C8">
        <w:t xml:space="preserve">the </w:t>
      </w:r>
      <w:r w:rsidR="008601E3" w:rsidRPr="000265C8">
        <w:rPr>
          <w:i/>
          <w:iCs/>
        </w:rPr>
        <w:t>financing</w:t>
      </w:r>
      <w:r w:rsidR="008601E3" w:rsidRPr="000265C8">
        <w:t xml:space="preserve"> of higher education. </w:t>
      </w:r>
    </w:p>
    <w:p w14:paraId="7C80902F" w14:textId="57FEA255" w:rsidR="008601E3" w:rsidRPr="000265C8" w:rsidRDefault="009E3F08" w:rsidP="000265C8">
      <w:pPr>
        <w:spacing w:line="276" w:lineRule="auto"/>
        <w:ind w:firstLine="454"/>
      </w:pPr>
      <w:r w:rsidRPr="000265C8">
        <w:t>On</w:t>
      </w:r>
      <w:r w:rsidR="008601E3" w:rsidRPr="000265C8">
        <w:t xml:space="preserve"> outcomes, </w:t>
      </w:r>
      <w:r w:rsidRPr="000265C8">
        <w:t>most argued</w:t>
      </w:r>
      <w:r w:rsidR="008601E3" w:rsidRPr="000265C8">
        <w:t xml:space="preserve"> that higher education generated a mix of individualised private benefits, pecuniary and </w:t>
      </w:r>
      <w:proofErr w:type="spellStart"/>
      <w:proofErr w:type="gramStart"/>
      <w:r w:rsidR="008601E3" w:rsidRPr="000265C8">
        <w:t>non pecuniary</w:t>
      </w:r>
      <w:proofErr w:type="spellEnd"/>
      <w:proofErr w:type="gramEnd"/>
      <w:r w:rsidR="008601E3" w:rsidRPr="000265C8">
        <w:t xml:space="preserve">, and </w:t>
      </w:r>
      <w:r w:rsidRPr="000265C8">
        <w:t xml:space="preserve">collective </w:t>
      </w:r>
      <w:r w:rsidR="008601E3" w:rsidRPr="000265C8">
        <w:t xml:space="preserve">public benefits. Economists understood this collective aspect in inclusive terms as did others, moving well beyond Samuelson’s limited idea of public goods. Zero-sum approaches were largely rejected. </w:t>
      </w:r>
    </w:p>
    <w:p w14:paraId="6B285A3A" w14:textId="77777777" w:rsidR="008601E3" w:rsidRPr="000265C8" w:rsidRDefault="008601E3" w:rsidP="000265C8">
      <w:pPr>
        <w:spacing w:line="276" w:lineRule="auto"/>
      </w:pPr>
    </w:p>
    <w:p w14:paraId="31D6279E" w14:textId="0C2CAF35" w:rsidR="005A0CAD" w:rsidRPr="000265C8" w:rsidRDefault="002A7077" w:rsidP="000265C8">
      <w:pPr>
        <w:spacing w:line="276" w:lineRule="auto"/>
        <w:ind w:left="454"/>
        <w:rPr>
          <w:color w:val="000000" w:themeColor="text1"/>
        </w:rPr>
      </w:pPr>
      <w:r w:rsidRPr="000265C8">
        <w:rPr>
          <w:rFonts w:ascii="Calibri" w:hAnsi="Calibri" w:cs="Calibri"/>
        </w:rPr>
        <w:t>[quotes]</w:t>
      </w:r>
    </w:p>
    <w:p w14:paraId="1331B5DD" w14:textId="77777777" w:rsidR="008601E3" w:rsidRPr="000265C8" w:rsidRDefault="008601E3" w:rsidP="000265C8">
      <w:pPr>
        <w:spacing w:line="276" w:lineRule="auto"/>
      </w:pPr>
    </w:p>
    <w:p w14:paraId="4F3EA91F" w14:textId="77777777" w:rsidR="007606A3" w:rsidRPr="000265C8" w:rsidRDefault="007606A3" w:rsidP="000265C8">
      <w:pPr>
        <w:spacing w:line="276" w:lineRule="auto"/>
        <w:rPr>
          <w:b/>
          <w:bCs/>
        </w:rPr>
      </w:pPr>
      <w:r w:rsidRPr="000265C8">
        <w:rPr>
          <w:b/>
          <w:bCs/>
        </w:rPr>
        <w:t>[One interviewee agreed with Treasury]</w:t>
      </w:r>
    </w:p>
    <w:p w14:paraId="6FBECABF" w14:textId="3B951B75" w:rsidR="00A1525F" w:rsidRPr="000265C8" w:rsidRDefault="009E3F08" w:rsidP="000265C8">
      <w:pPr>
        <w:spacing w:line="276" w:lineRule="auto"/>
      </w:pPr>
      <w:r w:rsidRPr="000265C8">
        <w:t>Only</w:t>
      </w:r>
      <w:r w:rsidR="005A0CAD" w:rsidRPr="000265C8">
        <w:t xml:space="preserve"> o</w:t>
      </w:r>
      <w:r w:rsidR="00A1525F" w:rsidRPr="000265C8">
        <w:t xml:space="preserve">ne interviewee </w:t>
      </w:r>
      <w:r w:rsidR="005A0CAD" w:rsidRPr="000265C8">
        <w:t>s</w:t>
      </w:r>
      <w:r w:rsidR="00A1525F" w:rsidRPr="000265C8">
        <w:t xml:space="preserve">aw teaching as primarily generating private goods, with research predominantly a public good, a viewpoint consistent with UK </w:t>
      </w:r>
      <w:r w:rsidR="007606A3" w:rsidRPr="000265C8">
        <w:t>economic</w:t>
      </w:r>
      <w:r w:rsidR="00A1525F" w:rsidRPr="000265C8">
        <w:t xml:space="preserve"> policy.</w:t>
      </w:r>
    </w:p>
    <w:p w14:paraId="05750351" w14:textId="77777777" w:rsidR="00A1525F" w:rsidRPr="000265C8" w:rsidRDefault="00A1525F" w:rsidP="000265C8">
      <w:pPr>
        <w:spacing w:line="276" w:lineRule="auto"/>
      </w:pPr>
    </w:p>
    <w:p w14:paraId="0BE18AAA" w14:textId="61C9086F" w:rsidR="00A1525F" w:rsidRPr="000265C8" w:rsidRDefault="002A7077" w:rsidP="000265C8">
      <w:pPr>
        <w:spacing w:line="276" w:lineRule="auto"/>
        <w:ind w:left="454"/>
      </w:pPr>
      <w:r w:rsidRPr="000265C8">
        <w:rPr>
          <w:rFonts w:ascii="Calibri" w:hAnsi="Calibri" w:cs="Calibri"/>
        </w:rPr>
        <w:t>[quote]</w:t>
      </w:r>
    </w:p>
    <w:p w14:paraId="1ACB7CE2" w14:textId="77777777" w:rsidR="00A1525F" w:rsidRPr="000265C8" w:rsidRDefault="00A1525F" w:rsidP="000265C8">
      <w:pPr>
        <w:spacing w:line="276" w:lineRule="auto"/>
      </w:pPr>
    </w:p>
    <w:p w14:paraId="1F425C05" w14:textId="3E1629CB" w:rsidR="00AC078E" w:rsidRPr="000265C8" w:rsidRDefault="00727325" w:rsidP="000265C8">
      <w:pPr>
        <w:spacing w:line="276" w:lineRule="auto"/>
      </w:pPr>
      <w:r w:rsidRPr="000265C8">
        <w:tab/>
      </w:r>
      <w:r w:rsidR="00BE559E" w:rsidRPr="000265C8">
        <w:t>This was exceptional</w:t>
      </w:r>
      <w:r w:rsidR="00500F7C" w:rsidRPr="000265C8">
        <w:t xml:space="preserve">. </w:t>
      </w:r>
      <w:r w:rsidR="00BE559E" w:rsidRPr="000265C8">
        <w:t>Other</w:t>
      </w:r>
      <w:r w:rsidR="005A0CAD" w:rsidRPr="000265C8">
        <w:t xml:space="preserve"> interviewees </w:t>
      </w:r>
      <w:r w:rsidR="00BE559E" w:rsidRPr="000265C8">
        <w:t>saw teaching as having both private and public benefits. Nevertheless, Treasury thinking had more influence than this suggests. W</w:t>
      </w:r>
      <w:r w:rsidR="009E3F08" w:rsidRPr="000265C8">
        <w:t xml:space="preserve">hile </w:t>
      </w:r>
      <w:r w:rsidR="00BE559E" w:rsidRPr="000265C8">
        <w:t>interviewees</w:t>
      </w:r>
      <w:r w:rsidR="009E3F08" w:rsidRPr="000265C8">
        <w:t xml:space="preserve"> often saw the private benefits as contained within and consistent with the public benefits, the</w:t>
      </w:r>
      <w:r w:rsidR="00BE559E" w:rsidRPr="000265C8">
        <w:t xml:space="preserve"> same people</w:t>
      </w:r>
      <w:r w:rsidR="009E3F08" w:rsidRPr="000265C8">
        <w:t xml:space="preserve"> generally advocated a zero-sum approach to financing, and this often seemed to be determining. T</w:t>
      </w:r>
      <w:r w:rsidR="005A0CAD" w:rsidRPr="000265C8">
        <w:t xml:space="preserve">he </w:t>
      </w:r>
      <w:r w:rsidR="00AC078E" w:rsidRPr="000265C8">
        <w:t xml:space="preserve">idea of the </w:t>
      </w:r>
      <w:r w:rsidR="005A0CAD" w:rsidRPr="000265C8">
        <w:t xml:space="preserve">Robbins era, </w:t>
      </w:r>
      <w:r w:rsidR="00BE559E" w:rsidRPr="000265C8">
        <w:t xml:space="preserve">which is </w:t>
      </w:r>
      <w:r w:rsidR="009E3F08" w:rsidRPr="000265C8">
        <w:t xml:space="preserve">still </w:t>
      </w:r>
      <w:r w:rsidR="00AC078E" w:rsidRPr="000265C8">
        <w:t xml:space="preserve">the </w:t>
      </w:r>
      <w:r w:rsidR="005A0CAD" w:rsidRPr="000265C8">
        <w:lastRenderedPageBreak/>
        <w:t>Western European</w:t>
      </w:r>
      <w:r w:rsidR="00AC078E" w:rsidRPr="000265C8">
        <w:t xml:space="preserve"> </w:t>
      </w:r>
      <w:r w:rsidR="005A0CAD" w:rsidRPr="000265C8">
        <w:t>idea</w:t>
      </w:r>
      <w:r w:rsidR="00AC078E" w:rsidRPr="000265C8">
        <w:t>,</w:t>
      </w:r>
      <w:r w:rsidR="005A0CAD" w:rsidRPr="000265C8">
        <w:t xml:space="preserve"> that the individual contribution </w:t>
      </w:r>
      <w:r w:rsidR="009E3F08" w:rsidRPr="000265C8">
        <w:t xml:space="preserve">to financing </w:t>
      </w:r>
      <w:r w:rsidR="00BE559E" w:rsidRPr="000265C8">
        <w:t>is</w:t>
      </w:r>
      <w:r w:rsidR="009E3F08" w:rsidRPr="000265C8">
        <w:t xml:space="preserve"> contained within </w:t>
      </w:r>
      <w:r w:rsidR="005A0CAD" w:rsidRPr="000265C8">
        <w:t>collective financing</w:t>
      </w:r>
      <w:r w:rsidR="009E3F08" w:rsidRPr="000265C8">
        <w:t xml:space="preserve"> </w:t>
      </w:r>
      <w:r w:rsidR="005A0CAD" w:rsidRPr="000265C8">
        <w:t xml:space="preserve">– the notion the beneficiary earning higher incomes would necessarily carry part of the cost by paying higher taxation – seemed to </w:t>
      </w:r>
      <w:r w:rsidR="00AC078E" w:rsidRPr="000265C8">
        <w:t xml:space="preserve">have been </w:t>
      </w:r>
      <w:r w:rsidR="005A0CAD" w:rsidRPr="000265C8">
        <w:t xml:space="preserve">discarded in </w:t>
      </w:r>
      <w:r w:rsidR="00500F7C" w:rsidRPr="000265C8">
        <w:t xml:space="preserve">the </w:t>
      </w:r>
      <w:r w:rsidR="005A0CAD" w:rsidRPr="000265C8">
        <w:t xml:space="preserve">UK. </w:t>
      </w:r>
      <w:r w:rsidR="00ED1F83" w:rsidRPr="000265C8">
        <w:t xml:space="preserve">Interviewees </w:t>
      </w:r>
      <w:r w:rsidR="00D1131F" w:rsidRPr="000265C8">
        <w:t>want</w:t>
      </w:r>
      <w:r w:rsidR="00500F7C" w:rsidRPr="000265C8">
        <w:t>ed</w:t>
      </w:r>
      <w:r w:rsidR="00ED1F83" w:rsidRPr="000265C8">
        <w:t xml:space="preserve"> Robbins </w:t>
      </w:r>
      <w:r w:rsidR="00BE559E" w:rsidRPr="000265C8">
        <w:t xml:space="preserve">public and private </w:t>
      </w:r>
      <w:r w:rsidR="00ED1F83" w:rsidRPr="000265C8">
        <w:t xml:space="preserve">outcomes without Robbins financing. </w:t>
      </w:r>
    </w:p>
    <w:p w14:paraId="5A821459" w14:textId="77777777" w:rsidR="007606A3" w:rsidRPr="000265C8" w:rsidRDefault="007606A3" w:rsidP="000265C8">
      <w:pPr>
        <w:spacing w:line="276" w:lineRule="auto"/>
      </w:pPr>
    </w:p>
    <w:p w14:paraId="10AA0ADE" w14:textId="306448A3" w:rsidR="007606A3" w:rsidRPr="000265C8" w:rsidRDefault="007606A3" w:rsidP="000265C8">
      <w:pPr>
        <w:spacing w:line="276" w:lineRule="auto"/>
        <w:rPr>
          <w:b/>
          <w:bCs/>
        </w:rPr>
      </w:pPr>
      <w:r w:rsidRPr="000265C8">
        <w:rPr>
          <w:b/>
          <w:bCs/>
        </w:rPr>
        <w:t xml:space="preserve">[Neo-liberal autonomy </w:t>
      </w:r>
      <w:r w:rsidR="00F664CC" w:rsidRPr="000265C8">
        <w:rPr>
          <w:b/>
          <w:bCs/>
        </w:rPr>
        <w:t>has attractions for universities</w:t>
      </w:r>
      <w:r w:rsidRPr="000265C8">
        <w:rPr>
          <w:b/>
          <w:bCs/>
        </w:rPr>
        <w:t>]</w:t>
      </w:r>
    </w:p>
    <w:p w14:paraId="4A718404" w14:textId="6633A72D" w:rsidR="00AB24F6" w:rsidRPr="000265C8" w:rsidRDefault="00BE559E" w:rsidP="000265C8">
      <w:pPr>
        <w:spacing w:line="276" w:lineRule="auto"/>
      </w:pPr>
      <w:r w:rsidRPr="000265C8">
        <w:t>Why did the interviewees adopt this contradictory position? One reason is that</w:t>
      </w:r>
      <w:r w:rsidR="00ED1F83" w:rsidRPr="000265C8">
        <w:t xml:space="preserve"> the neoliberal corporatisation of institutions ha</w:t>
      </w:r>
      <w:r w:rsidRPr="000265C8">
        <w:t>s</w:t>
      </w:r>
      <w:r w:rsidR="00ED1F83" w:rsidRPr="000265C8">
        <w:t xml:space="preserve"> left its mark. </w:t>
      </w:r>
      <w:r w:rsidR="00AB24F6" w:rsidRPr="000265C8">
        <w:t xml:space="preserve">One expert saw </w:t>
      </w:r>
      <w:r w:rsidR="000814C0" w:rsidRPr="000265C8">
        <w:t xml:space="preserve">mixed </w:t>
      </w:r>
      <w:r w:rsidR="00BC7AE4" w:rsidRPr="000265C8">
        <w:t xml:space="preserve">private and </w:t>
      </w:r>
      <w:r w:rsidR="000814C0" w:rsidRPr="000265C8">
        <w:t>public funding as foundational for</w:t>
      </w:r>
      <w:r w:rsidR="00AB24F6" w:rsidRPr="000265C8">
        <w:t xml:space="preserve"> </w:t>
      </w:r>
      <w:r w:rsidR="000814C0" w:rsidRPr="000265C8">
        <w:t>autonomy</w:t>
      </w:r>
      <w:r w:rsidR="00AB24F6" w:rsidRPr="000265C8">
        <w:t xml:space="preserve">. ‘A university’s contribution that was only public good </w:t>
      </w:r>
      <w:r w:rsidR="003348D8" w:rsidRPr="000265C8">
        <w:t>w</w:t>
      </w:r>
      <w:r w:rsidR="00AB24F6" w:rsidRPr="000265C8">
        <w:t>ould be in danger of being suffocated by the state’.</w:t>
      </w:r>
      <w:r w:rsidR="00896F18" w:rsidRPr="000265C8">
        <w:t xml:space="preserve"> In the English system, institutional autonomy </w:t>
      </w:r>
      <w:r w:rsidR="00AC078E" w:rsidRPr="000265C8">
        <w:t>has long been</w:t>
      </w:r>
      <w:r w:rsidR="00896F18" w:rsidRPr="000265C8">
        <w:t xml:space="preserve"> </w:t>
      </w:r>
      <w:r w:rsidR="00AC078E" w:rsidRPr="000265C8">
        <w:t>fundamental</w:t>
      </w:r>
      <w:r w:rsidR="00896F18" w:rsidRPr="000265C8">
        <w:t xml:space="preserve"> and </w:t>
      </w:r>
      <w:r w:rsidR="0056260F" w:rsidRPr="000265C8">
        <w:t xml:space="preserve">in the neoliberal era </w:t>
      </w:r>
      <w:r w:rsidR="001C5263" w:rsidRPr="000265C8">
        <w:t>has become</w:t>
      </w:r>
      <w:r w:rsidR="00896F18" w:rsidRPr="000265C8">
        <w:t xml:space="preserve"> equated with financial independence. Several interviewees </w:t>
      </w:r>
      <w:r w:rsidR="00E01E17" w:rsidRPr="000265C8">
        <w:t xml:space="preserve">expressed themselves </w:t>
      </w:r>
      <w:r w:rsidR="00896F18" w:rsidRPr="000265C8">
        <w:t>passionate</w:t>
      </w:r>
      <w:r w:rsidR="00E01E17" w:rsidRPr="000265C8">
        <w:t>ly</w:t>
      </w:r>
      <w:r w:rsidR="00896F18" w:rsidRPr="000265C8">
        <w:t xml:space="preserve"> about institutional autonomy. Here </w:t>
      </w:r>
      <w:r w:rsidR="00D1131F" w:rsidRPr="000265C8">
        <w:t xml:space="preserve">in the neoliberal era </w:t>
      </w:r>
      <w:r w:rsidR="00896F18" w:rsidRPr="000265C8">
        <w:t xml:space="preserve">student tuition plays a double role, as both </w:t>
      </w:r>
      <w:r w:rsidR="0056260F" w:rsidRPr="000265C8">
        <w:t>the</w:t>
      </w:r>
      <w:r w:rsidR="00896F18" w:rsidRPr="000265C8">
        <w:t xml:space="preserve"> privatisation of benefit</w:t>
      </w:r>
      <w:r w:rsidR="0056260F" w:rsidRPr="000265C8">
        <w:t>,</w:t>
      </w:r>
      <w:r w:rsidR="00896F18" w:rsidRPr="000265C8">
        <w:t xml:space="preserve"> </w:t>
      </w:r>
      <w:r w:rsidR="001C5263" w:rsidRPr="000265C8">
        <w:t xml:space="preserve">justifying </w:t>
      </w:r>
      <w:r w:rsidR="00E01E17" w:rsidRPr="000265C8">
        <w:t xml:space="preserve">reduced </w:t>
      </w:r>
      <w:r w:rsidR="001C5263" w:rsidRPr="000265C8">
        <w:t>government funding</w:t>
      </w:r>
      <w:r w:rsidR="00D1131F" w:rsidRPr="000265C8">
        <w:t>,</w:t>
      </w:r>
      <w:r w:rsidR="001C5263" w:rsidRPr="000265C8">
        <w:t xml:space="preserve"> </w:t>
      </w:r>
      <w:r w:rsidR="0056260F" w:rsidRPr="000265C8">
        <w:t>but also</w:t>
      </w:r>
      <w:r w:rsidR="00896F18" w:rsidRPr="000265C8">
        <w:t xml:space="preserve"> as </w:t>
      </w:r>
      <w:r w:rsidR="00D1131F" w:rsidRPr="000265C8">
        <w:t>one</w:t>
      </w:r>
      <w:r w:rsidR="00896F18" w:rsidRPr="000265C8">
        <w:t xml:space="preserve"> source of </w:t>
      </w:r>
      <w:proofErr w:type="gramStart"/>
      <w:r w:rsidR="00896F18" w:rsidRPr="000265C8">
        <w:t>university controlled</w:t>
      </w:r>
      <w:proofErr w:type="gramEnd"/>
      <w:r w:rsidR="00896F18" w:rsidRPr="000265C8">
        <w:t xml:space="preserve"> resources. Institutions </w:t>
      </w:r>
      <w:r w:rsidR="00AC078E" w:rsidRPr="000265C8">
        <w:t xml:space="preserve">gained </w:t>
      </w:r>
      <w:r w:rsidR="001C5263" w:rsidRPr="000265C8">
        <w:t xml:space="preserve">financial </w:t>
      </w:r>
      <w:r w:rsidR="00AC078E" w:rsidRPr="000265C8">
        <w:t>power</w:t>
      </w:r>
      <w:r w:rsidR="00896F18" w:rsidRPr="000265C8">
        <w:t xml:space="preserve"> from the 2012 reforms and the £9000 fee, at least </w:t>
      </w:r>
      <w:r w:rsidR="00E01E17" w:rsidRPr="000265C8">
        <w:t>until inflation ate into the level</w:t>
      </w:r>
      <w:r w:rsidR="00896F18" w:rsidRPr="000265C8">
        <w:t>.</w:t>
      </w:r>
      <w:r w:rsidR="001C5263" w:rsidRPr="000265C8">
        <w:t xml:space="preserve"> </w:t>
      </w:r>
    </w:p>
    <w:p w14:paraId="4147E388" w14:textId="1BC388D8" w:rsidR="00896F18" w:rsidRPr="000265C8" w:rsidRDefault="00D1131F" w:rsidP="000265C8">
      <w:pPr>
        <w:spacing w:line="276" w:lineRule="auto"/>
        <w:ind w:firstLine="454"/>
      </w:pPr>
      <w:r w:rsidRPr="000265C8">
        <w:t>In</w:t>
      </w:r>
      <w:r w:rsidR="00ED1F83" w:rsidRPr="000265C8">
        <w:t xml:space="preserve"> </w:t>
      </w:r>
      <w:r w:rsidR="00500F7C" w:rsidRPr="000265C8">
        <w:t>the domain of</w:t>
      </w:r>
      <w:r w:rsidR="00ED1F83" w:rsidRPr="000265C8">
        <w:t xml:space="preserve"> finances – </w:t>
      </w:r>
      <w:r w:rsidR="00AC078E" w:rsidRPr="000265C8">
        <w:t xml:space="preserve">not </w:t>
      </w:r>
      <w:r w:rsidRPr="000265C8">
        <w:t xml:space="preserve">that of </w:t>
      </w:r>
      <w:r w:rsidR="00ED1F83" w:rsidRPr="000265C8">
        <w:t>mission or outcomes –</w:t>
      </w:r>
      <w:r w:rsidRPr="000265C8">
        <w:t xml:space="preserve"> </w:t>
      </w:r>
      <w:r w:rsidR="001C5263" w:rsidRPr="000265C8">
        <w:t>a</w:t>
      </w:r>
      <w:r w:rsidR="0056260F" w:rsidRPr="000265C8">
        <w:t xml:space="preserve"> </w:t>
      </w:r>
      <w:r w:rsidR="00500F7C" w:rsidRPr="000265C8">
        <w:t xml:space="preserve">practical </w:t>
      </w:r>
      <w:r w:rsidR="00ED1F83" w:rsidRPr="000265C8">
        <w:t xml:space="preserve">boundary between </w:t>
      </w:r>
      <w:r w:rsidR="00896F18" w:rsidRPr="000265C8">
        <w:t xml:space="preserve">state and institution </w:t>
      </w:r>
      <w:r w:rsidR="001C5263" w:rsidRPr="000265C8">
        <w:t>could be policed</w:t>
      </w:r>
      <w:r w:rsidR="00896F18" w:rsidRPr="000265C8">
        <w:t>.</w:t>
      </w:r>
      <w:r w:rsidR="00ED1F83" w:rsidRPr="000265C8">
        <w:t xml:space="preserve"> </w:t>
      </w:r>
      <w:r w:rsidRPr="000265C8">
        <w:t>I</w:t>
      </w:r>
      <w:r w:rsidR="0056260F" w:rsidRPr="000265C8">
        <w:t xml:space="preserve">nterviewees were less </w:t>
      </w:r>
      <w:r w:rsidR="00B11448" w:rsidRPr="000265C8">
        <w:t xml:space="preserve">strongly </w:t>
      </w:r>
      <w:r w:rsidR="0056260F" w:rsidRPr="000265C8">
        <w:t>concerned about the privatisation of funding</w:t>
      </w:r>
      <w:r w:rsidR="00B11448" w:rsidRPr="000265C8">
        <w:t xml:space="preserve"> than their commitment to public good might suggest</w:t>
      </w:r>
      <w:r w:rsidRPr="000265C8">
        <w:t>. Further,</w:t>
      </w:r>
      <w:r w:rsidR="001C5263" w:rsidRPr="000265C8">
        <w:t xml:space="preserve"> while some were </w:t>
      </w:r>
      <w:r w:rsidRPr="000265C8">
        <w:t xml:space="preserve">clearly </w:t>
      </w:r>
      <w:r w:rsidR="001C5263" w:rsidRPr="000265C8">
        <w:t xml:space="preserve">unhappy about the </w:t>
      </w:r>
      <w:r w:rsidR="00B11448" w:rsidRPr="000265C8">
        <w:t>student-as-</w:t>
      </w:r>
      <w:r w:rsidR="001C5263" w:rsidRPr="000265C8">
        <w:t>consumer</w:t>
      </w:r>
      <w:r w:rsidRPr="000265C8">
        <w:t xml:space="preserve"> model</w:t>
      </w:r>
      <w:r w:rsidR="001C5263" w:rsidRPr="000265C8">
        <w:t xml:space="preserve">, </w:t>
      </w:r>
      <w:r w:rsidR="00500F7C" w:rsidRPr="000265C8">
        <w:t>this</w:t>
      </w:r>
      <w:r w:rsidR="001C5263" w:rsidRPr="000265C8">
        <w:t xml:space="preserve"> was </w:t>
      </w:r>
      <w:r w:rsidR="00B11448" w:rsidRPr="000265C8">
        <w:t>not in</w:t>
      </w:r>
      <w:r w:rsidR="001C5263" w:rsidRPr="000265C8">
        <w:t>consistent with financial autonomy</w:t>
      </w:r>
      <w:r w:rsidR="00AC078E" w:rsidRPr="000265C8">
        <w:t xml:space="preserve">. </w:t>
      </w:r>
      <w:r w:rsidR="001C5263" w:rsidRPr="000265C8">
        <w:t>Interviewees</w:t>
      </w:r>
      <w:r w:rsidR="00AC078E" w:rsidRPr="000265C8">
        <w:t xml:space="preserve"> were</w:t>
      </w:r>
      <w:r w:rsidR="0056260F" w:rsidRPr="000265C8">
        <w:t xml:space="preserve"> more concerned about the way government </w:t>
      </w:r>
      <w:r w:rsidR="00E01E17" w:rsidRPr="000265C8">
        <w:t>was</w:t>
      </w:r>
      <w:r w:rsidR="0056260F" w:rsidRPr="000265C8">
        <w:t xml:space="preserve"> </w:t>
      </w:r>
      <w:r w:rsidRPr="000265C8">
        <w:t xml:space="preserve">directly </w:t>
      </w:r>
      <w:r w:rsidR="0056260F" w:rsidRPr="000265C8">
        <w:t>regulat</w:t>
      </w:r>
      <w:r w:rsidR="00E01E17" w:rsidRPr="000265C8">
        <w:t>ing</w:t>
      </w:r>
      <w:r w:rsidR="0056260F" w:rsidRPr="000265C8">
        <w:t xml:space="preserve"> autonomy through </w:t>
      </w:r>
      <w:r w:rsidR="001C5263" w:rsidRPr="000265C8">
        <w:t xml:space="preserve">the </w:t>
      </w:r>
      <w:r w:rsidR="0056260F" w:rsidRPr="000265C8">
        <w:t xml:space="preserve">Office for Students, and the potency of the REF and the TEF, their capacity to shape </w:t>
      </w:r>
      <w:r w:rsidR="00AC078E" w:rsidRPr="000265C8">
        <w:t xml:space="preserve">the inner </w:t>
      </w:r>
      <w:r w:rsidR="001C5263" w:rsidRPr="000265C8">
        <w:t xml:space="preserve">life of the </w:t>
      </w:r>
      <w:r w:rsidR="00AC078E" w:rsidRPr="000265C8">
        <w:t>sector.</w:t>
      </w:r>
      <w:r w:rsidR="001C5263" w:rsidRPr="000265C8">
        <w:t xml:space="preserve"> </w:t>
      </w:r>
    </w:p>
    <w:p w14:paraId="33D6E233" w14:textId="77777777" w:rsidR="00F664CC" w:rsidRPr="000265C8" w:rsidRDefault="00F664CC" w:rsidP="000265C8">
      <w:pPr>
        <w:spacing w:line="276" w:lineRule="auto"/>
      </w:pPr>
    </w:p>
    <w:p w14:paraId="39A99142" w14:textId="39365B75" w:rsidR="00F664CC" w:rsidRPr="000265C8" w:rsidRDefault="00F664CC" w:rsidP="000265C8">
      <w:pPr>
        <w:spacing w:line="276" w:lineRule="auto"/>
        <w:rPr>
          <w:b/>
          <w:bCs/>
        </w:rPr>
      </w:pPr>
      <w:r w:rsidRPr="000265C8">
        <w:rPr>
          <w:b/>
          <w:bCs/>
        </w:rPr>
        <w:t>[But where to draw the line between public and private cost?]</w:t>
      </w:r>
    </w:p>
    <w:p w14:paraId="13218859" w14:textId="66A15CA9" w:rsidR="004D2696" w:rsidRPr="000265C8" w:rsidRDefault="001C5263" w:rsidP="000265C8">
      <w:pPr>
        <w:spacing w:line="276" w:lineRule="auto"/>
      </w:pPr>
      <w:r w:rsidRPr="000265C8">
        <w:t>Even so,</w:t>
      </w:r>
      <w:r w:rsidR="00E81A1C" w:rsidRPr="000265C8">
        <w:t xml:space="preserve"> </w:t>
      </w:r>
      <w:proofErr w:type="gramStart"/>
      <w:r w:rsidR="00E81A1C" w:rsidRPr="000265C8">
        <w:t>where</w:t>
      </w:r>
      <w:proofErr w:type="gramEnd"/>
      <w:r w:rsidR="00E81A1C" w:rsidRPr="000265C8">
        <w:t xml:space="preserve"> and how the </w:t>
      </w:r>
      <w:r w:rsidR="00896F18" w:rsidRPr="000265C8">
        <w:t xml:space="preserve">public/private </w:t>
      </w:r>
      <w:r w:rsidR="00E81A1C" w:rsidRPr="000265C8">
        <w:t>funding line was drawn was</w:t>
      </w:r>
      <w:r w:rsidR="000814C0" w:rsidRPr="000265C8">
        <w:t xml:space="preserve"> chronically</w:t>
      </w:r>
      <w:r w:rsidR="00E81A1C" w:rsidRPr="000265C8">
        <w:t xml:space="preserve"> unclear. </w:t>
      </w:r>
      <w:r w:rsidR="00896F18" w:rsidRPr="000265C8">
        <w:t xml:space="preserve">What share was right? </w:t>
      </w:r>
      <w:r w:rsidR="00AC078E" w:rsidRPr="000265C8">
        <w:t>7</w:t>
      </w:r>
      <w:r w:rsidR="00896F18" w:rsidRPr="000265C8">
        <w:t xml:space="preserve">0% private? </w:t>
      </w:r>
      <w:r w:rsidR="00AC078E" w:rsidRPr="000265C8">
        <w:t>5</w:t>
      </w:r>
      <w:r w:rsidR="00896F18" w:rsidRPr="000265C8">
        <w:t xml:space="preserve">0%? 30%? </w:t>
      </w:r>
      <w:r w:rsidR="00E45AE1" w:rsidRPr="000265C8">
        <w:t xml:space="preserve">No one knew, whatever their premises in other respects. </w:t>
      </w:r>
      <w:r w:rsidR="00D1131F" w:rsidRPr="000265C8">
        <w:t>M</w:t>
      </w:r>
      <w:r w:rsidR="00E81A1C" w:rsidRPr="000265C8">
        <w:t xml:space="preserve">ost </w:t>
      </w:r>
      <w:r w:rsidR="00D1131F" w:rsidRPr="000265C8">
        <w:t>interviewees saw the</w:t>
      </w:r>
      <w:r w:rsidR="00E81A1C" w:rsidRPr="000265C8">
        <w:t xml:space="preserve"> </w:t>
      </w:r>
      <w:r w:rsidR="00896F18" w:rsidRPr="000265C8">
        <w:t xml:space="preserve">public/private split </w:t>
      </w:r>
      <w:r w:rsidR="00E81A1C" w:rsidRPr="000265C8">
        <w:t>as essentially arbitrary. The uncertainty was shared by the economists in the group</w:t>
      </w:r>
      <w:r w:rsidR="002240DF" w:rsidRPr="000265C8">
        <w:t xml:space="preserve">, </w:t>
      </w:r>
      <w:r w:rsidR="002E1EB5" w:rsidRPr="000265C8">
        <w:t xml:space="preserve">partly </w:t>
      </w:r>
      <w:r w:rsidR="002240DF" w:rsidRPr="000265C8">
        <w:t xml:space="preserve">because they too </w:t>
      </w:r>
      <w:r w:rsidRPr="000265C8">
        <w:t>recognised</w:t>
      </w:r>
      <w:r w:rsidR="002240DF" w:rsidRPr="000265C8">
        <w:t xml:space="preserve"> the</w:t>
      </w:r>
      <w:r w:rsidRPr="000265C8">
        <w:t xml:space="preserve"> </w:t>
      </w:r>
      <w:r w:rsidR="002240DF" w:rsidRPr="000265C8">
        <w:t>significant collective goods in higher education not acknowledged by the government’s notion of a privately funded market</w:t>
      </w:r>
      <w:r w:rsidR="00D1131F" w:rsidRPr="000265C8">
        <w:t>.</w:t>
      </w:r>
    </w:p>
    <w:p w14:paraId="540EBB90" w14:textId="3DE75AF6" w:rsidR="00CA0B2A" w:rsidRPr="000265C8" w:rsidRDefault="00CA0B2A" w:rsidP="000265C8">
      <w:pPr>
        <w:spacing w:line="276" w:lineRule="auto"/>
      </w:pPr>
      <w:r w:rsidRPr="000265C8">
        <w:tab/>
      </w:r>
      <w:r w:rsidR="002240DF" w:rsidRPr="000265C8">
        <w:t>Interviewees were aware of a</w:t>
      </w:r>
      <w:r w:rsidR="00F664CC" w:rsidRPr="000265C8">
        <w:t>n actual</w:t>
      </w:r>
      <w:r w:rsidR="002240DF" w:rsidRPr="000265C8">
        <w:t xml:space="preserve"> disjunction between </w:t>
      </w:r>
      <w:r w:rsidR="002E1EB5" w:rsidRPr="000265C8">
        <w:t xml:space="preserve">on one hand, </w:t>
      </w:r>
      <w:r w:rsidR="002240DF" w:rsidRPr="000265C8">
        <w:t xml:space="preserve">the full cost tuition </w:t>
      </w:r>
      <w:proofErr w:type="gramStart"/>
      <w:r w:rsidR="002240DF" w:rsidRPr="000265C8">
        <w:t>fees</w:t>
      </w:r>
      <w:proofErr w:type="gramEnd"/>
      <w:r w:rsidR="002240DF" w:rsidRPr="000265C8">
        <w:t xml:space="preserve"> </w:t>
      </w:r>
      <w:r w:rsidR="002E1EB5" w:rsidRPr="000265C8">
        <w:t xml:space="preserve">and </w:t>
      </w:r>
      <w:r w:rsidR="00D1131F" w:rsidRPr="000265C8">
        <w:t>the</w:t>
      </w:r>
      <w:r w:rsidR="002E1EB5" w:rsidRPr="000265C8">
        <w:t xml:space="preserve"> rhetoric about wholly individual pecuniary outcomes for teaching, </w:t>
      </w:r>
      <w:r w:rsidR="002240DF" w:rsidRPr="000265C8">
        <w:t xml:space="preserve">and </w:t>
      </w:r>
      <w:r w:rsidR="002E1EB5" w:rsidRPr="000265C8">
        <w:t xml:space="preserve">on the other hand, </w:t>
      </w:r>
      <w:r w:rsidR="002240DF" w:rsidRPr="000265C8">
        <w:t xml:space="preserve">the ideal and reality of </w:t>
      </w:r>
      <w:r w:rsidR="00B11448" w:rsidRPr="000265C8">
        <w:t>mix</w:t>
      </w:r>
      <w:r w:rsidR="00D1131F" w:rsidRPr="000265C8">
        <w:t>ed</w:t>
      </w:r>
      <w:r w:rsidR="002240DF" w:rsidRPr="000265C8">
        <w:t xml:space="preserve"> public and private </w:t>
      </w:r>
      <w:r w:rsidR="002E1EB5" w:rsidRPr="000265C8">
        <w:t>outcome</w:t>
      </w:r>
      <w:r w:rsidR="002240DF" w:rsidRPr="000265C8">
        <w:t xml:space="preserve">s. </w:t>
      </w:r>
      <w:r w:rsidR="00F664CC" w:rsidRPr="000265C8">
        <w:t>Yet the economic policy starting points,</w:t>
      </w:r>
      <w:r w:rsidR="002240DF" w:rsidRPr="000265C8">
        <w:t xml:space="preserve"> that </w:t>
      </w:r>
      <w:r w:rsidR="002E1EB5" w:rsidRPr="000265C8">
        <w:t>a</w:t>
      </w:r>
      <w:r w:rsidRPr="000265C8">
        <w:t xml:space="preserve"> </w:t>
      </w:r>
      <w:r w:rsidR="00D74261" w:rsidRPr="000265C8">
        <w:t>private</w:t>
      </w:r>
      <w:r w:rsidR="00BC7AE4" w:rsidRPr="000265C8">
        <w:t>/public</w:t>
      </w:r>
      <w:r w:rsidR="00D74261" w:rsidRPr="000265C8">
        <w:t xml:space="preserve"> split of f</w:t>
      </w:r>
      <w:r w:rsidRPr="000265C8">
        <w:t xml:space="preserve">unding </w:t>
      </w:r>
      <w:r w:rsidR="002240DF" w:rsidRPr="000265C8">
        <w:t xml:space="preserve">ought </w:t>
      </w:r>
      <w:r w:rsidR="00B11448" w:rsidRPr="000265C8">
        <w:t xml:space="preserve">to </w:t>
      </w:r>
      <w:r w:rsidR="002240DF" w:rsidRPr="000265C8">
        <w:t>correlate</w:t>
      </w:r>
      <w:r w:rsidR="00B11448" w:rsidRPr="000265C8">
        <w:t xml:space="preserve"> </w:t>
      </w:r>
      <w:r w:rsidR="002240DF" w:rsidRPr="000265C8">
        <w:t xml:space="preserve">with </w:t>
      </w:r>
      <w:r w:rsidR="003D522A" w:rsidRPr="000265C8">
        <w:t>a</w:t>
      </w:r>
      <w:r w:rsidR="002240DF" w:rsidRPr="000265C8">
        <w:t xml:space="preserve"> </w:t>
      </w:r>
      <w:r w:rsidR="00BC7AE4" w:rsidRPr="000265C8">
        <w:t xml:space="preserve">private/public </w:t>
      </w:r>
      <w:r w:rsidR="003D522A" w:rsidRPr="000265C8">
        <w:t>split of benefit</w:t>
      </w:r>
      <w:r w:rsidR="002E1EB5" w:rsidRPr="000265C8">
        <w:t xml:space="preserve"> or</w:t>
      </w:r>
      <w:r w:rsidR="003D522A" w:rsidRPr="000265C8">
        <w:t xml:space="preserve"> </w:t>
      </w:r>
      <w:r w:rsidRPr="000265C8">
        <w:t>mission</w:t>
      </w:r>
      <w:r w:rsidR="00F664CC" w:rsidRPr="000265C8">
        <w:t>,</w:t>
      </w:r>
      <w:r w:rsidR="002E1EB5" w:rsidRPr="000265C8">
        <w:t xml:space="preserve"> and this </w:t>
      </w:r>
      <w:r w:rsidR="00D1131F" w:rsidRPr="000265C8">
        <w:t>wa</w:t>
      </w:r>
      <w:r w:rsidR="002E1EB5" w:rsidRPr="000265C8">
        <w:t>s the basis for a just financing system</w:t>
      </w:r>
      <w:r w:rsidR="0056260F" w:rsidRPr="000265C8">
        <w:t xml:space="preserve"> that </w:t>
      </w:r>
      <w:r w:rsidR="00D1131F" w:rsidRPr="000265C8">
        <w:t xml:space="preserve">also </w:t>
      </w:r>
      <w:r w:rsidR="0056260F" w:rsidRPr="000265C8">
        <w:t>underpin</w:t>
      </w:r>
      <w:r w:rsidR="00D1131F" w:rsidRPr="000265C8">
        <w:t>ned</w:t>
      </w:r>
      <w:r w:rsidR="0056260F" w:rsidRPr="000265C8">
        <w:t xml:space="preserve"> autonomy</w:t>
      </w:r>
      <w:r w:rsidR="00F664CC" w:rsidRPr="000265C8">
        <w:t>, continued to prevail in their minds</w:t>
      </w:r>
      <w:r w:rsidR="003D522A" w:rsidRPr="000265C8">
        <w:t xml:space="preserve">. </w:t>
      </w:r>
      <w:r w:rsidR="002E1EB5" w:rsidRPr="000265C8">
        <w:t xml:space="preserve">These premises </w:t>
      </w:r>
      <w:r w:rsidR="00D1131F" w:rsidRPr="000265C8">
        <w:t>we</w:t>
      </w:r>
      <w:r w:rsidR="002E1EB5" w:rsidRPr="000265C8">
        <w:t>re contradictory</w:t>
      </w:r>
      <w:r w:rsidR="0056260F" w:rsidRPr="000265C8">
        <w:t xml:space="preserve"> and pull</w:t>
      </w:r>
      <w:r w:rsidR="00D1131F" w:rsidRPr="000265C8">
        <w:t>ing</w:t>
      </w:r>
      <w:r w:rsidR="0056260F" w:rsidRPr="000265C8">
        <w:t xml:space="preserve"> in different directions</w:t>
      </w:r>
      <w:r w:rsidR="002E1EB5" w:rsidRPr="000265C8">
        <w:t xml:space="preserve">. Hence the confusion, the lack of clarity, the </w:t>
      </w:r>
      <w:r w:rsidR="00F664CC" w:rsidRPr="000265C8">
        <w:t xml:space="preserve">wholly </w:t>
      </w:r>
      <w:r w:rsidR="002E1EB5" w:rsidRPr="000265C8">
        <w:t xml:space="preserve">arbitrary </w:t>
      </w:r>
      <w:r w:rsidR="00F664CC" w:rsidRPr="000265C8">
        <w:t xml:space="preserve">nature of </w:t>
      </w:r>
      <w:r w:rsidR="0056260F" w:rsidRPr="000265C8">
        <w:t xml:space="preserve">public/private </w:t>
      </w:r>
      <w:r w:rsidR="002E1EB5" w:rsidRPr="000265C8">
        <w:t xml:space="preserve">funding </w:t>
      </w:r>
      <w:r w:rsidR="0056260F" w:rsidRPr="000265C8">
        <w:t>split</w:t>
      </w:r>
      <w:r w:rsidR="002E1EB5" w:rsidRPr="000265C8">
        <w:t>.</w:t>
      </w:r>
    </w:p>
    <w:p w14:paraId="6D2373E1" w14:textId="77777777" w:rsidR="00F664CC" w:rsidRPr="000265C8" w:rsidRDefault="00F664CC" w:rsidP="000265C8">
      <w:pPr>
        <w:spacing w:line="276" w:lineRule="auto"/>
      </w:pPr>
    </w:p>
    <w:p w14:paraId="78BE6651" w14:textId="6D5A2BE6" w:rsidR="00F664CC" w:rsidRPr="000265C8" w:rsidRDefault="00F664CC" w:rsidP="000265C8">
      <w:pPr>
        <w:spacing w:line="276" w:lineRule="auto"/>
        <w:rPr>
          <w:b/>
          <w:bCs/>
        </w:rPr>
      </w:pPr>
      <w:r w:rsidRPr="000265C8">
        <w:rPr>
          <w:b/>
          <w:bCs/>
        </w:rPr>
        <w:lastRenderedPageBreak/>
        <w:t>[‘</w:t>
      </w:r>
      <w:r w:rsidRPr="000265C8">
        <w:rPr>
          <w:rFonts w:ascii="Calibri" w:hAnsi="Calibri" w:cs="Calibri"/>
          <w:b/>
          <w:bCs/>
          <w:color w:val="000000" w:themeColor="text1"/>
        </w:rPr>
        <w:t>It’s absolutely necessary for universities to pay more attention to the public good’ - policy maker</w:t>
      </w:r>
      <w:r w:rsidRPr="000265C8">
        <w:rPr>
          <w:b/>
          <w:bCs/>
        </w:rPr>
        <w:t>]</w:t>
      </w:r>
    </w:p>
    <w:p w14:paraId="01FEB74C" w14:textId="03853C2B" w:rsidR="0075244C" w:rsidRPr="000265C8" w:rsidRDefault="00ED1F83" w:rsidP="000265C8">
      <w:pPr>
        <w:spacing w:line="276" w:lineRule="auto"/>
      </w:pPr>
      <w:r w:rsidRPr="000265C8">
        <w:t xml:space="preserve">Still, there was a shared recognition </w:t>
      </w:r>
      <w:r w:rsidR="00D1131F" w:rsidRPr="000265C8">
        <w:t>across</w:t>
      </w:r>
      <w:r w:rsidR="00B11448" w:rsidRPr="000265C8">
        <w:t xml:space="preserve"> the study</w:t>
      </w:r>
      <w:r w:rsidR="00A23E9C" w:rsidRPr="000265C8">
        <w:t>, among the policy makers as well as the professors and university leaders,</w:t>
      </w:r>
      <w:r w:rsidR="00B11448" w:rsidRPr="000265C8">
        <w:t xml:space="preserve"> </w:t>
      </w:r>
      <w:r w:rsidRPr="000265C8">
        <w:t xml:space="preserve">that </w:t>
      </w:r>
      <w:r w:rsidR="00D1131F" w:rsidRPr="000265C8">
        <w:t>the</w:t>
      </w:r>
      <w:r w:rsidRPr="000265C8">
        <w:t xml:space="preserve"> balance had tipped too far to the private side. </w:t>
      </w:r>
      <w:r w:rsidR="00D1131F" w:rsidRPr="000265C8">
        <w:t>O</w:t>
      </w:r>
      <w:r w:rsidR="0075244C" w:rsidRPr="000265C8">
        <w:t xml:space="preserve">ne policy maker </w:t>
      </w:r>
      <w:r w:rsidR="00AC078E" w:rsidRPr="000265C8">
        <w:t xml:space="preserve">even </w:t>
      </w:r>
      <w:r w:rsidR="0075244C" w:rsidRPr="000265C8">
        <w:t xml:space="preserve">remarked that in the framework </w:t>
      </w:r>
      <w:r w:rsidRPr="000265C8">
        <w:t>of</w:t>
      </w:r>
      <w:r w:rsidR="0075244C" w:rsidRPr="000265C8">
        <w:t xml:space="preserve"> economic policy, </w:t>
      </w:r>
      <w:r w:rsidRPr="000265C8">
        <w:t xml:space="preserve">in which </w:t>
      </w:r>
      <w:r w:rsidR="0075244C" w:rsidRPr="000265C8">
        <w:t>institutions focus</w:t>
      </w:r>
      <w:r w:rsidRPr="000265C8">
        <w:t>ed</w:t>
      </w:r>
      <w:r w:rsidR="0075244C" w:rsidRPr="000265C8">
        <w:t xml:space="preserve"> primarily on their self-interest as corporations</w:t>
      </w:r>
      <w:r w:rsidRPr="000265C8">
        <w:t>,</w:t>
      </w:r>
      <w:r w:rsidR="0075244C" w:rsidRPr="000265C8">
        <w:t xml:space="preserve"> </w:t>
      </w:r>
      <w:r w:rsidRPr="000265C8">
        <w:t xml:space="preserve">a stronger </w:t>
      </w:r>
      <w:r w:rsidR="0075244C" w:rsidRPr="000265C8">
        <w:t xml:space="preserve">orientation to the public good could </w:t>
      </w:r>
      <w:r w:rsidRPr="000265C8">
        <w:t>be</w:t>
      </w:r>
      <w:r w:rsidR="0075244C" w:rsidRPr="000265C8">
        <w:t xml:space="preserve"> an important corrective</w:t>
      </w:r>
      <w:r w:rsidR="0056260F" w:rsidRPr="000265C8">
        <w:t xml:space="preserve">. </w:t>
      </w:r>
      <w:r w:rsidR="00AC078E" w:rsidRPr="000265C8">
        <w:t>That is,</w:t>
      </w:r>
      <w:r w:rsidR="0056260F" w:rsidRPr="000265C8">
        <w:t xml:space="preserve"> the public good, rather than private </w:t>
      </w:r>
      <w:r w:rsidR="00045538" w:rsidRPr="000265C8">
        <w:t xml:space="preserve">tuition </w:t>
      </w:r>
      <w:r w:rsidR="0056260F" w:rsidRPr="000265C8">
        <w:t>fees, could be used to protect autonomy</w:t>
      </w:r>
      <w:r w:rsidR="002A7077" w:rsidRPr="000265C8">
        <w:t>.</w:t>
      </w:r>
    </w:p>
    <w:p w14:paraId="57967D14" w14:textId="77777777" w:rsidR="0075244C" w:rsidRPr="000265C8" w:rsidRDefault="0075244C" w:rsidP="000265C8">
      <w:pPr>
        <w:spacing w:line="276" w:lineRule="auto"/>
        <w:rPr>
          <w:color w:val="000000" w:themeColor="text1"/>
        </w:rPr>
      </w:pPr>
    </w:p>
    <w:p w14:paraId="667AABC5" w14:textId="27046900" w:rsidR="003D522A" w:rsidRPr="000265C8" w:rsidRDefault="002A7077" w:rsidP="000265C8">
      <w:pPr>
        <w:spacing w:line="276" w:lineRule="auto"/>
        <w:ind w:left="454"/>
        <w:rPr>
          <w:color w:val="000000" w:themeColor="text1"/>
        </w:rPr>
      </w:pPr>
      <w:r w:rsidRPr="000265C8">
        <w:rPr>
          <w:rFonts w:ascii="Calibri" w:hAnsi="Calibri" w:cs="Calibri"/>
          <w:color w:val="000000" w:themeColor="text1"/>
        </w:rPr>
        <w:t>[quote]</w:t>
      </w:r>
    </w:p>
    <w:p w14:paraId="7E292B2E" w14:textId="77777777" w:rsidR="00045538" w:rsidRPr="000265C8" w:rsidRDefault="00045538" w:rsidP="000265C8">
      <w:pPr>
        <w:spacing w:line="276" w:lineRule="auto"/>
      </w:pPr>
    </w:p>
    <w:p w14:paraId="0666D8E8" w14:textId="641CA876" w:rsidR="002A7077" w:rsidRPr="000265C8" w:rsidRDefault="002A7077" w:rsidP="000265C8">
      <w:pPr>
        <w:spacing w:line="276" w:lineRule="auto"/>
        <w:rPr>
          <w:b/>
          <w:bCs/>
        </w:rPr>
      </w:pPr>
      <w:r w:rsidRPr="000265C8">
        <w:rPr>
          <w:b/>
          <w:bCs/>
        </w:rPr>
        <w:t>[In conclusion]</w:t>
      </w:r>
    </w:p>
    <w:p w14:paraId="7435A4A7" w14:textId="71593583" w:rsidR="00045538" w:rsidRPr="000265C8" w:rsidRDefault="00612A64" w:rsidP="000265C8">
      <w:pPr>
        <w:spacing w:line="276" w:lineRule="auto"/>
      </w:pPr>
      <w:r w:rsidRPr="000265C8">
        <w:t xml:space="preserve">In </w:t>
      </w:r>
      <w:r w:rsidR="00B3101E" w:rsidRPr="000265C8">
        <w:t xml:space="preserve">sum, in </w:t>
      </w:r>
      <w:r w:rsidRPr="000265C8">
        <w:t xml:space="preserve">higher education in England there is an acute </w:t>
      </w:r>
      <w:r w:rsidR="002524D1" w:rsidRPr="000265C8">
        <w:t xml:space="preserve">shared </w:t>
      </w:r>
      <w:r w:rsidRPr="000265C8">
        <w:t xml:space="preserve">understanding of the private earnings and employment rates seen to be associated with graduation. </w:t>
      </w:r>
      <w:r w:rsidR="002A7077" w:rsidRPr="000265C8">
        <w:t>But</w:t>
      </w:r>
      <w:r w:rsidRPr="000265C8">
        <w:t xml:space="preserve"> there is no </w:t>
      </w:r>
      <w:r w:rsidR="002A7077" w:rsidRPr="000265C8">
        <w:t xml:space="preserve">consistent and </w:t>
      </w:r>
      <w:r w:rsidRPr="000265C8">
        <w:t>coherent understanding of outcomes of higher education seen to be ‘</w:t>
      </w:r>
      <w:proofErr w:type="gramStart"/>
      <w:r w:rsidRPr="000265C8">
        <w:t>public’</w:t>
      </w:r>
      <w:proofErr w:type="gramEnd"/>
      <w:r w:rsidRPr="000265C8">
        <w:t xml:space="preserve"> </w:t>
      </w:r>
    </w:p>
    <w:p w14:paraId="3C4DF4E8" w14:textId="7A9E2DF4" w:rsidR="00045538" w:rsidRPr="000265C8" w:rsidRDefault="00612A64" w:rsidP="000265C8">
      <w:pPr>
        <w:spacing w:line="276" w:lineRule="auto"/>
        <w:ind w:firstLine="454"/>
      </w:pPr>
      <w:r w:rsidRPr="000265C8">
        <w:t>The</w:t>
      </w:r>
      <w:r w:rsidR="004F427E" w:rsidRPr="000265C8">
        <w:t xml:space="preserve">se interviews indicate </w:t>
      </w:r>
      <w:r w:rsidRPr="000265C8">
        <w:t>broad awareness of and enthusiasm for both the non-pecuniary individual benefits and the collective benefits of higher education</w:t>
      </w:r>
      <w:r w:rsidR="00B3101E" w:rsidRPr="000265C8">
        <w:t>,</w:t>
      </w:r>
      <w:r w:rsidRPr="000265C8">
        <w:t xml:space="preserve"> in sharp contrast to the UK Treasury led government thinking</w:t>
      </w:r>
      <w:r w:rsidR="00B3101E" w:rsidRPr="000265C8">
        <w:t>. M</w:t>
      </w:r>
      <w:r w:rsidRPr="000265C8">
        <w:t>any interviewees provided examples of such ‘public’ goods</w:t>
      </w:r>
      <w:r w:rsidR="002A7077" w:rsidRPr="000265C8">
        <w:t>. M</w:t>
      </w:r>
      <w:r w:rsidR="00E30B9C" w:rsidRPr="000265C8">
        <w:t>ost rejected the idea that public and private benefits are opposed</w:t>
      </w:r>
      <w:r w:rsidR="00441672" w:rsidRPr="000265C8">
        <w:t xml:space="preserve">. Three of the four former and present policy makers in this study, as well other interviewees, </w:t>
      </w:r>
      <w:r w:rsidR="002A7077" w:rsidRPr="000265C8">
        <w:t>emphasised</w:t>
      </w:r>
      <w:r w:rsidR="00441672" w:rsidRPr="000265C8">
        <w:t xml:space="preserve"> higher education’s public good role</w:t>
      </w:r>
      <w:r w:rsidR="002A7077" w:rsidRPr="000265C8">
        <w:t xml:space="preserve"> and saw that role </w:t>
      </w:r>
      <w:r w:rsidR="00441672" w:rsidRPr="000265C8">
        <w:t>as wrongly neglected.</w:t>
      </w:r>
      <w:r w:rsidR="00045538" w:rsidRPr="000265C8">
        <w:t xml:space="preserve"> </w:t>
      </w:r>
      <w:r w:rsidR="00441672" w:rsidRPr="000265C8">
        <w:t xml:space="preserve">However, </w:t>
      </w:r>
      <w:r w:rsidRPr="000265C8">
        <w:t xml:space="preserve">there </w:t>
      </w:r>
      <w:r w:rsidR="00045538" w:rsidRPr="000265C8">
        <w:t>wa</w:t>
      </w:r>
      <w:r w:rsidRPr="000265C8">
        <w:t xml:space="preserve">s no consensus on the definitions, </w:t>
      </w:r>
      <w:proofErr w:type="gramStart"/>
      <w:r w:rsidRPr="000265C8">
        <w:t>measures</w:t>
      </w:r>
      <w:proofErr w:type="gramEnd"/>
      <w:r w:rsidRPr="000265C8">
        <w:t xml:space="preserve"> or relative importance of </w:t>
      </w:r>
      <w:r w:rsidR="00B3101E" w:rsidRPr="000265C8">
        <w:t>public</w:t>
      </w:r>
      <w:r w:rsidRPr="000265C8">
        <w:t xml:space="preserve"> </w:t>
      </w:r>
      <w:r w:rsidR="00B3101E" w:rsidRPr="000265C8">
        <w:t>outcome</w:t>
      </w:r>
      <w:r w:rsidRPr="000265C8">
        <w:t>s</w:t>
      </w:r>
      <w:r w:rsidR="00E30B9C" w:rsidRPr="000265C8">
        <w:t xml:space="preserve">, </w:t>
      </w:r>
      <w:r w:rsidR="00045538" w:rsidRPr="000265C8">
        <w:t>undermining the potential for</w:t>
      </w:r>
      <w:r w:rsidR="00E30B9C" w:rsidRPr="000265C8">
        <w:t xml:space="preserve"> a forward move on </w:t>
      </w:r>
      <w:r w:rsidR="002A7077" w:rsidRPr="000265C8">
        <w:t>public good</w:t>
      </w:r>
      <w:r w:rsidR="00E30B9C" w:rsidRPr="000265C8">
        <w:t>.</w:t>
      </w:r>
      <w:r w:rsidR="00441672" w:rsidRPr="000265C8">
        <w:t xml:space="preserve"> </w:t>
      </w:r>
    </w:p>
    <w:p w14:paraId="22178F18" w14:textId="020AA413" w:rsidR="002A7077" w:rsidRPr="000265C8" w:rsidRDefault="00C66A52" w:rsidP="000265C8">
      <w:pPr>
        <w:spacing w:line="276" w:lineRule="auto"/>
        <w:ind w:firstLine="454"/>
      </w:pPr>
      <w:r w:rsidRPr="000265C8">
        <w:t xml:space="preserve">When it came to the binary question of ‘who pays?’ </w:t>
      </w:r>
      <w:r w:rsidR="00B11448" w:rsidRPr="000265C8">
        <w:t>n</w:t>
      </w:r>
      <w:r w:rsidR="00612A64" w:rsidRPr="000265C8">
        <w:t xml:space="preserve">o interviewee </w:t>
      </w:r>
      <w:r w:rsidR="00E30B9C" w:rsidRPr="000265C8">
        <w:t>could</w:t>
      </w:r>
      <w:r w:rsidRPr="000265C8">
        <w:t xml:space="preserve"> decouple judgments about the funding system from judgements about the nature and purpose of higher education</w:t>
      </w:r>
      <w:r w:rsidR="00045538" w:rsidRPr="000265C8">
        <w:t>.</w:t>
      </w:r>
      <w:r w:rsidR="00E30B9C" w:rsidRPr="000265C8">
        <w:t xml:space="preserve"> </w:t>
      </w:r>
      <w:r w:rsidR="00045538" w:rsidRPr="000265C8">
        <w:t xml:space="preserve">It should be possible to plan for a range of </w:t>
      </w:r>
      <w:proofErr w:type="spellStart"/>
      <w:proofErr w:type="gramStart"/>
      <w:r w:rsidR="00045538" w:rsidRPr="000265C8">
        <w:t>non market</w:t>
      </w:r>
      <w:proofErr w:type="spellEnd"/>
      <w:proofErr w:type="gramEnd"/>
      <w:r w:rsidR="00045538" w:rsidRPr="000265C8">
        <w:t xml:space="preserve"> outcomes</w:t>
      </w:r>
      <w:r w:rsidR="002A7077" w:rsidRPr="000265C8">
        <w:t>,</w:t>
      </w:r>
      <w:r w:rsidR="00045538" w:rsidRPr="000265C8">
        <w:t xml:space="preserve"> whatever the public/private mix of funding. However, t</w:t>
      </w:r>
      <w:r w:rsidR="00E30B9C" w:rsidRPr="000265C8">
        <w:t xml:space="preserve">he </w:t>
      </w:r>
      <w:r w:rsidR="00045538" w:rsidRPr="000265C8">
        <w:t xml:space="preserve">Dearing, </w:t>
      </w:r>
      <w:r w:rsidR="00E30B9C" w:rsidRPr="000265C8">
        <w:t xml:space="preserve">Browne, </w:t>
      </w:r>
      <w:proofErr w:type="spellStart"/>
      <w:r w:rsidR="00E30B9C" w:rsidRPr="000265C8">
        <w:t>Augar</w:t>
      </w:r>
      <w:proofErr w:type="spellEnd"/>
      <w:r w:rsidR="00E30B9C" w:rsidRPr="000265C8">
        <w:t xml:space="preserve"> and Treasury notion that the private character of the benefits determines the private and market character of financing block</w:t>
      </w:r>
      <w:r w:rsidR="00045538" w:rsidRPr="000265C8">
        <w:t>s</w:t>
      </w:r>
      <w:r w:rsidR="00E30B9C" w:rsidRPr="000265C8">
        <w:t xml:space="preserve"> a more expansive approach to public and collective goods. </w:t>
      </w:r>
      <w:r w:rsidR="002A7077" w:rsidRPr="000265C8">
        <w:t xml:space="preserve">This is distinctly odd in one respect, because policy has </w:t>
      </w:r>
      <w:proofErr w:type="gramStart"/>
      <w:r w:rsidR="002A7077" w:rsidRPr="000265C8">
        <w:t>actually been</w:t>
      </w:r>
      <w:proofErr w:type="gramEnd"/>
      <w:r w:rsidR="002A7077" w:rsidRPr="000265C8">
        <w:t xml:space="preserve"> driven by the reverse logic – the shift to private financing led to the idea of predominantly private benefits, not the other way round, as the policy reports show. But no one thinks this through</w:t>
      </w:r>
      <w:r w:rsidR="00DC3E30" w:rsidRPr="000265C8">
        <w:t>.</w:t>
      </w:r>
    </w:p>
    <w:p w14:paraId="22C4A258" w14:textId="77777777" w:rsidR="00DC3E30" w:rsidRPr="000265C8" w:rsidRDefault="00DC3E30" w:rsidP="000265C8">
      <w:pPr>
        <w:spacing w:line="276" w:lineRule="auto"/>
      </w:pPr>
    </w:p>
    <w:p w14:paraId="7C58BBA3" w14:textId="77777777" w:rsidR="00F30BC0" w:rsidRPr="000265C8" w:rsidRDefault="00F30BC0" w:rsidP="000265C8">
      <w:pPr>
        <w:spacing w:line="276" w:lineRule="auto"/>
        <w:rPr>
          <w:b/>
          <w:bCs/>
        </w:rPr>
      </w:pPr>
      <w:r w:rsidRPr="000265C8">
        <w:rPr>
          <w:b/>
          <w:bCs/>
        </w:rPr>
        <w:t>[Stuck in the mud]</w:t>
      </w:r>
    </w:p>
    <w:p w14:paraId="2F7A6D1C" w14:textId="2931F38A" w:rsidR="00441672" w:rsidRPr="000265C8" w:rsidRDefault="00DC3E30" w:rsidP="000265C8">
      <w:pPr>
        <w:spacing w:line="276" w:lineRule="auto"/>
      </w:pPr>
      <w:r w:rsidRPr="000265C8">
        <w:t xml:space="preserve">The public role of UK higher education is stuck in the mud. </w:t>
      </w:r>
      <w:proofErr w:type="gramStart"/>
      <w:r w:rsidR="00E30B9C" w:rsidRPr="000265C8">
        <w:t>A number of</w:t>
      </w:r>
      <w:proofErr w:type="gramEnd"/>
      <w:r w:rsidR="00E30B9C" w:rsidRPr="000265C8">
        <w:t xml:space="preserve"> factors contribute. </w:t>
      </w:r>
      <w:r w:rsidR="00045538" w:rsidRPr="000265C8">
        <w:t>T</w:t>
      </w:r>
      <w:r w:rsidR="00E30B9C" w:rsidRPr="000265C8">
        <w:t xml:space="preserve">he power of Treasury economics within the centralised </w:t>
      </w:r>
      <w:r w:rsidR="00B472A0" w:rsidRPr="000265C8">
        <w:t>Westminster system</w:t>
      </w:r>
      <w:r w:rsidR="00E30B9C" w:rsidRPr="000265C8">
        <w:t xml:space="preserve">. </w:t>
      </w:r>
      <w:r w:rsidR="00045538" w:rsidRPr="000265C8">
        <w:t>T</w:t>
      </w:r>
      <w:r w:rsidR="00B472A0" w:rsidRPr="000265C8">
        <w:t xml:space="preserve">he </w:t>
      </w:r>
      <w:r w:rsidRPr="000265C8">
        <w:t>consistency between</w:t>
      </w:r>
      <w:r w:rsidR="00B472A0" w:rsidRPr="000265C8">
        <w:t xml:space="preserve"> an ideology of privatised funding</w:t>
      </w:r>
      <w:r w:rsidRPr="000265C8">
        <w:t>,</w:t>
      </w:r>
      <w:r w:rsidR="00B472A0" w:rsidRPr="000265C8">
        <w:t xml:space="preserve"> corporate autonomy and institutional financial </w:t>
      </w:r>
      <w:proofErr w:type="gramStart"/>
      <w:r w:rsidR="00B472A0" w:rsidRPr="000265C8">
        <w:t>power;</w:t>
      </w:r>
      <w:proofErr w:type="gramEnd"/>
      <w:r w:rsidR="00B472A0" w:rsidRPr="000265C8">
        <w:t xml:space="preserve"> though </w:t>
      </w:r>
      <w:r w:rsidRPr="000265C8">
        <w:t>it</w:t>
      </w:r>
      <w:r w:rsidR="00045538" w:rsidRPr="000265C8">
        <w:t xml:space="preserve"> </w:t>
      </w:r>
      <w:r w:rsidR="00B472A0" w:rsidRPr="000265C8">
        <w:t>is a devil’s bargain given th</w:t>
      </w:r>
      <w:r w:rsidR="00B11448" w:rsidRPr="000265C8">
        <w:t xml:space="preserve">e </w:t>
      </w:r>
      <w:r w:rsidR="00045538" w:rsidRPr="000265C8">
        <w:t>growing</w:t>
      </w:r>
      <w:r w:rsidR="00B11448" w:rsidRPr="000265C8">
        <w:t xml:space="preserve"> </w:t>
      </w:r>
      <w:r w:rsidR="00B472A0" w:rsidRPr="000265C8">
        <w:t xml:space="preserve">central government </w:t>
      </w:r>
      <w:r w:rsidR="00B11448" w:rsidRPr="000265C8">
        <w:t>influence in</w:t>
      </w:r>
      <w:r w:rsidR="00B472A0" w:rsidRPr="000265C8">
        <w:t xml:space="preserve"> the content of education</w:t>
      </w:r>
      <w:r w:rsidRPr="000265C8">
        <w:t xml:space="preserve"> </w:t>
      </w:r>
      <w:r w:rsidR="00B472A0" w:rsidRPr="000265C8">
        <w:t xml:space="preserve">and research. But above all, the </w:t>
      </w:r>
      <w:r w:rsidR="00B503C7" w:rsidRPr="000265C8">
        <w:t xml:space="preserve">UK has no </w:t>
      </w:r>
      <w:r w:rsidR="00441672" w:rsidRPr="000265C8">
        <w:t xml:space="preserve">shared </w:t>
      </w:r>
      <w:r w:rsidR="00B503C7" w:rsidRPr="000265C8">
        <w:t xml:space="preserve">policy language for talking about higher education </w:t>
      </w:r>
      <w:r w:rsidRPr="000265C8">
        <w:t xml:space="preserve">outcomes </w:t>
      </w:r>
      <w:r w:rsidR="00B503C7" w:rsidRPr="000265C8">
        <w:t>other than individualised economic benefits</w:t>
      </w:r>
      <w:r w:rsidR="008A4A5E" w:rsidRPr="000265C8">
        <w:t xml:space="preserve">. </w:t>
      </w:r>
      <w:r w:rsidR="00D11179" w:rsidRPr="000265C8">
        <w:t xml:space="preserve">A larger policy language was emptied out successively in </w:t>
      </w:r>
      <w:r w:rsidR="00D11179" w:rsidRPr="000265C8">
        <w:lastRenderedPageBreak/>
        <w:t xml:space="preserve">the </w:t>
      </w:r>
      <w:r w:rsidR="00045538" w:rsidRPr="000265C8">
        <w:t>passage</w:t>
      </w:r>
      <w:r w:rsidR="00D11179" w:rsidRPr="000265C8">
        <w:t xml:space="preserve"> from Robbins to </w:t>
      </w:r>
      <w:proofErr w:type="spellStart"/>
      <w:r w:rsidR="00D11179" w:rsidRPr="000265C8">
        <w:t>Augar</w:t>
      </w:r>
      <w:proofErr w:type="spellEnd"/>
      <w:r w:rsidR="00D11179" w:rsidRPr="000265C8">
        <w:t xml:space="preserve"> and the corresponding ministerial discourse. </w:t>
      </w:r>
      <w:r w:rsidRPr="000265C8">
        <w:t>B</w:t>
      </w:r>
      <w:r w:rsidR="008A4A5E" w:rsidRPr="000265C8">
        <w:t>ecause</w:t>
      </w:r>
      <w:r w:rsidR="00B503C7" w:rsidRPr="000265C8">
        <w:t xml:space="preserve"> </w:t>
      </w:r>
      <w:r w:rsidRPr="000265C8">
        <w:t xml:space="preserve">the </w:t>
      </w:r>
      <w:r w:rsidR="008A4A5E" w:rsidRPr="000265C8">
        <w:t xml:space="preserve">policy </w:t>
      </w:r>
      <w:r w:rsidRPr="000265C8">
        <w:t>vision</w:t>
      </w:r>
      <w:r w:rsidR="00B503C7" w:rsidRPr="000265C8">
        <w:t xml:space="preserve"> </w:t>
      </w:r>
      <w:r w:rsidRPr="000265C8">
        <w:t xml:space="preserve">became </w:t>
      </w:r>
      <w:r w:rsidR="00B503C7" w:rsidRPr="000265C8">
        <w:t xml:space="preserve">hi-jacked by </w:t>
      </w:r>
      <w:r w:rsidRPr="000265C8">
        <w:t xml:space="preserve">Treasury’s need to advocate </w:t>
      </w:r>
      <w:r w:rsidR="00B503C7" w:rsidRPr="000265C8">
        <w:t>tuition fees</w:t>
      </w:r>
      <w:r w:rsidR="00647F2D" w:rsidRPr="000265C8">
        <w:t xml:space="preserve">. </w:t>
      </w:r>
    </w:p>
    <w:p w14:paraId="3DEF44C2" w14:textId="048A6C43" w:rsidR="00CF17EC" w:rsidRPr="000265C8" w:rsidRDefault="00647F2D" w:rsidP="000265C8">
      <w:pPr>
        <w:spacing w:line="276" w:lineRule="auto"/>
        <w:ind w:firstLine="454"/>
      </w:pPr>
      <w:r w:rsidRPr="000265C8">
        <w:t>Private costs have been</w:t>
      </w:r>
      <w:r w:rsidR="008A4A5E" w:rsidRPr="000265C8">
        <w:t xml:space="preserve"> increased by successive governments</w:t>
      </w:r>
      <w:r w:rsidRPr="000265C8">
        <w:t xml:space="preserve"> against much resistance</w:t>
      </w:r>
      <w:r w:rsidR="00441672" w:rsidRPr="000265C8">
        <w:t xml:space="preserve">. </w:t>
      </w:r>
      <w:r w:rsidRPr="000265C8">
        <w:t xml:space="preserve">The economic argument about </w:t>
      </w:r>
      <w:r w:rsidR="00045538" w:rsidRPr="000265C8">
        <w:t xml:space="preserve">largely </w:t>
      </w:r>
      <w:r w:rsidRPr="000265C8">
        <w:t>private</w:t>
      </w:r>
      <w:r w:rsidR="00045538" w:rsidRPr="000265C8">
        <w:t xml:space="preserve"> outcomes</w:t>
      </w:r>
      <w:r w:rsidRPr="000265C8">
        <w:t xml:space="preserve"> </w:t>
      </w:r>
      <w:r w:rsidR="00B11448" w:rsidRPr="000265C8">
        <w:t>has been</w:t>
      </w:r>
      <w:r w:rsidR="00B472A0" w:rsidRPr="000265C8">
        <w:t xml:space="preserve"> used to </w:t>
      </w:r>
      <w:r w:rsidRPr="000265C8">
        <w:t xml:space="preserve">naturalise </w:t>
      </w:r>
      <w:r w:rsidR="007C63D6" w:rsidRPr="000265C8">
        <w:t>an entirely political decision</w:t>
      </w:r>
      <w:r w:rsidR="00045538" w:rsidRPr="000265C8">
        <w:t>. S</w:t>
      </w:r>
      <w:r w:rsidR="007C63D6" w:rsidRPr="000265C8">
        <w:t xml:space="preserve">uccessive UK ministers have tightened the discursive link between the </w:t>
      </w:r>
      <w:r w:rsidR="00441672" w:rsidRPr="000265C8">
        <w:t>definition of benefit, and the balance of funding.</w:t>
      </w:r>
      <w:r w:rsidR="007C63D6" w:rsidRPr="000265C8">
        <w:t xml:space="preserve"> </w:t>
      </w:r>
      <w:r w:rsidR="00441672" w:rsidRPr="000265C8">
        <w:t>G</w:t>
      </w:r>
      <w:r w:rsidRPr="000265C8">
        <w:t xml:space="preserve">overnments determined to shift costs onto students and families have been unwilling to acknowledge </w:t>
      </w:r>
      <w:r w:rsidR="00045538" w:rsidRPr="000265C8">
        <w:t xml:space="preserve">the </w:t>
      </w:r>
      <w:r w:rsidRPr="000265C8">
        <w:t xml:space="preserve">broad-based public benefits because this might </w:t>
      </w:r>
      <w:r w:rsidR="007C63D6" w:rsidRPr="000265C8">
        <w:t>bring</w:t>
      </w:r>
      <w:r w:rsidR="00441672" w:rsidRPr="000265C8">
        <w:t xml:space="preserve"> taxpayer financing</w:t>
      </w:r>
      <w:r w:rsidR="007C63D6" w:rsidRPr="000265C8">
        <w:t xml:space="preserve"> back </w:t>
      </w:r>
      <w:r w:rsidR="00441672" w:rsidRPr="000265C8">
        <w:t>on</w:t>
      </w:r>
      <w:r w:rsidR="007C63D6" w:rsidRPr="000265C8">
        <w:t>to the agenda</w:t>
      </w:r>
      <w:r w:rsidRPr="000265C8">
        <w:t xml:space="preserve">. </w:t>
      </w:r>
    </w:p>
    <w:p w14:paraId="15EDFA3A" w14:textId="77777777" w:rsidR="00F30BC0" w:rsidRPr="000265C8" w:rsidRDefault="00F30BC0" w:rsidP="000265C8">
      <w:pPr>
        <w:spacing w:line="276" w:lineRule="auto"/>
      </w:pPr>
    </w:p>
    <w:p w14:paraId="40E3903F" w14:textId="77777777" w:rsidR="00F30BC0" w:rsidRPr="000265C8" w:rsidRDefault="00F30BC0" w:rsidP="000265C8">
      <w:pPr>
        <w:spacing w:line="276" w:lineRule="auto"/>
        <w:rPr>
          <w:b/>
          <w:bCs/>
        </w:rPr>
      </w:pPr>
      <w:r w:rsidRPr="000265C8">
        <w:rPr>
          <w:b/>
          <w:bCs/>
        </w:rPr>
        <w:t>[No stable basis for financing]</w:t>
      </w:r>
    </w:p>
    <w:p w14:paraId="3DC9416F" w14:textId="616A2A3F" w:rsidR="00F9534B" w:rsidRPr="000265C8" w:rsidRDefault="006C75B3" w:rsidP="000265C8">
      <w:pPr>
        <w:spacing w:line="276" w:lineRule="auto"/>
      </w:pPr>
      <w:r w:rsidRPr="000265C8">
        <w:t>But while the private/public structure of financing might appear to offer definition</w:t>
      </w:r>
      <w:r w:rsidR="00B11448" w:rsidRPr="000265C8">
        <w:t xml:space="preserve">, </w:t>
      </w:r>
      <w:r w:rsidRPr="000265C8">
        <w:t xml:space="preserve">it </w:t>
      </w:r>
      <w:r w:rsidR="00B11448" w:rsidRPr="000265C8">
        <w:t>provides no stability</w:t>
      </w:r>
      <w:r w:rsidRPr="000265C8">
        <w:t xml:space="preserve">. Just as the boundary between private and public good is incoherent, as is the boundary between the powers and responsibilities of government and institutions, so is the boundary between private and public costs. All three of these </w:t>
      </w:r>
      <w:r w:rsidR="007C5441" w:rsidRPr="000265C8">
        <w:t>boundaries slip and slide and</w:t>
      </w:r>
      <w:r w:rsidRPr="000265C8">
        <w:t xml:space="preserve"> feed each other’s instability. </w:t>
      </w:r>
      <w:r w:rsidR="00B11448" w:rsidRPr="000265C8">
        <w:t>W</w:t>
      </w:r>
      <w:r w:rsidR="00441672" w:rsidRPr="000265C8">
        <w:t>ithout</w:t>
      </w:r>
      <w:r w:rsidR="00F94EAF" w:rsidRPr="000265C8">
        <w:t xml:space="preserve"> a clearcut position on the private/public shares of tuition (</w:t>
      </w:r>
      <w:r w:rsidR="00441672" w:rsidRPr="000265C8">
        <w:t xml:space="preserve">either </w:t>
      </w:r>
      <w:r w:rsidR="00F94EAF" w:rsidRPr="000265C8">
        <w:t>free education, a pure private market with no subsidies, or a firmly policed 50/50 split</w:t>
      </w:r>
      <w:r w:rsidR="00B11448" w:rsidRPr="000265C8">
        <w:t xml:space="preserve"> to underpin share funding</w:t>
      </w:r>
      <w:r w:rsidR="00F94EAF" w:rsidRPr="000265C8">
        <w:t>), t</w:t>
      </w:r>
      <w:r w:rsidRPr="000265C8">
        <w:t xml:space="preserve">he financing of tuition </w:t>
      </w:r>
      <w:r w:rsidR="00341B8C" w:rsidRPr="000265C8">
        <w:t xml:space="preserve">will </w:t>
      </w:r>
      <w:r w:rsidR="00B11448" w:rsidRPr="000265C8">
        <w:t>remain</w:t>
      </w:r>
      <w:r w:rsidR="00F9534B" w:rsidRPr="000265C8">
        <w:t xml:space="preserve"> </w:t>
      </w:r>
      <w:r w:rsidRPr="000265C8">
        <w:t xml:space="preserve">politicised and </w:t>
      </w:r>
      <w:r w:rsidR="009F5ED6" w:rsidRPr="000265C8">
        <w:t xml:space="preserve">volatile. </w:t>
      </w:r>
      <w:r w:rsidR="00441672" w:rsidRPr="000265C8">
        <w:t>In the regulated market system t</w:t>
      </w:r>
      <w:r w:rsidR="00F9534B" w:rsidRPr="000265C8">
        <w:t>uition policy</w:t>
      </w:r>
      <w:r w:rsidR="009F5ED6" w:rsidRPr="000265C8">
        <w:t xml:space="preserve"> is vulnerable</w:t>
      </w:r>
      <w:r w:rsidRPr="000265C8">
        <w:t xml:space="preserve"> to </w:t>
      </w:r>
      <w:r w:rsidR="009F5ED6" w:rsidRPr="000265C8">
        <w:t xml:space="preserve">continuous </w:t>
      </w:r>
      <w:r w:rsidRPr="000265C8">
        <w:t>tweaks for short-term political and fiscal reasons</w:t>
      </w:r>
      <w:r w:rsidR="00F9534B" w:rsidRPr="000265C8">
        <w:t xml:space="preserve"> as the post-2012 reform period</w:t>
      </w:r>
      <w:r w:rsidR="00341B8C" w:rsidRPr="000265C8">
        <w:t xml:space="preserve"> </w:t>
      </w:r>
      <w:r w:rsidR="00F9534B" w:rsidRPr="000265C8">
        <w:t>has shown</w:t>
      </w:r>
      <w:r w:rsidRPr="000265C8">
        <w:t xml:space="preserve">. </w:t>
      </w:r>
    </w:p>
    <w:p w14:paraId="26442BC7" w14:textId="77777777" w:rsidR="000D4CC0" w:rsidRPr="000265C8" w:rsidRDefault="000D4CC0" w:rsidP="000265C8">
      <w:pPr>
        <w:spacing w:line="276" w:lineRule="auto"/>
      </w:pPr>
    </w:p>
    <w:p w14:paraId="5EDFA62A" w14:textId="77777777" w:rsidR="000D4CC0" w:rsidRPr="000265C8" w:rsidRDefault="000D4CC0" w:rsidP="000265C8">
      <w:pPr>
        <w:spacing w:line="276" w:lineRule="auto"/>
        <w:rPr>
          <w:b/>
          <w:bCs/>
        </w:rPr>
      </w:pPr>
      <w:r w:rsidRPr="000265C8">
        <w:rPr>
          <w:b/>
          <w:bCs/>
        </w:rPr>
        <w:t>[The way out]</w:t>
      </w:r>
    </w:p>
    <w:p w14:paraId="0D5FB095" w14:textId="54076BB0" w:rsidR="001E770E" w:rsidRPr="000265C8" w:rsidRDefault="001E770E" w:rsidP="000265C8">
      <w:pPr>
        <w:spacing w:line="276" w:lineRule="auto"/>
      </w:pPr>
      <w:r w:rsidRPr="000265C8">
        <w:t xml:space="preserve">By </w:t>
      </w:r>
      <w:r w:rsidR="008927DF" w:rsidRPr="000265C8">
        <w:t>driving the whole of</w:t>
      </w:r>
      <w:r w:rsidRPr="000265C8">
        <w:t xml:space="preserve"> </w:t>
      </w:r>
      <w:r w:rsidR="00F30BC0" w:rsidRPr="000265C8">
        <w:t xml:space="preserve">higher education </w:t>
      </w:r>
      <w:r w:rsidRPr="000265C8">
        <w:t xml:space="preserve">policy </w:t>
      </w:r>
      <w:r w:rsidR="00B11448" w:rsidRPr="000265C8">
        <w:t>with</w:t>
      </w:r>
      <w:r w:rsidRPr="000265C8">
        <w:t xml:space="preserve"> a funding formula, government imprisons public goods within attenuated </w:t>
      </w:r>
      <w:r w:rsidR="008927DF" w:rsidRPr="000265C8">
        <w:t xml:space="preserve">economic </w:t>
      </w:r>
      <w:r w:rsidRPr="000265C8">
        <w:t xml:space="preserve">concepts of market </w:t>
      </w:r>
      <w:proofErr w:type="gramStart"/>
      <w:r w:rsidRPr="000265C8">
        <w:t>spill-overs</w:t>
      </w:r>
      <w:proofErr w:type="gramEnd"/>
      <w:r w:rsidRPr="000265C8">
        <w:t xml:space="preserve"> and externalities. Yet many collective benefits of higher education are not economic but social, </w:t>
      </w:r>
      <w:proofErr w:type="gramStart"/>
      <w:r w:rsidRPr="000265C8">
        <w:t>cultural</w:t>
      </w:r>
      <w:proofErr w:type="gramEnd"/>
      <w:r w:rsidRPr="000265C8">
        <w:t xml:space="preserve"> and political. </w:t>
      </w:r>
      <w:r w:rsidR="007C5441" w:rsidRPr="000265C8">
        <w:t xml:space="preserve">By breaking the nexus between funding policy and judgments about provision and activity, </w:t>
      </w:r>
      <w:r w:rsidR="000D4CC0" w:rsidRPr="000265C8">
        <w:t xml:space="preserve">as the Robbins report was able to do, </w:t>
      </w:r>
      <w:r w:rsidR="007C5441" w:rsidRPr="000265C8">
        <w:t xml:space="preserve">UK government and </w:t>
      </w:r>
      <w:r w:rsidR="00B3101E" w:rsidRPr="000265C8">
        <w:t>institutions</w:t>
      </w:r>
      <w:r w:rsidR="007C5441" w:rsidRPr="000265C8">
        <w:t xml:space="preserve"> could focus </w:t>
      </w:r>
      <w:r w:rsidR="008927DF" w:rsidRPr="000265C8">
        <w:t xml:space="preserve">openly </w:t>
      </w:r>
      <w:r w:rsidR="007C5441" w:rsidRPr="000265C8">
        <w:t xml:space="preserve">on the potentials of </w:t>
      </w:r>
      <w:r w:rsidR="008927DF" w:rsidRPr="000265C8">
        <w:t xml:space="preserve">individual non-pecuniary outcomes and the many and diverse possibilities for </w:t>
      </w:r>
      <w:r w:rsidR="007C5441" w:rsidRPr="000265C8">
        <w:t>collective goods.</w:t>
      </w:r>
    </w:p>
    <w:p w14:paraId="486F30A4" w14:textId="77777777" w:rsidR="00E46E83" w:rsidRPr="000265C8" w:rsidRDefault="00E46E83" w:rsidP="000265C8">
      <w:pPr>
        <w:spacing w:line="276" w:lineRule="auto"/>
      </w:pPr>
    </w:p>
    <w:p w14:paraId="4BA3036A" w14:textId="7317470B" w:rsidR="00E46E83" w:rsidRPr="000265C8" w:rsidRDefault="00E46E83" w:rsidP="000265C8">
      <w:pPr>
        <w:spacing w:line="276" w:lineRule="auto"/>
        <w:rPr>
          <w:b/>
          <w:bCs/>
        </w:rPr>
      </w:pPr>
      <w:r w:rsidRPr="000265C8">
        <w:rPr>
          <w:b/>
          <w:bCs/>
        </w:rPr>
        <w:t>[sign off slide]</w:t>
      </w:r>
    </w:p>
    <w:p w14:paraId="22633BC6" w14:textId="72F44606" w:rsidR="00E46E83" w:rsidRPr="000265C8" w:rsidRDefault="00E46E83" w:rsidP="000265C8">
      <w:pPr>
        <w:spacing w:line="276" w:lineRule="auto"/>
      </w:pPr>
      <w:r w:rsidRPr="000265C8">
        <w:t>Thank you for listening. I look forward to questions</w:t>
      </w:r>
      <w:r w:rsidR="005139AC" w:rsidRPr="000265C8">
        <w:t>.</w:t>
      </w:r>
    </w:p>
    <w:p w14:paraId="4687A920" w14:textId="77777777" w:rsidR="00602705" w:rsidRPr="000265C8" w:rsidRDefault="00602705" w:rsidP="000265C8">
      <w:pPr>
        <w:spacing w:line="276" w:lineRule="auto"/>
      </w:pPr>
    </w:p>
    <w:sectPr w:rsidR="00602705" w:rsidRPr="000265C8" w:rsidSect="004B0E43">
      <w:headerReference w:type="even" r:id="rId7"/>
      <w:headerReference w:type="default" r:id="rId8"/>
      <w:endnotePr>
        <w:numFmt w:val="decimal"/>
      </w:endnotePr>
      <w:type w:val="continuous"/>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3B4C" w14:textId="77777777" w:rsidR="002C2414" w:rsidRDefault="002C2414" w:rsidP="00DA771F">
      <w:r>
        <w:separator/>
      </w:r>
    </w:p>
  </w:endnote>
  <w:endnote w:type="continuationSeparator" w:id="0">
    <w:p w14:paraId="1D504C3E" w14:textId="77777777" w:rsidR="002C2414" w:rsidRDefault="002C2414" w:rsidP="00DA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S Lola">
    <w:altName w:val="FS Lol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0614" w14:textId="77777777" w:rsidR="002C2414" w:rsidRDefault="002C2414" w:rsidP="00DA771F">
      <w:r>
        <w:separator/>
      </w:r>
    </w:p>
  </w:footnote>
  <w:footnote w:type="continuationSeparator" w:id="0">
    <w:p w14:paraId="6E281175" w14:textId="77777777" w:rsidR="002C2414" w:rsidRDefault="002C2414" w:rsidP="00DA7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4254534"/>
      <w:docPartObj>
        <w:docPartGallery w:val="Page Numbers (Top of Page)"/>
        <w:docPartUnique/>
      </w:docPartObj>
    </w:sdtPr>
    <w:sdtContent>
      <w:p w14:paraId="3993B42E" w14:textId="6C7B0B99" w:rsidR="00DA771F" w:rsidRDefault="00DA771F" w:rsidP="007E32E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820F5A" w14:textId="77777777" w:rsidR="00DA771F" w:rsidRDefault="00DA7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1534498"/>
      <w:docPartObj>
        <w:docPartGallery w:val="Page Numbers (Top of Page)"/>
        <w:docPartUnique/>
      </w:docPartObj>
    </w:sdtPr>
    <w:sdtContent>
      <w:p w14:paraId="304E887A" w14:textId="32F9C6B9" w:rsidR="00DA771F" w:rsidRDefault="00DA771F" w:rsidP="007E32E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E44CBE2" w14:textId="77777777" w:rsidR="00DA771F" w:rsidRDefault="00DA7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10116"/>
    <w:multiLevelType w:val="multilevel"/>
    <w:tmpl w:val="A3C6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C016D"/>
    <w:multiLevelType w:val="multilevel"/>
    <w:tmpl w:val="C472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4F16B4"/>
    <w:multiLevelType w:val="hybridMultilevel"/>
    <w:tmpl w:val="83AAB5BA"/>
    <w:lvl w:ilvl="0" w:tplc="5DCCED6A">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AA5603"/>
    <w:multiLevelType w:val="hybridMultilevel"/>
    <w:tmpl w:val="3D10F6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B20AB6"/>
    <w:multiLevelType w:val="hybridMultilevel"/>
    <w:tmpl w:val="3D10F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225CC2"/>
    <w:multiLevelType w:val="hybridMultilevel"/>
    <w:tmpl w:val="3D10F6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B3B5392"/>
    <w:multiLevelType w:val="multilevel"/>
    <w:tmpl w:val="9AE6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6022159">
    <w:abstractNumId w:val="4"/>
  </w:num>
  <w:num w:numId="2" w16cid:durableId="1200169692">
    <w:abstractNumId w:val="5"/>
  </w:num>
  <w:num w:numId="3" w16cid:durableId="915286458">
    <w:abstractNumId w:val="1"/>
  </w:num>
  <w:num w:numId="4" w16cid:durableId="1022824336">
    <w:abstractNumId w:val="2"/>
  </w:num>
  <w:num w:numId="5" w16cid:durableId="1760253393">
    <w:abstractNumId w:val="3"/>
  </w:num>
  <w:num w:numId="6" w16cid:durableId="1269504096">
    <w:abstractNumId w:val="6"/>
  </w:num>
  <w:num w:numId="7" w16cid:durableId="122638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454"/>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12"/>
    <w:rsid w:val="00001100"/>
    <w:rsid w:val="00003F8A"/>
    <w:rsid w:val="00006D0F"/>
    <w:rsid w:val="00012227"/>
    <w:rsid w:val="00021B05"/>
    <w:rsid w:val="000265C8"/>
    <w:rsid w:val="00027BEB"/>
    <w:rsid w:val="00027ED4"/>
    <w:rsid w:val="00034583"/>
    <w:rsid w:val="000363D8"/>
    <w:rsid w:val="0003646F"/>
    <w:rsid w:val="000375AD"/>
    <w:rsid w:val="00045538"/>
    <w:rsid w:val="000465CA"/>
    <w:rsid w:val="00052431"/>
    <w:rsid w:val="00056A91"/>
    <w:rsid w:val="000577C7"/>
    <w:rsid w:val="000623FE"/>
    <w:rsid w:val="00062E9E"/>
    <w:rsid w:val="0006466C"/>
    <w:rsid w:val="00065EF9"/>
    <w:rsid w:val="000814C0"/>
    <w:rsid w:val="00082BF1"/>
    <w:rsid w:val="000919A8"/>
    <w:rsid w:val="000970BD"/>
    <w:rsid w:val="000A72DF"/>
    <w:rsid w:val="000B00AF"/>
    <w:rsid w:val="000B20F9"/>
    <w:rsid w:val="000B30A2"/>
    <w:rsid w:val="000B3C4A"/>
    <w:rsid w:val="000B7CD0"/>
    <w:rsid w:val="000C293B"/>
    <w:rsid w:val="000C6A89"/>
    <w:rsid w:val="000D0BB4"/>
    <w:rsid w:val="000D4571"/>
    <w:rsid w:val="000D4CC0"/>
    <w:rsid w:val="000D548F"/>
    <w:rsid w:val="000E10D3"/>
    <w:rsid w:val="000E2B5C"/>
    <w:rsid w:val="000F60C0"/>
    <w:rsid w:val="00116ED6"/>
    <w:rsid w:val="001224E7"/>
    <w:rsid w:val="001231A6"/>
    <w:rsid w:val="001242CE"/>
    <w:rsid w:val="001243D6"/>
    <w:rsid w:val="0013068C"/>
    <w:rsid w:val="001318A0"/>
    <w:rsid w:val="00131EAC"/>
    <w:rsid w:val="00141299"/>
    <w:rsid w:val="00141AB1"/>
    <w:rsid w:val="00142B96"/>
    <w:rsid w:val="00143BA4"/>
    <w:rsid w:val="001470DE"/>
    <w:rsid w:val="001573A0"/>
    <w:rsid w:val="00163CF0"/>
    <w:rsid w:val="001647DB"/>
    <w:rsid w:val="001650EE"/>
    <w:rsid w:val="00167DDC"/>
    <w:rsid w:val="00173E87"/>
    <w:rsid w:val="00175B44"/>
    <w:rsid w:val="001846A8"/>
    <w:rsid w:val="001A0CF1"/>
    <w:rsid w:val="001C0EB9"/>
    <w:rsid w:val="001C1B93"/>
    <w:rsid w:val="001C5263"/>
    <w:rsid w:val="001C5420"/>
    <w:rsid w:val="001C6EE6"/>
    <w:rsid w:val="001E2432"/>
    <w:rsid w:val="001E4712"/>
    <w:rsid w:val="001E53B9"/>
    <w:rsid w:val="001E770E"/>
    <w:rsid w:val="001F1B5F"/>
    <w:rsid w:val="001F689C"/>
    <w:rsid w:val="00204473"/>
    <w:rsid w:val="002052D5"/>
    <w:rsid w:val="002061F4"/>
    <w:rsid w:val="00222D63"/>
    <w:rsid w:val="002240DF"/>
    <w:rsid w:val="00225533"/>
    <w:rsid w:val="002255AA"/>
    <w:rsid w:val="00227020"/>
    <w:rsid w:val="00234BBB"/>
    <w:rsid w:val="00235DA7"/>
    <w:rsid w:val="002524D1"/>
    <w:rsid w:val="0025259F"/>
    <w:rsid w:val="002607B1"/>
    <w:rsid w:val="00261AB8"/>
    <w:rsid w:val="00265E8C"/>
    <w:rsid w:val="002745E5"/>
    <w:rsid w:val="00285420"/>
    <w:rsid w:val="002937D4"/>
    <w:rsid w:val="00293B92"/>
    <w:rsid w:val="00295DE0"/>
    <w:rsid w:val="002A03A1"/>
    <w:rsid w:val="002A419F"/>
    <w:rsid w:val="002A649B"/>
    <w:rsid w:val="002A7077"/>
    <w:rsid w:val="002B14FA"/>
    <w:rsid w:val="002B17D1"/>
    <w:rsid w:val="002B1EB7"/>
    <w:rsid w:val="002B3CE4"/>
    <w:rsid w:val="002B71C1"/>
    <w:rsid w:val="002C2414"/>
    <w:rsid w:val="002C4369"/>
    <w:rsid w:val="002C7387"/>
    <w:rsid w:val="002D44A7"/>
    <w:rsid w:val="002D6608"/>
    <w:rsid w:val="002D6A8A"/>
    <w:rsid w:val="002E1EB5"/>
    <w:rsid w:val="002F00F2"/>
    <w:rsid w:val="002F16CF"/>
    <w:rsid w:val="002F7DA1"/>
    <w:rsid w:val="00306974"/>
    <w:rsid w:val="00306E35"/>
    <w:rsid w:val="00313BEF"/>
    <w:rsid w:val="003143EE"/>
    <w:rsid w:val="00314F21"/>
    <w:rsid w:val="00326238"/>
    <w:rsid w:val="003302AD"/>
    <w:rsid w:val="0033154C"/>
    <w:rsid w:val="003348D8"/>
    <w:rsid w:val="0033569E"/>
    <w:rsid w:val="003365CF"/>
    <w:rsid w:val="00341B8C"/>
    <w:rsid w:val="00343021"/>
    <w:rsid w:val="003532EB"/>
    <w:rsid w:val="00361D00"/>
    <w:rsid w:val="0036383E"/>
    <w:rsid w:val="00373237"/>
    <w:rsid w:val="00376295"/>
    <w:rsid w:val="00385CE9"/>
    <w:rsid w:val="00392669"/>
    <w:rsid w:val="003961EB"/>
    <w:rsid w:val="003A6B62"/>
    <w:rsid w:val="003A722C"/>
    <w:rsid w:val="003B3850"/>
    <w:rsid w:val="003C3EC8"/>
    <w:rsid w:val="003C6428"/>
    <w:rsid w:val="003C642B"/>
    <w:rsid w:val="003D4B08"/>
    <w:rsid w:val="003D522A"/>
    <w:rsid w:val="00403175"/>
    <w:rsid w:val="00414EEC"/>
    <w:rsid w:val="004204D6"/>
    <w:rsid w:val="0042142E"/>
    <w:rsid w:val="00427166"/>
    <w:rsid w:val="00427EEC"/>
    <w:rsid w:val="00431279"/>
    <w:rsid w:val="00434682"/>
    <w:rsid w:val="00441672"/>
    <w:rsid w:val="00462736"/>
    <w:rsid w:val="0046488F"/>
    <w:rsid w:val="004715DB"/>
    <w:rsid w:val="00473C3F"/>
    <w:rsid w:val="00474FD0"/>
    <w:rsid w:val="00483505"/>
    <w:rsid w:val="0048399B"/>
    <w:rsid w:val="0048439D"/>
    <w:rsid w:val="00486E96"/>
    <w:rsid w:val="00495A7D"/>
    <w:rsid w:val="004A3059"/>
    <w:rsid w:val="004A3910"/>
    <w:rsid w:val="004B0E43"/>
    <w:rsid w:val="004B34A0"/>
    <w:rsid w:val="004B7999"/>
    <w:rsid w:val="004C2F11"/>
    <w:rsid w:val="004C6024"/>
    <w:rsid w:val="004D2696"/>
    <w:rsid w:val="004E1205"/>
    <w:rsid w:val="004E71E5"/>
    <w:rsid w:val="004F2152"/>
    <w:rsid w:val="004F216E"/>
    <w:rsid w:val="004F427E"/>
    <w:rsid w:val="004F7AC1"/>
    <w:rsid w:val="00500F7C"/>
    <w:rsid w:val="0050497D"/>
    <w:rsid w:val="0050523C"/>
    <w:rsid w:val="005139AC"/>
    <w:rsid w:val="0052540D"/>
    <w:rsid w:val="005317E1"/>
    <w:rsid w:val="00531B4E"/>
    <w:rsid w:val="00532BF2"/>
    <w:rsid w:val="00533236"/>
    <w:rsid w:val="00535908"/>
    <w:rsid w:val="0054365D"/>
    <w:rsid w:val="00546ED9"/>
    <w:rsid w:val="00551070"/>
    <w:rsid w:val="005537C6"/>
    <w:rsid w:val="00553C2A"/>
    <w:rsid w:val="005557C9"/>
    <w:rsid w:val="005571A7"/>
    <w:rsid w:val="00562110"/>
    <w:rsid w:val="0056260F"/>
    <w:rsid w:val="005739AC"/>
    <w:rsid w:val="00580812"/>
    <w:rsid w:val="0058464C"/>
    <w:rsid w:val="00585DCA"/>
    <w:rsid w:val="005A0CAD"/>
    <w:rsid w:val="005A3FC8"/>
    <w:rsid w:val="005B39CD"/>
    <w:rsid w:val="005B43AB"/>
    <w:rsid w:val="005B69E4"/>
    <w:rsid w:val="005C659E"/>
    <w:rsid w:val="005C6C94"/>
    <w:rsid w:val="005D1BF6"/>
    <w:rsid w:val="005D3BB9"/>
    <w:rsid w:val="005F1933"/>
    <w:rsid w:val="005F22FB"/>
    <w:rsid w:val="005F71B1"/>
    <w:rsid w:val="00602705"/>
    <w:rsid w:val="00602ACD"/>
    <w:rsid w:val="0060529C"/>
    <w:rsid w:val="00612A64"/>
    <w:rsid w:val="006147A5"/>
    <w:rsid w:val="00615739"/>
    <w:rsid w:val="0062168B"/>
    <w:rsid w:val="00624C6C"/>
    <w:rsid w:val="00627DF9"/>
    <w:rsid w:val="00632BC2"/>
    <w:rsid w:val="0064522B"/>
    <w:rsid w:val="00647F2D"/>
    <w:rsid w:val="00663B33"/>
    <w:rsid w:val="00691898"/>
    <w:rsid w:val="00693534"/>
    <w:rsid w:val="00694A1A"/>
    <w:rsid w:val="006A2F45"/>
    <w:rsid w:val="006B255E"/>
    <w:rsid w:val="006B5A68"/>
    <w:rsid w:val="006B6698"/>
    <w:rsid w:val="006C20B4"/>
    <w:rsid w:val="006C6FF7"/>
    <w:rsid w:val="006C75B3"/>
    <w:rsid w:val="006D1A7C"/>
    <w:rsid w:val="006D212A"/>
    <w:rsid w:val="006D40F2"/>
    <w:rsid w:val="006E0F07"/>
    <w:rsid w:val="006F4C7C"/>
    <w:rsid w:val="00702189"/>
    <w:rsid w:val="00713EFE"/>
    <w:rsid w:val="00725DB9"/>
    <w:rsid w:val="00727325"/>
    <w:rsid w:val="00743B13"/>
    <w:rsid w:val="00747628"/>
    <w:rsid w:val="007511AA"/>
    <w:rsid w:val="0075244C"/>
    <w:rsid w:val="0075504B"/>
    <w:rsid w:val="00756475"/>
    <w:rsid w:val="007606A3"/>
    <w:rsid w:val="00764351"/>
    <w:rsid w:val="00773680"/>
    <w:rsid w:val="00777F5A"/>
    <w:rsid w:val="007803BE"/>
    <w:rsid w:val="0078210D"/>
    <w:rsid w:val="007A0470"/>
    <w:rsid w:val="007A3166"/>
    <w:rsid w:val="007A644E"/>
    <w:rsid w:val="007A6B90"/>
    <w:rsid w:val="007B6898"/>
    <w:rsid w:val="007B7692"/>
    <w:rsid w:val="007C18F2"/>
    <w:rsid w:val="007C5441"/>
    <w:rsid w:val="007C63D6"/>
    <w:rsid w:val="007D5D8E"/>
    <w:rsid w:val="007D6A2F"/>
    <w:rsid w:val="007E09B5"/>
    <w:rsid w:val="007E2A48"/>
    <w:rsid w:val="007E3DFE"/>
    <w:rsid w:val="007E466D"/>
    <w:rsid w:val="007E606B"/>
    <w:rsid w:val="007E6A61"/>
    <w:rsid w:val="00806EAC"/>
    <w:rsid w:val="00812A71"/>
    <w:rsid w:val="008146AD"/>
    <w:rsid w:val="0082697F"/>
    <w:rsid w:val="0083179E"/>
    <w:rsid w:val="008326CF"/>
    <w:rsid w:val="00832C6E"/>
    <w:rsid w:val="00837A98"/>
    <w:rsid w:val="00842219"/>
    <w:rsid w:val="00846F55"/>
    <w:rsid w:val="00847FE1"/>
    <w:rsid w:val="008601E3"/>
    <w:rsid w:val="00860910"/>
    <w:rsid w:val="00866213"/>
    <w:rsid w:val="008666D3"/>
    <w:rsid w:val="00880C75"/>
    <w:rsid w:val="00885EAD"/>
    <w:rsid w:val="0088647C"/>
    <w:rsid w:val="008924DB"/>
    <w:rsid w:val="008927DF"/>
    <w:rsid w:val="00896F18"/>
    <w:rsid w:val="008A4A5E"/>
    <w:rsid w:val="008A531D"/>
    <w:rsid w:val="008B0EAA"/>
    <w:rsid w:val="008B55CE"/>
    <w:rsid w:val="008B7D28"/>
    <w:rsid w:val="008C40A1"/>
    <w:rsid w:val="008E259F"/>
    <w:rsid w:val="008E3179"/>
    <w:rsid w:val="008E566E"/>
    <w:rsid w:val="008E6942"/>
    <w:rsid w:val="008F67CD"/>
    <w:rsid w:val="008F7350"/>
    <w:rsid w:val="0090124F"/>
    <w:rsid w:val="00910E51"/>
    <w:rsid w:val="00911414"/>
    <w:rsid w:val="00920068"/>
    <w:rsid w:val="00920655"/>
    <w:rsid w:val="00921782"/>
    <w:rsid w:val="00922EE4"/>
    <w:rsid w:val="00930AA7"/>
    <w:rsid w:val="009515C1"/>
    <w:rsid w:val="00961886"/>
    <w:rsid w:val="0097179E"/>
    <w:rsid w:val="009811D3"/>
    <w:rsid w:val="0098369C"/>
    <w:rsid w:val="0098387E"/>
    <w:rsid w:val="00985599"/>
    <w:rsid w:val="00991E12"/>
    <w:rsid w:val="00994160"/>
    <w:rsid w:val="009B218F"/>
    <w:rsid w:val="009B3737"/>
    <w:rsid w:val="009D4087"/>
    <w:rsid w:val="009E3F08"/>
    <w:rsid w:val="009F5ED6"/>
    <w:rsid w:val="00A10C2D"/>
    <w:rsid w:val="00A1525F"/>
    <w:rsid w:val="00A15E2C"/>
    <w:rsid w:val="00A16778"/>
    <w:rsid w:val="00A23E9C"/>
    <w:rsid w:val="00A319DF"/>
    <w:rsid w:val="00A3284D"/>
    <w:rsid w:val="00A37A74"/>
    <w:rsid w:val="00A46554"/>
    <w:rsid w:val="00A53293"/>
    <w:rsid w:val="00A63431"/>
    <w:rsid w:val="00A63A76"/>
    <w:rsid w:val="00A67B2F"/>
    <w:rsid w:val="00A75C15"/>
    <w:rsid w:val="00A815E2"/>
    <w:rsid w:val="00A83376"/>
    <w:rsid w:val="00A870F0"/>
    <w:rsid w:val="00A93BDE"/>
    <w:rsid w:val="00A94E2A"/>
    <w:rsid w:val="00AA1111"/>
    <w:rsid w:val="00AA29CF"/>
    <w:rsid w:val="00AA3C4A"/>
    <w:rsid w:val="00AB2450"/>
    <w:rsid w:val="00AB24F6"/>
    <w:rsid w:val="00AB6031"/>
    <w:rsid w:val="00AC078E"/>
    <w:rsid w:val="00AC68CC"/>
    <w:rsid w:val="00AD1508"/>
    <w:rsid w:val="00AD196E"/>
    <w:rsid w:val="00AD3ABB"/>
    <w:rsid w:val="00AD738D"/>
    <w:rsid w:val="00AE59FA"/>
    <w:rsid w:val="00AE7B31"/>
    <w:rsid w:val="00AF30F4"/>
    <w:rsid w:val="00B007EE"/>
    <w:rsid w:val="00B02699"/>
    <w:rsid w:val="00B053C4"/>
    <w:rsid w:val="00B05DEE"/>
    <w:rsid w:val="00B10776"/>
    <w:rsid w:val="00B11448"/>
    <w:rsid w:val="00B24D1B"/>
    <w:rsid w:val="00B26E64"/>
    <w:rsid w:val="00B27840"/>
    <w:rsid w:val="00B301D0"/>
    <w:rsid w:val="00B3101E"/>
    <w:rsid w:val="00B33EEE"/>
    <w:rsid w:val="00B34A67"/>
    <w:rsid w:val="00B4497E"/>
    <w:rsid w:val="00B472A0"/>
    <w:rsid w:val="00B503C7"/>
    <w:rsid w:val="00B50EB1"/>
    <w:rsid w:val="00B517E8"/>
    <w:rsid w:val="00B626CD"/>
    <w:rsid w:val="00B670D4"/>
    <w:rsid w:val="00B7317B"/>
    <w:rsid w:val="00B91701"/>
    <w:rsid w:val="00B91D7A"/>
    <w:rsid w:val="00B93AF2"/>
    <w:rsid w:val="00BA0511"/>
    <w:rsid w:val="00BA0735"/>
    <w:rsid w:val="00BA357C"/>
    <w:rsid w:val="00BC00EA"/>
    <w:rsid w:val="00BC4E6D"/>
    <w:rsid w:val="00BC6543"/>
    <w:rsid w:val="00BC658E"/>
    <w:rsid w:val="00BC7AE4"/>
    <w:rsid w:val="00BD7459"/>
    <w:rsid w:val="00BE559E"/>
    <w:rsid w:val="00BF0FC2"/>
    <w:rsid w:val="00BF3313"/>
    <w:rsid w:val="00C00226"/>
    <w:rsid w:val="00C07233"/>
    <w:rsid w:val="00C102EF"/>
    <w:rsid w:val="00C1263D"/>
    <w:rsid w:val="00C17C63"/>
    <w:rsid w:val="00C24182"/>
    <w:rsid w:val="00C30F95"/>
    <w:rsid w:val="00C312E4"/>
    <w:rsid w:val="00C43222"/>
    <w:rsid w:val="00C4474C"/>
    <w:rsid w:val="00C454A6"/>
    <w:rsid w:val="00C469D2"/>
    <w:rsid w:val="00C5308E"/>
    <w:rsid w:val="00C551B5"/>
    <w:rsid w:val="00C62644"/>
    <w:rsid w:val="00C66A52"/>
    <w:rsid w:val="00C872EC"/>
    <w:rsid w:val="00C9188C"/>
    <w:rsid w:val="00C95767"/>
    <w:rsid w:val="00CA0B2A"/>
    <w:rsid w:val="00CA0F35"/>
    <w:rsid w:val="00CA16F3"/>
    <w:rsid w:val="00CB2465"/>
    <w:rsid w:val="00CC555F"/>
    <w:rsid w:val="00CD12E9"/>
    <w:rsid w:val="00CD3B71"/>
    <w:rsid w:val="00CF17EC"/>
    <w:rsid w:val="00CF56EF"/>
    <w:rsid w:val="00D045C7"/>
    <w:rsid w:val="00D11179"/>
    <w:rsid w:val="00D1131F"/>
    <w:rsid w:val="00D15758"/>
    <w:rsid w:val="00D15D2F"/>
    <w:rsid w:val="00D304C2"/>
    <w:rsid w:val="00D45A23"/>
    <w:rsid w:val="00D50FB1"/>
    <w:rsid w:val="00D559B2"/>
    <w:rsid w:val="00D66542"/>
    <w:rsid w:val="00D714A8"/>
    <w:rsid w:val="00D74261"/>
    <w:rsid w:val="00D84CEE"/>
    <w:rsid w:val="00D922BF"/>
    <w:rsid w:val="00D946AD"/>
    <w:rsid w:val="00D96893"/>
    <w:rsid w:val="00D968C2"/>
    <w:rsid w:val="00D96B4E"/>
    <w:rsid w:val="00DA14D4"/>
    <w:rsid w:val="00DA417E"/>
    <w:rsid w:val="00DA771F"/>
    <w:rsid w:val="00DC3E30"/>
    <w:rsid w:val="00DC61B5"/>
    <w:rsid w:val="00DC6FA5"/>
    <w:rsid w:val="00DD08D5"/>
    <w:rsid w:val="00DD4872"/>
    <w:rsid w:val="00DD62C7"/>
    <w:rsid w:val="00DF00D1"/>
    <w:rsid w:val="00DF76B2"/>
    <w:rsid w:val="00E01628"/>
    <w:rsid w:val="00E01CB7"/>
    <w:rsid w:val="00E01E17"/>
    <w:rsid w:val="00E10D77"/>
    <w:rsid w:val="00E30B9C"/>
    <w:rsid w:val="00E37439"/>
    <w:rsid w:val="00E4236A"/>
    <w:rsid w:val="00E45AE1"/>
    <w:rsid w:val="00E46E83"/>
    <w:rsid w:val="00E47213"/>
    <w:rsid w:val="00E55F48"/>
    <w:rsid w:val="00E64F7C"/>
    <w:rsid w:val="00E65F7F"/>
    <w:rsid w:val="00E67B4E"/>
    <w:rsid w:val="00E81A1C"/>
    <w:rsid w:val="00E96B83"/>
    <w:rsid w:val="00E97A91"/>
    <w:rsid w:val="00EA3E0D"/>
    <w:rsid w:val="00EA510A"/>
    <w:rsid w:val="00EB1677"/>
    <w:rsid w:val="00EB443F"/>
    <w:rsid w:val="00EC3058"/>
    <w:rsid w:val="00EC611D"/>
    <w:rsid w:val="00EC7392"/>
    <w:rsid w:val="00ED0939"/>
    <w:rsid w:val="00ED1F83"/>
    <w:rsid w:val="00EE4796"/>
    <w:rsid w:val="00EE5945"/>
    <w:rsid w:val="00EF262E"/>
    <w:rsid w:val="00EF273A"/>
    <w:rsid w:val="00EF32E7"/>
    <w:rsid w:val="00EF5150"/>
    <w:rsid w:val="00F02952"/>
    <w:rsid w:val="00F16DB6"/>
    <w:rsid w:val="00F22701"/>
    <w:rsid w:val="00F23432"/>
    <w:rsid w:val="00F30BC0"/>
    <w:rsid w:val="00F36277"/>
    <w:rsid w:val="00F36B68"/>
    <w:rsid w:val="00F46441"/>
    <w:rsid w:val="00F46E5E"/>
    <w:rsid w:val="00F51F6B"/>
    <w:rsid w:val="00F52CB5"/>
    <w:rsid w:val="00F52FAE"/>
    <w:rsid w:val="00F664CC"/>
    <w:rsid w:val="00F807E0"/>
    <w:rsid w:val="00F828D3"/>
    <w:rsid w:val="00F87D47"/>
    <w:rsid w:val="00F91509"/>
    <w:rsid w:val="00F94EAF"/>
    <w:rsid w:val="00F9534B"/>
    <w:rsid w:val="00FA309E"/>
    <w:rsid w:val="00FA4EB2"/>
    <w:rsid w:val="00FA6267"/>
    <w:rsid w:val="00FB4568"/>
    <w:rsid w:val="00FC04C7"/>
    <w:rsid w:val="00FD23F0"/>
    <w:rsid w:val="00FD2740"/>
    <w:rsid w:val="00FD2C2E"/>
    <w:rsid w:val="00FD35D0"/>
    <w:rsid w:val="00FD60A0"/>
    <w:rsid w:val="00FF0F14"/>
    <w:rsid w:val="00FF2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413660"/>
  <w14:defaultImageDpi w14:val="32767"/>
  <w15:chartTrackingRefBased/>
  <w15:docId w15:val="{B2B9DA02-0477-6C4E-932F-3B285243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68C"/>
    <w:rPr>
      <w:color w:val="0563C1" w:themeColor="hyperlink"/>
      <w:u w:val="single"/>
    </w:rPr>
  </w:style>
  <w:style w:type="paragraph" w:styleId="Header">
    <w:name w:val="header"/>
    <w:basedOn w:val="Normal"/>
    <w:link w:val="HeaderChar"/>
    <w:uiPriority w:val="99"/>
    <w:unhideWhenUsed/>
    <w:rsid w:val="00DA771F"/>
    <w:pPr>
      <w:tabs>
        <w:tab w:val="center" w:pos="4513"/>
        <w:tab w:val="right" w:pos="9026"/>
      </w:tabs>
    </w:pPr>
  </w:style>
  <w:style w:type="character" w:customStyle="1" w:styleId="HeaderChar">
    <w:name w:val="Header Char"/>
    <w:basedOn w:val="DefaultParagraphFont"/>
    <w:link w:val="Header"/>
    <w:uiPriority w:val="99"/>
    <w:rsid w:val="00DA771F"/>
  </w:style>
  <w:style w:type="character" w:styleId="PageNumber">
    <w:name w:val="page number"/>
    <w:basedOn w:val="DefaultParagraphFont"/>
    <w:uiPriority w:val="99"/>
    <w:semiHidden/>
    <w:unhideWhenUsed/>
    <w:rsid w:val="00DA771F"/>
  </w:style>
  <w:style w:type="paragraph" w:customStyle="1" w:styleId="BodytextFO">
    <w:name w:val="#Body text FO"/>
    <w:basedOn w:val="Normal"/>
    <w:rsid w:val="00261AB8"/>
    <w:rPr>
      <w:rFonts w:ascii="Palatino Linotype" w:eastAsia="Times" w:hAnsi="Palatino Linotype" w:cs="Arial"/>
      <w:kern w:val="0"/>
      <w14:ligatures w14:val="none"/>
    </w:rPr>
  </w:style>
  <w:style w:type="character" w:styleId="CommentReference">
    <w:name w:val="annotation reference"/>
    <w:basedOn w:val="DefaultParagraphFont"/>
    <w:uiPriority w:val="99"/>
    <w:semiHidden/>
    <w:unhideWhenUsed/>
    <w:rsid w:val="007D6A2F"/>
    <w:rPr>
      <w:sz w:val="16"/>
      <w:szCs w:val="16"/>
    </w:rPr>
  </w:style>
  <w:style w:type="paragraph" w:styleId="CommentText">
    <w:name w:val="annotation text"/>
    <w:basedOn w:val="Normal"/>
    <w:link w:val="CommentTextChar"/>
    <w:uiPriority w:val="99"/>
    <w:semiHidden/>
    <w:unhideWhenUsed/>
    <w:rsid w:val="007D6A2F"/>
    <w:rPr>
      <w:rFonts w:eastAsiaTheme="minorEastAsia"/>
      <w:kern w:val="0"/>
      <w:sz w:val="20"/>
      <w:szCs w:val="20"/>
      <w:lang w:eastAsia="zh-CN"/>
      <w14:ligatures w14:val="none"/>
    </w:rPr>
  </w:style>
  <w:style w:type="character" w:customStyle="1" w:styleId="CommentTextChar">
    <w:name w:val="Comment Text Char"/>
    <w:basedOn w:val="DefaultParagraphFont"/>
    <w:link w:val="CommentText"/>
    <w:uiPriority w:val="99"/>
    <w:semiHidden/>
    <w:rsid w:val="007D6A2F"/>
    <w:rPr>
      <w:rFonts w:eastAsiaTheme="minorEastAsia"/>
      <w:kern w:val="0"/>
      <w:sz w:val="20"/>
      <w:szCs w:val="20"/>
      <w:lang w:eastAsia="zh-CN"/>
      <w14:ligatures w14:val="none"/>
    </w:rPr>
  </w:style>
  <w:style w:type="paragraph" w:styleId="ListParagraph">
    <w:name w:val="List Paragraph"/>
    <w:basedOn w:val="Normal"/>
    <w:uiPriority w:val="34"/>
    <w:qFormat/>
    <w:rsid w:val="005317E1"/>
    <w:pPr>
      <w:ind w:left="720"/>
      <w:contextualSpacing/>
    </w:pPr>
    <w:rPr>
      <w:rFonts w:eastAsiaTheme="minorEastAsia"/>
      <w:kern w:val="0"/>
      <w:lang w:eastAsia="zh-CN"/>
      <w14:ligatures w14:val="none"/>
    </w:rPr>
  </w:style>
  <w:style w:type="paragraph" w:styleId="NormalWeb">
    <w:name w:val="Normal (Web)"/>
    <w:basedOn w:val="Normal"/>
    <w:uiPriority w:val="99"/>
    <w:unhideWhenUsed/>
    <w:rsid w:val="002F00F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0B3C4A"/>
  </w:style>
  <w:style w:type="paragraph" w:styleId="EndnoteText">
    <w:name w:val="endnote text"/>
    <w:basedOn w:val="Normal"/>
    <w:link w:val="EndnoteTextChar"/>
    <w:uiPriority w:val="99"/>
    <w:semiHidden/>
    <w:unhideWhenUsed/>
    <w:rsid w:val="001224E7"/>
    <w:rPr>
      <w:sz w:val="20"/>
      <w:szCs w:val="20"/>
    </w:rPr>
  </w:style>
  <w:style w:type="character" w:customStyle="1" w:styleId="EndnoteTextChar">
    <w:name w:val="Endnote Text Char"/>
    <w:basedOn w:val="DefaultParagraphFont"/>
    <w:link w:val="EndnoteText"/>
    <w:uiPriority w:val="99"/>
    <w:semiHidden/>
    <w:rsid w:val="001224E7"/>
    <w:rPr>
      <w:sz w:val="20"/>
      <w:szCs w:val="20"/>
    </w:rPr>
  </w:style>
  <w:style w:type="character" w:styleId="EndnoteReference">
    <w:name w:val="endnote reference"/>
    <w:basedOn w:val="DefaultParagraphFont"/>
    <w:uiPriority w:val="99"/>
    <w:semiHidden/>
    <w:unhideWhenUsed/>
    <w:rsid w:val="001224E7"/>
    <w:rPr>
      <w:vertAlign w:val="superscript"/>
    </w:rPr>
  </w:style>
  <w:style w:type="paragraph" w:styleId="FootnoteText">
    <w:name w:val="footnote text"/>
    <w:basedOn w:val="Normal"/>
    <w:link w:val="FootnoteTextChar"/>
    <w:uiPriority w:val="99"/>
    <w:semiHidden/>
    <w:unhideWhenUsed/>
    <w:rsid w:val="007B7692"/>
    <w:rPr>
      <w:sz w:val="20"/>
      <w:szCs w:val="20"/>
    </w:rPr>
  </w:style>
  <w:style w:type="character" w:customStyle="1" w:styleId="FootnoteTextChar">
    <w:name w:val="Footnote Text Char"/>
    <w:basedOn w:val="DefaultParagraphFont"/>
    <w:link w:val="FootnoteText"/>
    <w:uiPriority w:val="99"/>
    <w:semiHidden/>
    <w:rsid w:val="007B7692"/>
    <w:rPr>
      <w:sz w:val="20"/>
      <w:szCs w:val="20"/>
    </w:rPr>
  </w:style>
  <w:style w:type="character" w:styleId="FootnoteReference">
    <w:name w:val="footnote reference"/>
    <w:basedOn w:val="DefaultParagraphFont"/>
    <w:uiPriority w:val="99"/>
    <w:semiHidden/>
    <w:unhideWhenUsed/>
    <w:rsid w:val="007B7692"/>
    <w:rPr>
      <w:vertAlign w:val="superscript"/>
    </w:rPr>
  </w:style>
  <w:style w:type="paragraph" w:styleId="NoSpacing">
    <w:name w:val="No Spacing"/>
    <w:uiPriority w:val="1"/>
    <w:qFormat/>
    <w:rsid w:val="00D11179"/>
  </w:style>
  <w:style w:type="paragraph" w:customStyle="1" w:styleId="dx-doi">
    <w:name w:val="dx-doi"/>
    <w:basedOn w:val="Normal"/>
    <w:rsid w:val="00ED093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rsid w:val="00ED0939"/>
    <w:rPr>
      <w:color w:val="605E5C"/>
      <w:shd w:val="clear" w:color="auto" w:fill="E1DFDD"/>
    </w:rPr>
  </w:style>
  <w:style w:type="paragraph" w:customStyle="1" w:styleId="EndNoteBibliography">
    <w:name w:val="EndNote Bibliography"/>
    <w:basedOn w:val="Normal"/>
    <w:link w:val="EndNoteBibliography0"/>
    <w:rsid w:val="00F23432"/>
    <w:pPr>
      <w:widowControl w:val="0"/>
    </w:pPr>
    <w:rPr>
      <w:rFonts w:ascii="Times New Roman" w:eastAsia="SimSun" w:hAnsi="Times New Roman" w:cs="Times New Roman"/>
      <w:lang w:val="en-US" w:eastAsia="zh-CN"/>
      <w14:ligatures w14:val="none"/>
    </w:rPr>
  </w:style>
  <w:style w:type="character" w:customStyle="1" w:styleId="EndNoteBibliography0">
    <w:name w:val="EndNote Bibliography 字符"/>
    <w:basedOn w:val="DefaultParagraphFont"/>
    <w:link w:val="EndNoteBibliography"/>
    <w:rsid w:val="00F23432"/>
    <w:rPr>
      <w:rFonts w:ascii="Times New Roman" w:eastAsia="SimSun" w:hAnsi="Times New Roman" w:cs="Times New Roman"/>
      <w:lang w:val="en-US" w:eastAsia="zh-CN"/>
      <w14:ligatures w14:val="none"/>
    </w:rPr>
  </w:style>
  <w:style w:type="character" w:customStyle="1" w:styleId="Italics">
    <w:name w:val="#Italics"/>
    <w:uiPriority w:val="1"/>
    <w:qFormat/>
    <w:rsid w:val="002B14FA"/>
    <w:rPr>
      <w:i/>
    </w:rPr>
  </w:style>
  <w:style w:type="character" w:styleId="FollowedHyperlink">
    <w:name w:val="FollowedHyperlink"/>
    <w:basedOn w:val="DefaultParagraphFont"/>
    <w:uiPriority w:val="99"/>
    <w:semiHidden/>
    <w:unhideWhenUsed/>
    <w:rsid w:val="001C0E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6746">
      <w:bodyDiv w:val="1"/>
      <w:marLeft w:val="0"/>
      <w:marRight w:val="0"/>
      <w:marTop w:val="0"/>
      <w:marBottom w:val="0"/>
      <w:divBdr>
        <w:top w:val="none" w:sz="0" w:space="0" w:color="auto"/>
        <w:left w:val="none" w:sz="0" w:space="0" w:color="auto"/>
        <w:bottom w:val="none" w:sz="0" w:space="0" w:color="auto"/>
        <w:right w:val="none" w:sz="0" w:space="0" w:color="auto"/>
      </w:divBdr>
    </w:div>
    <w:div w:id="69695613">
      <w:bodyDiv w:val="1"/>
      <w:marLeft w:val="0"/>
      <w:marRight w:val="0"/>
      <w:marTop w:val="0"/>
      <w:marBottom w:val="0"/>
      <w:divBdr>
        <w:top w:val="none" w:sz="0" w:space="0" w:color="auto"/>
        <w:left w:val="none" w:sz="0" w:space="0" w:color="auto"/>
        <w:bottom w:val="none" w:sz="0" w:space="0" w:color="auto"/>
        <w:right w:val="none" w:sz="0" w:space="0" w:color="auto"/>
      </w:divBdr>
    </w:div>
    <w:div w:id="344674638">
      <w:bodyDiv w:val="1"/>
      <w:marLeft w:val="0"/>
      <w:marRight w:val="0"/>
      <w:marTop w:val="0"/>
      <w:marBottom w:val="0"/>
      <w:divBdr>
        <w:top w:val="none" w:sz="0" w:space="0" w:color="auto"/>
        <w:left w:val="none" w:sz="0" w:space="0" w:color="auto"/>
        <w:bottom w:val="none" w:sz="0" w:space="0" w:color="auto"/>
        <w:right w:val="none" w:sz="0" w:space="0" w:color="auto"/>
      </w:divBdr>
    </w:div>
    <w:div w:id="628708362">
      <w:bodyDiv w:val="1"/>
      <w:marLeft w:val="0"/>
      <w:marRight w:val="0"/>
      <w:marTop w:val="0"/>
      <w:marBottom w:val="0"/>
      <w:divBdr>
        <w:top w:val="none" w:sz="0" w:space="0" w:color="auto"/>
        <w:left w:val="none" w:sz="0" w:space="0" w:color="auto"/>
        <w:bottom w:val="none" w:sz="0" w:space="0" w:color="auto"/>
        <w:right w:val="none" w:sz="0" w:space="0" w:color="auto"/>
      </w:divBdr>
    </w:div>
    <w:div w:id="778722444">
      <w:bodyDiv w:val="1"/>
      <w:marLeft w:val="0"/>
      <w:marRight w:val="0"/>
      <w:marTop w:val="0"/>
      <w:marBottom w:val="0"/>
      <w:divBdr>
        <w:top w:val="none" w:sz="0" w:space="0" w:color="auto"/>
        <w:left w:val="none" w:sz="0" w:space="0" w:color="auto"/>
        <w:bottom w:val="none" w:sz="0" w:space="0" w:color="auto"/>
        <w:right w:val="none" w:sz="0" w:space="0" w:color="auto"/>
      </w:divBdr>
      <w:divsChild>
        <w:div w:id="1151947730">
          <w:marLeft w:val="0"/>
          <w:marRight w:val="0"/>
          <w:marTop w:val="0"/>
          <w:marBottom w:val="0"/>
          <w:divBdr>
            <w:top w:val="none" w:sz="0" w:space="0" w:color="auto"/>
            <w:left w:val="none" w:sz="0" w:space="0" w:color="auto"/>
            <w:bottom w:val="none" w:sz="0" w:space="0" w:color="auto"/>
            <w:right w:val="none" w:sz="0" w:space="0" w:color="auto"/>
          </w:divBdr>
          <w:divsChild>
            <w:div w:id="775909159">
              <w:marLeft w:val="0"/>
              <w:marRight w:val="0"/>
              <w:marTop w:val="0"/>
              <w:marBottom w:val="0"/>
              <w:divBdr>
                <w:top w:val="none" w:sz="0" w:space="0" w:color="auto"/>
                <w:left w:val="none" w:sz="0" w:space="0" w:color="auto"/>
                <w:bottom w:val="none" w:sz="0" w:space="0" w:color="auto"/>
                <w:right w:val="none" w:sz="0" w:space="0" w:color="auto"/>
              </w:divBdr>
              <w:divsChild>
                <w:div w:id="12996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51391">
      <w:bodyDiv w:val="1"/>
      <w:marLeft w:val="0"/>
      <w:marRight w:val="0"/>
      <w:marTop w:val="0"/>
      <w:marBottom w:val="0"/>
      <w:divBdr>
        <w:top w:val="none" w:sz="0" w:space="0" w:color="auto"/>
        <w:left w:val="none" w:sz="0" w:space="0" w:color="auto"/>
        <w:bottom w:val="none" w:sz="0" w:space="0" w:color="auto"/>
        <w:right w:val="none" w:sz="0" w:space="0" w:color="auto"/>
      </w:divBdr>
      <w:divsChild>
        <w:div w:id="2138060485">
          <w:marLeft w:val="0"/>
          <w:marRight w:val="0"/>
          <w:marTop w:val="0"/>
          <w:marBottom w:val="0"/>
          <w:divBdr>
            <w:top w:val="none" w:sz="0" w:space="0" w:color="auto"/>
            <w:left w:val="none" w:sz="0" w:space="0" w:color="auto"/>
            <w:bottom w:val="none" w:sz="0" w:space="0" w:color="auto"/>
            <w:right w:val="none" w:sz="0" w:space="0" w:color="auto"/>
          </w:divBdr>
          <w:divsChild>
            <w:div w:id="574895535">
              <w:marLeft w:val="0"/>
              <w:marRight w:val="0"/>
              <w:marTop w:val="0"/>
              <w:marBottom w:val="0"/>
              <w:divBdr>
                <w:top w:val="none" w:sz="0" w:space="0" w:color="auto"/>
                <w:left w:val="none" w:sz="0" w:space="0" w:color="auto"/>
                <w:bottom w:val="none" w:sz="0" w:space="0" w:color="auto"/>
                <w:right w:val="none" w:sz="0" w:space="0" w:color="auto"/>
              </w:divBdr>
              <w:divsChild>
                <w:div w:id="14265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0969">
      <w:bodyDiv w:val="1"/>
      <w:marLeft w:val="0"/>
      <w:marRight w:val="0"/>
      <w:marTop w:val="0"/>
      <w:marBottom w:val="0"/>
      <w:divBdr>
        <w:top w:val="none" w:sz="0" w:space="0" w:color="auto"/>
        <w:left w:val="none" w:sz="0" w:space="0" w:color="auto"/>
        <w:bottom w:val="none" w:sz="0" w:space="0" w:color="auto"/>
        <w:right w:val="none" w:sz="0" w:space="0" w:color="auto"/>
      </w:divBdr>
      <w:divsChild>
        <w:div w:id="1846823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75546">
      <w:bodyDiv w:val="1"/>
      <w:marLeft w:val="0"/>
      <w:marRight w:val="0"/>
      <w:marTop w:val="0"/>
      <w:marBottom w:val="0"/>
      <w:divBdr>
        <w:top w:val="none" w:sz="0" w:space="0" w:color="auto"/>
        <w:left w:val="none" w:sz="0" w:space="0" w:color="auto"/>
        <w:bottom w:val="none" w:sz="0" w:space="0" w:color="auto"/>
        <w:right w:val="none" w:sz="0" w:space="0" w:color="auto"/>
      </w:divBdr>
    </w:div>
    <w:div w:id="1439450496">
      <w:bodyDiv w:val="1"/>
      <w:marLeft w:val="0"/>
      <w:marRight w:val="0"/>
      <w:marTop w:val="0"/>
      <w:marBottom w:val="0"/>
      <w:divBdr>
        <w:top w:val="none" w:sz="0" w:space="0" w:color="auto"/>
        <w:left w:val="none" w:sz="0" w:space="0" w:color="auto"/>
        <w:bottom w:val="none" w:sz="0" w:space="0" w:color="auto"/>
        <w:right w:val="none" w:sz="0" w:space="0" w:color="auto"/>
      </w:divBdr>
      <w:divsChild>
        <w:div w:id="1412652631">
          <w:marLeft w:val="0"/>
          <w:marRight w:val="0"/>
          <w:marTop w:val="0"/>
          <w:marBottom w:val="0"/>
          <w:divBdr>
            <w:top w:val="none" w:sz="0" w:space="0" w:color="auto"/>
            <w:left w:val="none" w:sz="0" w:space="0" w:color="auto"/>
            <w:bottom w:val="none" w:sz="0" w:space="0" w:color="auto"/>
            <w:right w:val="none" w:sz="0" w:space="0" w:color="auto"/>
          </w:divBdr>
          <w:divsChild>
            <w:div w:id="926157904">
              <w:marLeft w:val="0"/>
              <w:marRight w:val="0"/>
              <w:marTop w:val="0"/>
              <w:marBottom w:val="0"/>
              <w:divBdr>
                <w:top w:val="none" w:sz="0" w:space="0" w:color="auto"/>
                <w:left w:val="none" w:sz="0" w:space="0" w:color="auto"/>
                <w:bottom w:val="none" w:sz="0" w:space="0" w:color="auto"/>
                <w:right w:val="none" w:sz="0" w:space="0" w:color="auto"/>
              </w:divBdr>
              <w:divsChild>
                <w:div w:id="1164274246">
                  <w:marLeft w:val="0"/>
                  <w:marRight w:val="0"/>
                  <w:marTop w:val="0"/>
                  <w:marBottom w:val="0"/>
                  <w:divBdr>
                    <w:top w:val="none" w:sz="0" w:space="0" w:color="auto"/>
                    <w:left w:val="none" w:sz="0" w:space="0" w:color="auto"/>
                    <w:bottom w:val="none" w:sz="0" w:space="0" w:color="auto"/>
                    <w:right w:val="none" w:sz="0" w:space="0" w:color="auto"/>
                  </w:divBdr>
                  <w:divsChild>
                    <w:div w:id="10478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25280">
      <w:bodyDiv w:val="1"/>
      <w:marLeft w:val="0"/>
      <w:marRight w:val="0"/>
      <w:marTop w:val="0"/>
      <w:marBottom w:val="0"/>
      <w:divBdr>
        <w:top w:val="none" w:sz="0" w:space="0" w:color="auto"/>
        <w:left w:val="none" w:sz="0" w:space="0" w:color="auto"/>
        <w:bottom w:val="none" w:sz="0" w:space="0" w:color="auto"/>
        <w:right w:val="none" w:sz="0" w:space="0" w:color="auto"/>
      </w:divBdr>
    </w:div>
    <w:div w:id="1862627626">
      <w:bodyDiv w:val="1"/>
      <w:marLeft w:val="0"/>
      <w:marRight w:val="0"/>
      <w:marTop w:val="0"/>
      <w:marBottom w:val="0"/>
      <w:divBdr>
        <w:top w:val="none" w:sz="0" w:space="0" w:color="auto"/>
        <w:left w:val="none" w:sz="0" w:space="0" w:color="auto"/>
        <w:bottom w:val="none" w:sz="0" w:space="0" w:color="auto"/>
        <w:right w:val="none" w:sz="0" w:space="0" w:color="auto"/>
      </w:divBdr>
      <w:divsChild>
        <w:div w:id="1652295647">
          <w:marLeft w:val="0"/>
          <w:marRight w:val="0"/>
          <w:marTop w:val="0"/>
          <w:marBottom w:val="0"/>
          <w:divBdr>
            <w:top w:val="none" w:sz="0" w:space="0" w:color="auto"/>
            <w:left w:val="none" w:sz="0" w:space="0" w:color="auto"/>
            <w:bottom w:val="none" w:sz="0" w:space="0" w:color="auto"/>
            <w:right w:val="none" w:sz="0" w:space="0" w:color="auto"/>
          </w:divBdr>
          <w:divsChild>
            <w:div w:id="129834222">
              <w:marLeft w:val="0"/>
              <w:marRight w:val="0"/>
              <w:marTop w:val="0"/>
              <w:marBottom w:val="0"/>
              <w:divBdr>
                <w:top w:val="none" w:sz="0" w:space="0" w:color="auto"/>
                <w:left w:val="none" w:sz="0" w:space="0" w:color="auto"/>
                <w:bottom w:val="none" w:sz="0" w:space="0" w:color="auto"/>
                <w:right w:val="none" w:sz="0" w:space="0" w:color="auto"/>
              </w:divBdr>
              <w:divsChild>
                <w:div w:id="51195217">
                  <w:marLeft w:val="0"/>
                  <w:marRight w:val="0"/>
                  <w:marTop w:val="0"/>
                  <w:marBottom w:val="0"/>
                  <w:divBdr>
                    <w:top w:val="none" w:sz="0" w:space="0" w:color="auto"/>
                    <w:left w:val="none" w:sz="0" w:space="0" w:color="auto"/>
                    <w:bottom w:val="none" w:sz="0" w:space="0" w:color="auto"/>
                    <w:right w:val="none" w:sz="0" w:space="0" w:color="auto"/>
                  </w:divBdr>
                  <w:divsChild>
                    <w:div w:id="5431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87848">
      <w:bodyDiv w:val="1"/>
      <w:marLeft w:val="0"/>
      <w:marRight w:val="0"/>
      <w:marTop w:val="0"/>
      <w:marBottom w:val="0"/>
      <w:divBdr>
        <w:top w:val="none" w:sz="0" w:space="0" w:color="auto"/>
        <w:left w:val="none" w:sz="0" w:space="0" w:color="auto"/>
        <w:bottom w:val="none" w:sz="0" w:space="0" w:color="auto"/>
        <w:right w:val="none" w:sz="0" w:space="0" w:color="auto"/>
      </w:divBdr>
    </w:div>
    <w:div w:id="2136093262">
      <w:bodyDiv w:val="1"/>
      <w:marLeft w:val="0"/>
      <w:marRight w:val="0"/>
      <w:marTop w:val="0"/>
      <w:marBottom w:val="0"/>
      <w:divBdr>
        <w:top w:val="none" w:sz="0" w:space="0" w:color="auto"/>
        <w:left w:val="none" w:sz="0" w:space="0" w:color="auto"/>
        <w:bottom w:val="none" w:sz="0" w:space="0" w:color="auto"/>
        <w:right w:val="none" w:sz="0" w:space="0" w:color="auto"/>
      </w:divBdr>
      <w:divsChild>
        <w:div w:id="1409501950">
          <w:marLeft w:val="0"/>
          <w:marRight w:val="0"/>
          <w:marTop w:val="0"/>
          <w:marBottom w:val="0"/>
          <w:divBdr>
            <w:top w:val="none" w:sz="0" w:space="0" w:color="auto"/>
            <w:left w:val="none" w:sz="0" w:space="0" w:color="auto"/>
            <w:bottom w:val="none" w:sz="0" w:space="0" w:color="auto"/>
            <w:right w:val="none" w:sz="0" w:space="0" w:color="auto"/>
          </w:divBdr>
          <w:divsChild>
            <w:div w:id="10379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4088</Words>
  <Characters>23306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4</cp:revision>
  <cp:lastPrinted>2023-06-29T05:38:00Z</cp:lastPrinted>
  <dcterms:created xsi:type="dcterms:W3CDTF">2023-07-10T19:10:00Z</dcterms:created>
  <dcterms:modified xsi:type="dcterms:W3CDTF">2023-11-24T19:08:00Z</dcterms:modified>
</cp:coreProperties>
</file>