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8D276" w14:textId="1672983D" w:rsidR="00CD549A" w:rsidRDefault="008325A5" w:rsidP="00F76E4D">
      <w:pPr>
        <w:spacing w:after="120"/>
        <w:outlineLvl w:val="0"/>
        <w:rPr>
          <w:rFonts w:cs="Times New Roman"/>
          <w:sz w:val="32"/>
          <w:szCs w:val="32"/>
          <w:lang w:val="en-GB"/>
        </w:rPr>
      </w:pPr>
      <w:r>
        <w:rPr>
          <w:rFonts w:cs="Times New Roman"/>
          <w:sz w:val="32"/>
          <w:szCs w:val="32"/>
          <w:lang w:val="en-GB"/>
        </w:rPr>
        <w:t xml:space="preserve">Bath Spa University, </w:t>
      </w:r>
      <w:r w:rsidR="003A48A2">
        <w:rPr>
          <w:rFonts w:cs="Times New Roman"/>
          <w:sz w:val="32"/>
          <w:szCs w:val="32"/>
          <w:lang w:val="en-GB"/>
        </w:rPr>
        <w:t>2 May</w:t>
      </w:r>
      <w:r w:rsidR="00CD549A" w:rsidRPr="00CD549A">
        <w:rPr>
          <w:rFonts w:cs="Times New Roman"/>
          <w:sz w:val="32"/>
          <w:szCs w:val="32"/>
          <w:lang w:val="en-GB"/>
        </w:rPr>
        <w:t xml:space="preserve"> 2017 </w:t>
      </w:r>
    </w:p>
    <w:p w14:paraId="4D6B8F02" w14:textId="66EFBEAB" w:rsidR="00774073" w:rsidRPr="001C0358" w:rsidRDefault="00730505" w:rsidP="00F76E4D">
      <w:pPr>
        <w:spacing w:after="120"/>
        <w:outlineLvl w:val="0"/>
        <w:rPr>
          <w:rFonts w:cs="Times New Roman"/>
          <w:b/>
          <w:sz w:val="36"/>
          <w:szCs w:val="36"/>
          <w:lang w:val="en-GB"/>
        </w:rPr>
      </w:pPr>
      <w:bookmarkStart w:id="0" w:name="_GoBack"/>
      <w:r w:rsidRPr="001C0358">
        <w:rPr>
          <w:rFonts w:cs="Times New Roman"/>
          <w:b/>
          <w:sz w:val="36"/>
          <w:szCs w:val="36"/>
          <w:lang w:val="en-GB"/>
        </w:rPr>
        <w:t>H</w:t>
      </w:r>
      <w:r w:rsidR="008250EF" w:rsidRPr="001C0358">
        <w:rPr>
          <w:rFonts w:cs="Times New Roman"/>
          <w:b/>
          <w:sz w:val="36"/>
          <w:szCs w:val="36"/>
          <w:lang w:val="en-GB"/>
        </w:rPr>
        <w:t>igher education</w:t>
      </w:r>
      <w:r w:rsidRPr="001C0358">
        <w:rPr>
          <w:rFonts w:cs="Times New Roman"/>
          <w:b/>
          <w:sz w:val="36"/>
          <w:szCs w:val="36"/>
          <w:lang w:val="en-GB"/>
        </w:rPr>
        <w:t xml:space="preserve"> anywhere and everywhere</w:t>
      </w:r>
      <w:r w:rsidR="008250EF" w:rsidRPr="001C0358">
        <w:rPr>
          <w:rFonts w:cs="Times New Roman"/>
          <w:b/>
          <w:sz w:val="36"/>
          <w:szCs w:val="36"/>
          <w:lang w:val="en-GB"/>
        </w:rPr>
        <w:t xml:space="preserve">: The world-wide trend to high participation </w:t>
      </w:r>
      <w:r w:rsidR="008325A5" w:rsidRPr="001C0358">
        <w:rPr>
          <w:rFonts w:cs="Times New Roman"/>
          <w:b/>
          <w:sz w:val="36"/>
          <w:szCs w:val="36"/>
          <w:lang w:val="en-GB"/>
        </w:rPr>
        <w:t>societies and what it means</w:t>
      </w:r>
    </w:p>
    <w:bookmarkEnd w:id="0"/>
    <w:p w14:paraId="59D01A71" w14:textId="347E4DAA" w:rsidR="008250EF" w:rsidRDefault="008250EF" w:rsidP="00F76E4D">
      <w:pPr>
        <w:spacing w:after="120"/>
        <w:outlineLvl w:val="0"/>
        <w:rPr>
          <w:rFonts w:cs="Times New Roman"/>
          <w:sz w:val="32"/>
          <w:szCs w:val="32"/>
          <w:lang w:val="en-GB"/>
        </w:rPr>
      </w:pPr>
      <w:r w:rsidRPr="00CD549A">
        <w:rPr>
          <w:rFonts w:cs="Times New Roman"/>
          <w:sz w:val="32"/>
          <w:szCs w:val="32"/>
          <w:lang w:val="en-GB"/>
        </w:rPr>
        <w:t>Simon Marginson</w:t>
      </w:r>
    </w:p>
    <w:p w14:paraId="6FF7EAEF" w14:textId="4958FA42" w:rsidR="001C0358" w:rsidRPr="00CD549A" w:rsidRDefault="001C0358" w:rsidP="00F76E4D">
      <w:pPr>
        <w:spacing w:after="120"/>
        <w:outlineLvl w:val="0"/>
        <w:rPr>
          <w:rFonts w:cs="Times New Roman"/>
          <w:sz w:val="32"/>
          <w:szCs w:val="32"/>
          <w:lang w:val="en-GB"/>
        </w:rPr>
      </w:pPr>
      <w:r>
        <w:rPr>
          <w:rFonts w:cs="Times New Roman"/>
          <w:sz w:val="32"/>
          <w:szCs w:val="32"/>
          <w:lang w:val="en-GB"/>
        </w:rPr>
        <w:t>UCL Institute of Education / Centre for Global Higher Education</w:t>
      </w:r>
    </w:p>
    <w:p w14:paraId="295869F7" w14:textId="77777777" w:rsidR="006F37E7" w:rsidRDefault="006F37E7" w:rsidP="00F76E4D">
      <w:pPr>
        <w:pBdr>
          <w:bottom w:val="single" w:sz="4" w:space="1" w:color="auto"/>
        </w:pBdr>
        <w:rPr>
          <w:rFonts w:cs="Times New Roman"/>
          <w:sz w:val="28"/>
          <w:szCs w:val="28"/>
          <w:lang w:val="en-GB"/>
        </w:rPr>
      </w:pPr>
    </w:p>
    <w:p w14:paraId="45472823" w14:textId="77777777" w:rsidR="008325A5" w:rsidRPr="00A73D76" w:rsidRDefault="008325A5" w:rsidP="00F76E4D">
      <w:pPr>
        <w:rPr>
          <w:rFonts w:cs="Times New Roman"/>
          <w:sz w:val="28"/>
          <w:szCs w:val="28"/>
          <w:lang w:val="en-GB"/>
        </w:rPr>
      </w:pPr>
    </w:p>
    <w:p w14:paraId="0EBA501F" w14:textId="1C121B0B" w:rsidR="00CD549A" w:rsidRPr="008A52E9" w:rsidRDefault="008A52E9" w:rsidP="00F76E4D">
      <w:pPr>
        <w:rPr>
          <w:rFonts w:cs="Times New Roman"/>
          <w:b/>
          <w:i/>
          <w:sz w:val="28"/>
          <w:szCs w:val="28"/>
          <w:lang w:val="en-GB"/>
        </w:rPr>
      </w:pPr>
      <w:r w:rsidRPr="008A52E9">
        <w:rPr>
          <w:rFonts w:cs="Times New Roman"/>
          <w:b/>
          <w:i/>
          <w:sz w:val="28"/>
          <w:szCs w:val="28"/>
          <w:lang w:val="en-GB"/>
        </w:rPr>
        <w:t>[</w:t>
      </w:r>
      <w:r w:rsidR="00CD549A" w:rsidRPr="008A52E9">
        <w:rPr>
          <w:rFonts w:cs="Times New Roman"/>
          <w:b/>
          <w:i/>
          <w:sz w:val="28"/>
          <w:szCs w:val="28"/>
          <w:lang w:val="en-GB"/>
        </w:rPr>
        <w:t>Introductory slide</w:t>
      </w:r>
      <w:r w:rsidRPr="008A52E9">
        <w:rPr>
          <w:rFonts w:cs="Times New Roman"/>
          <w:b/>
          <w:i/>
          <w:sz w:val="28"/>
          <w:szCs w:val="28"/>
          <w:lang w:val="en-GB"/>
        </w:rPr>
        <w:t>]</w:t>
      </w:r>
    </w:p>
    <w:p w14:paraId="3766B5DF" w14:textId="1698850A" w:rsidR="00547A13" w:rsidRDefault="00547A13" w:rsidP="00F76E4D">
      <w:pPr>
        <w:rPr>
          <w:rFonts w:cs="Times New Roman"/>
          <w:sz w:val="28"/>
          <w:szCs w:val="28"/>
          <w:lang w:val="en-GB"/>
        </w:rPr>
      </w:pPr>
      <w:r>
        <w:rPr>
          <w:rFonts w:cs="Times New Roman"/>
          <w:sz w:val="28"/>
          <w:szCs w:val="28"/>
          <w:lang w:val="en-GB"/>
        </w:rPr>
        <w:t>Good evening. I have heard much about the university and its wonderful setting. It is delightful to be able to see it and you close up.</w:t>
      </w:r>
    </w:p>
    <w:p w14:paraId="3525E737" w14:textId="77777777" w:rsidR="00547A13" w:rsidRDefault="00547A13" w:rsidP="00F76E4D">
      <w:pPr>
        <w:rPr>
          <w:rFonts w:cs="Times New Roman"/>
          <w:sz w:val="28"/>
          <w:szCs w:val="28"/>
          <w:lang w:val="en-GB"/>
        </w:rPr>
      </w:pPr>
    </w:p>
    <w:p w14:paraId="254363C8" w14:textId="77777777" w:rsidR="00547A13" w:rsidRDefault="00547A13" w:rsidP="00F76E4D">
      <w:pPr>
        <w:rPr>
          <w:rFonts w:cs="Times New Roman"/>
          <w:b/>
          <w:bCs/>
          <w:i/>
          <w:iCs/>
          <w:sz w:val="28"/>
          <w:szCs w:val="28"/>
        </w:rPr>
      </w:pPr>
      <w:r w:rsidRPr="00547A13">
        <w:rPr>
          <w:rFonts w:cs="Times New Roman"/>
          <w:b/>
          <w:bCs/>
          <w:i/>
          <w:iCs/>
          <w:sz w:val="28"/>
          <w:szCs w:val="28"/>
        </w:rPr>
        <w:t xml:space="preserve">There’s politics, there are political issues </w:t>
      </w:r>
      <w:r w:rsidRPr="00547A13">
        <w:rPr>
          <w:rFonts w:cs="Times New Roman"/>
          <w:b/>
          <w:bCs/>
          <w:i/>
          <w:iCs/>
          <w:sz w:val="28"/>
          <w:szCs w:val="28"/>
          <w:cs/>
          <w:lang w:val="en-GB" w:bidi="mr-IN"/>
        </w:rPr>
        <w:t>…</w:t>
      </w:r>
      <w:r w:rsidRPr="00547A13">
        <w:rPr>
          <w:rFonts w:cs="Times New Roman"/>
          <w:b/>
          <w:bCs/>
          <w:i/>
          <w:iCs/>
          <w:sz w:val="28"/>
          <w:szCs w:val="28"/>
        </w:rPr>
        <w:t xml:space="preserve"> and there are long term trends shaping both</w:t>
      </w:r>
    </w:p>
    <w:p w14:paraId="688E9974" w14:textId="660BD394" w:rsidR="00547A13" w:rsidRDefault="00547A13" w:rsidP="00F76E4D">
      <w:pPr>
        <w:rPr>
          <w:rFonts w:cs="Times New Roman"/>
          <w:sz w:val="28"/>
          <w:szCs w:val="28"/>
          <w:lang w:val="en-GB"/>
        </w:rPr>
      </w:pPr>
      <w:r>
        <w:rPr>
          <w:rFonts w:cs="Times New Roman"/>
          <w:sz w:val="28"/>
          <w:szCs w:val="28"/>
          <w:lang w:val="en-GB"/>
        </w:rPr>
        <w:t>It is a strange and unsettling time</w:t>
      </w:r>
      <w:r w:rsidR="00754AE4">
        <w:rPr>
          <w:rFonts w:cs="Times New Roman"/>
          <w:sz w:val="28"/>
          <w:szCs w:val="28"/>
          <w:lang w:val="en-GB"/>
        </w:rPr>
        <w:t xml:space="preserve"> in the UK. The growing gap between rich and poor, </w:t>
      </w:r>
      <w:r>
        <w:rPr>
          <w:rFonts w:cs="Times New Roman"/>
          <w:sz w:val="28"/>
          <w:szCs w:val="28"/>
          <w:lang w:val="en-GB"/>
        </w:rPr>
        <w:t>the continuing reductions in local services and the gathering crisis in the NHS. Immigration policy still in the melting pot, with no clarity on the key issue of the size of the intake or where it comes from, and no resolution of the enormous backlog of EU citizen claims for residency. Brexit itself</w:t>
      </w:r>
      <w:r w:rsidR="000E1003">
        <w:rPr>
          <w:rFonts w:cs="Times New Roman"/>
          <w:sz w:val="28"/>
          <w:szCs w:val="28"/>
          <w:lang w:val="en-GB"/>
        </w:rPr>
        <w:t>. You may</w:t>
      </w:r>
      <w:r>
        <w:rPr>
          <w:rFonts w:cs="Times New Roman"/>
          <w:sz w:val="28"/>
          <w:szCs w:val="28"/>
          <w:lang w:val="en-GB"/>
        </w:rPr>
        <w:t xml:space="preserve"> </w:t>
      </w:r>
      <w:r w:rsidR="000E1003">
        <w:rPr>
          <w:rFonts w:cs="Times New Roman"/>
          <w:sz w:val="28"/>
          <w:szCs w:val="28"/>
          <w:lang w:val="en-GB"/>
        </w:rPr>
        <w:t>see Brexit as a sad</w:t>
      </w:r>
      <w:r>
        <w:rPr>
          <w:rFonts w:cs="Times New Roman"/>
          <w:sz w:val="28"/>
          <w:szCs w:val="28"/>
          <w:lang w:val="en-GB"/>
        </w:rPr>
        <w:t xml:space="preserve"> event</w:t>
      </w:r>
      <w:r w:rsidR="004B4734">
        <w:rPr>
          <w:rFonts w:cs="Times New Roman"/>
          <w:sz w:val="28"/>
          <w:szCs w:val="28"/>
          <w:lang w:val="en-GB"/>
        </w:rPr>
        <w:t xml:space="preserve"> that the country has imposed on itself,</w:t>
      </w:r>
      <w:r w:rsidR="000E1003">
        <w:rPr>
          <w:rFonts w:cs="Times New Roman"/>
          <w:sz w:val="28"/>
          <w:szCs w:val="28"/>
          <w:lang w:val="en-GB"/>
        </w:rPr>
        <w:t xml:space="preserve"> as I do,</w:t>
      </w:r>
      <w:r>
        <w:rPr>
          <w:rFonts w:cs="Times New Roman"/>
          <w:sz w:val="28"/>
          <w:szCs w:val="28"/>
          <w:lang w:val="en-GB"/>
        </w:rPr>
        <w:t xml:space="preserve"> but </w:t>
      </w:r>
      <w:r w:rsidR="000E1003">
        <w:rPr>
          <w:rFonts w:cs="Times New Roman"/>
          <w:sz w:val="28"/>
          <w:szCs w:val="28"/>
          <w:lang w:val="en-GB"/>
        </w:rPr>
        <w:t xml:space="preserve">it’s </w:t>
      </w:r>
      <w:r>
        <w:rPr>
          <w:rFonts w:cs="Times New Roman"/>
          <w:sz w:val="28"/>
          <w:szCs w:val="28"/>
          <w:lang w:val="en-GB"/>
        </w:rPr>
        <w:t xml:space="preserve">certain to go ahead. </w:t>
      </w:r>
      <w:r w:rsidR="004B4734">
        <w:rPr>
          <w:rFonts w:cs="Times New Roman"/>
          <w:sz w:val="28"/>
          <w:szCs w:val="28"/>
          <w:lang w:val="en-GB"/>
        </w:rPr>
        <w:t>We can see why. T</w:t>
      </w:r>
      <w:r w:rsidR="000E1003">
        <w:rPr>
          <w:rFonts w:cs="Times New Roman"/>
          <w:sz w:val="28"/>
          <w:szCs w:val="28"/>
          <w:lang w:val="en-GB"/>
        </w:rPr>
        <w:t xml:space="preserve">he economic and political benefits of EU membership for the UK are </w:t>
      </w:r>
      <w:r w:rsidR="004B4734">
        <w:rPr>
          <w:rFonts w:cs="Times New Roman"/>
          <w:sz w:val="28"/>
          <w:szCs w:val="28"/>
          <w:lang w:val="en-GB"/>
        </w:rPr>
        <w:t>clear</w:t>
      </w:r>
      <w:r w:rsidR="000E1003">
        <w:rPr>
          <w:rFonts w:cs="Times New Roman"/>
          <w:sz w:val="28"/>
          <w:szCs w:val="28"/>
          <w:lang w:val="en-GB"/>
        </w:rPr>
        <w:t xml:space="preserve"> but the UK was never fully part of Europe and the inward pressure of EU migration, in a country in which many regions </w:t>
      </w:r>
      <w:r w:rsidR="004B4734">
        <w:rPr>
          <w:rFonts w:cs="Times New Roman"/>
          <w:sz w:val="28"/>
          <w:szCs w:val="28"/>
          <w:lang w:val="en-GB"/>
        </w:rPr>
        <w:t>have just been left to struggle</w:t>
      </w:r>
      <w:r w:rsidR="000E1003">
        <w:rPr>
          <w:rFonts w:cs="Times New Roman"/>
          <w:sz w:val="28"/>
          <w:szCs w:val="28"/>
          <w:lang w:val="en-GB"/>
        </w:rPr>
        <w:t xml:space="preserve">, </w:t>
      </w:r>
      <w:r w:rsidR="004B4734">
        <w:rPr>
          <w:rFonts w:cs="Times New Roman"/>
          <w:sz w:val="28"/>
          <w:szCs w:val="28"/>
          <w:lang w:val="en-GB"/>
        </w:rPr>
        <w:t>eventually</w:t>
      </w:r>
      <w:r w:rsidR="000E1003">
        <w:rPr>
          <w:rFonts w:cs="Times New Roman"/>
          <w:sz w:val="28"/>
          <w:szCs w:val="28"/>
          <w:lang w:val="en-GB"/>
        </w:rPr>
        <w:t xml:space="preserve"> </w:t>
      </w:r>
      <w:r w:rsidR="004B4734">
        <w:rPr>
          <w:rFonts w:cs="Times New Roman"/>
          <w:sz w:val="28"/>
          <w:szCs w:val="28"/>
          <w:lang w:val="en-GB"/>
        </w:rPr>
        <w:t xml:space="preserve">proved </w:t>
      </w:r>
      <w:r w:rsidR="000E1003">
        <w:rPr>
          <w:rFonts w:cs="Times New Roman"/>
          <w:sz w:val="28"/>
          <w:szCs w:val="28"/>
          <w:lang w:val="en-GB"/>
        </w:rPr>
        <w:t xml:space="preserve">too much. </w:t>
      </w:r>
      <w:r>
        <w:rPr>
          <w:rFonts w:cs="Times New Roman"/>
          <w:sz w:val="28"/>
          <w:szCs w:val="28"/>
          <w:lang w:val="en-GB"/>
        </w:rPr>
        <w:t>And now we have a</w:t>
      </w:r>
      <w:r w:rsidR="000E1003">
        <w:rPr>
          <w:rFonts w:cs="Times New Roman"/>
          <w:sz w:val="28"/>
          <w:szCs w:val="28"/>
          <w:lang w:val="en-GB"/>
        </w:rPr>
        <w:t xml:space="preserve"> </w:t>
      </w:r>
      <w:r>
        <w:rPr>
          <w:rFonts w:cs="Times New Roman"/>
          <w:sz w:val="28"/>
          <w:szCs w:val="28"/>
          <w:lang w:val="en-GB"/>
        </w:rPr>
        <w:t>n</w:t>
      </w:r>
      <w:r w:rsidR="000E1003">
        <w:rPr>
          <w:rFonts w:cs="Times New Roman"/>
          <w:sz w:val="28"/>
          <w:szCs w:val="28"/>
          <w:lang w:val="en-GB"/>
        </w:rPr>
        <w:t>ational</w:t>
      </w:r>
      <w:r>
        <w:rPr>
          <w:rFonts w:cs="Times New Roman"/>
          <w:sz w:val="28"/>
          <w:szCs w:val="28"/>
          <w:lang w:val="en-GB"/>
        </w:rPr>
        <w:t xml:space="preserve"> election, </w:t>
      </w:r>
      <w:r w:rsidR="000E1003">
        <w:rPr>
          <w:rFonts w:cs="Times New Roman"/>
          <w:sz w:val="28"/>
          <w:szCs w:val="28"/>
          <w:lang w:val="en-GB"/>
        </w:rPr>
        <w:t xml:space="preserve">three years early, </w:t>
      </w:r>
      <w:r>
        <w:rPr>
          <w:rFonts w:cs="Times New Roman"/>
          <w:sz w:val="28"/>
          <w:szCs w:val="28"/>
          <w:lang w:val="en-GB"/>
        </w:rPr>
        <w:t xml:space="preserve">which will resolve nothing except who </w:t>
      </w:r>
      <w:r w:rsidR="000E1003">
        <w:rPr>
          <w:rFonts w:cs="Times New Roman"/>
          <w:sz w:val="28"/>
          <w:szCs w:val="28"/>
          <w:lang w:val="en-GB"/>
        </w:rPr>
        <w:t>is</w:t>
      </w:r>
      <w:r>
        <w:rPr>
          <w:rFonts w:cs="Times New Roman"/>
          <w:sz w:val="28"/>
          <w:szCs w:val="28"/>
          <w:lang w:val="en-GB"/>
        </w:rPr>
        <w:t xml:space="preserve"> </w:t>
      </w:r>
      <w:r w:rsidR="000E1003">
        <w:rPr>
          <w:rFonts w:cs="Times New Roman"/>
          <w:sz w:val="28"/>
          <w:szCs w:val="28"/>
          <w:lang w:val="en-GB"/>
        </w:rPr>
        <w:t xml:space="preserve">in </w:t>
      </w:r>
      <w:r>
        <w:rPr>
          <w:rFonts w:cs="Times New Roman"/>
          <w:sz w:val="28"/>
          <w:szCs w:val="28"/>
          <w:lang w:val="en-GB"/>
        </w:rPr>
        <w:t>power</w:t>
      </w:r>
      <w:r w:rsidR="000E1003">
        <w:rPr>
          <w:rFonts w:cs="Times New Roman"/>
          <w:sz w:val="28"/>
          <w:szCs w:val="28"/>
          <w:lang w:val="en-GB"/>
        </w:rPr>
        <w:t>,</w:t>
      </w:r>
      <w:r>
        <w:rPr>
          <w:rFonts w:cs="Times New Roman"/>
          <w:sz w:val="28"/>
          <w:szCs w:val="28"/>
          <w:lang w:val="en-GB"/>
        </w:rPr>
        <w:t xml:space="preserve"> and for how long. </w:t>
      </w:r>
      <w:r w:rsidR="000E1003">
        <w:rPr>
          <w:rFonts w:cs="Times New Roman"/>
          <w:sz w:val="28"/>
          <w:szCs w:val="28"/>
          <w:lang w:val="en-GB"/>
        </w:rPr>
        <w:t>That is, u</w:t>
      </w:r>
      <w:r>
        <w:rPr>
          <w:rFonts w:cs="Times New Roman"/>
          <w:sz w:val="28"/>
          <w:szCs w:val="28"/>
          <w:lang w:val="en-GB"/>
        </w:rPr>
        <w:t xml:space="preserve">nless there’s </w:t>
      </w:r>
      <w:r w:rsidR="000E1003">
        <w:rPr>
          <w:rFonts w:cs="Times New Roman"/>
          <w:sz w:val="28"/>
          <w:szCs w:val="28"/>
          <w:lang w:val="en-GB"/>
        </w:rPr>
        <w:t>another</w:t>
      </w:r>
      <w:r>
        <w:rPr>
          <w:rFonts w:cs="Times New Roman"/>
          <w:sz w:val="28"/>
          <w:szCs w:val="28"/>
          <w:lang w:val="en-GB"/>
        </w:rPr>
        <w:t xml:space="preserve"> early election. </w:t>
      </w:r>
    </w:p>
    <w:p w14:paraId="137401E5" w14:textId="0A8208A3" w:rsidR="00547A13" w:rsidRDefault="00547A13" w:rsidP="00F76E4D">
      <w:pPr>
        <w:rPr>
          <w:rFonts w:cs="Times New Roman"/>
          <w:sz w:val="28"/>
          <w:szCs w:val="28"/>
          <w:lang w:val="en-GB"/>
        </w:rPr>
      </w:pPr>
      <w:r>
        <w:rPr>
          <w:rFonts w:cs="Times New Roman"/>
          <w:sz w:val="28"/>
          <w:szCs w:val="28"/>
          <w:lang w:val="en-GB"/>
        </w:rPr>
        <w:tab/>
        <w:t xml:space="preserve">But there is politics, there are </w:t>
      </w:r>
      <w:r w:rsidR="004B4734">
        <w:rPr>
          <w:rFonts w:cs="Times New Roman"/>
          <w:sz w:val="28"/>
          <w:szCs w:val="28"/>
          <w:lang w:val="en-GB"/>
        </w:rPr>
        <w:t>today’s</w:t>
      </w:r>
      <w:r>
        <w:rPr>
          <w:rFonts w:cs="Times New Roman"/>
          <w:sz w:val="28"/>
          <w:szCs w:val="28"/>
          <w:lang w:val="en-GB"/>
        </w:rPr>
        <w:t xml:space="preserve"> issues, and there are the </w:t>
      </w:r>
      <w:r w:rsidR="00E6608D">
        <w:rPr>
          <w:rFonts w:cs="Times New Roman"/>
          <w:sz w:val="28"/>
          <w:szCs w:val="28"/>
          <w:lang w:val="en-GB"/>
        </w:rPr>
        <w:t xml:space="preserve">long-term economic, social and cultural trends which tend to shape both. People like me who research in social science are meant to understand those longer trends.  </w:t>
      </w:r>
    </w:p>
    <w:p w14:paraId="193FA848" w14:textId="77777777" w:rsidR="00E6608D" w:rsidRDefault="00E6608D" w:rsidP="00F76E4D">
      <w:pPr>
        <w:rPr>
          <w:rFonts w:cs="Times New Roman"/>
          <w:sz w:val="28"/>
          <w:szCs w:val="28"/>
          <w:lang w:val="en-GB"/>
        </w:rPr>
      </w:pPr>
    </w:p>
    <w:p w14:paraId="3A278722" w14:textId="71A4A427" w:rsidR="00E6608D" w:rsidRDefault="00E6608D" w:rsidP="00F76E4D">
      <w:pPr>
        <w:rPr>
          <w:rFonts w:cs="Times New Roman"/>
          <w:sz w:val="28"/>
          <w:szCs w:val="28"/>
          <w:lang w:val="en-GB"/>
        </w:rPr>
      </w:pPr>
      <w:r w:rsidRPr="00E6608D">
        <w:rPr>
          <w:rFonts w:cs="Times New Roman"/>
          <w:b/>
          <w:bCs/>
          <w:i/>
          <w:iCs/>
          <w:sz w:val="28"/>
          <w:szCs w:val="28"/>
        </w:rPr>
        <w:t>The long-term social trends are often more global than national in form</w:t>
      </w:r>
    </w:p>
    <w:p w14:paraId="7BCBF175" w14:textId="0C00F3B5" w:rsidR="00547A13" w:rsidRDefault="00E6608D" w:rsidP="00F76E4D">
      <w:pPr>
        <w:rPr>
          <w:rFonts w:cs="Times New Roman"/>
          <w:sz w:val="28"/>
          <w:szCs w:val="28"/>
          <w:lang w:val="en-GB"/>
        </w:rPr>
      </w:pPr>
      <w:r>
        <w:rPr>
          <w:rFonts w:cs="Times New Roman"/>
          <w:sz w:val="28"/>
          <w:szCs w:val="28"/>
          <w:lang w:val="en-GB"/>
        </w:rPr>
        <w:t>The</w:t>
      </w:r>
      <w:r w:rsidR="000E1003">
        <w:rPr>
          <w:rFonts w:cs="Times New Roman"/>
          <w:sz w:val="28"/>
          <w:szCs w:val="28"/>
          <w:lang w:val="en-GB"/>
        </w:rPr>
        <w:t>se</w:t>
      </w:r>
      <w:r>
        <w:rPr>
          <w:rFonts w:cs="Times New Roman"/>
          <w:sz w:val="28"/>
          <w:szCs w:val="28"/>
          <w:lang w:val="en-GB"/>
        </w:rPr>
        <w:t xml:space="preserve"> larger, longer social trends are often more global </w:t>
      </w:r>
      <w:r w:rsidR="000E1003">
        <w:rPr>
          <w:rFonts w:cs="Times New Roman"/>
          <w:sz w:val="28"/>
          <w:szCs w:val="28"/>
          <w:lang w:val="en-GB"/>
        </w:rPr>
        <w:t>than</w:t>
      </w:r>
      <w:r>
        <w:rPr>
          <w:rFonts w:cs="Times New Roman"/>
          <w:sz w:val="28"/>
          <w:szCs w:val="28"/>
          <w:lang w:val="en-GB"/>
        </w:rPr>
        <w:t xml:space="preserve"> national—that is, they either pertain to whole-of-world systems, like ecology and climate change, or they are happening in common in many countries of the world. This evening I want to </w:t>
      </w:r>
      <w:r w:rsidR="000E1003">
        <w:rPr>
          <w:rFonts w:cs="Times New Roman"/>
          <w:sz w:val="28"/>
          <w:szCs w:val="28"/>
          <w:lang w:val="en-GB"/>
        </w:rPr>
        <w:t xml:space="preserve">talk about a major social change that is happening in many countries of the world. That is the great growth of higher education. </w:t>
      </w:r>
    </w:p>
    <w:p w14:paraId="4B381C9C" w14:textId="4F4A1800" w:rsidR="000E1003" w:rsidRDefault="000E1003" w:rsidP="00F76E4D">
      <w:pPr>
        <w:rPr>
          <w:rFonts w:cs="Times New Roman"/>
          <w:sz w:val="28"/>
          <w:szCs w:val="28"/>
          <w:lang w:val="en-GB"/>
        </w:rPr>
      </w:pPr>
      <w:r>
        <w:rPr>
          <w:rFonts w:cs="Times New Roman"/>
          <w:sz w:val="28"/>
          <w:szCs w:val="28"/>
          <w:lang w:val="en-GB"/>
        </w:rPr>
        <w:tab/>
      </w:r>
      <w:r w:rsidRPr="00A73D76">
        <w:rPr>
          <w:rFonts w:cs="Times New Roman"/>
          <w:sz w:val="28"/>
          <w:szCs w:val="28"/>
          <w:lang w:val="en-GB"/>
        </w:rPr>
        <w:t xml:space="preserve">In the last twenty years higher education has been shaped by three broad tendencies. The first </w:t>
      </w:r>
      <w:r>
        <w:rPr>
          <w:rFonts w:cs="Times New Roman"/>
          <w:sz w:val="28"/>
          <w:szCs w:val="28"/>
          <w:lang w:val="en-GB"/>
        </w:rPr>
        <w:t xml:space="preserve">is </w:t>
      </w:r>
      <w:r w:rsidRPr="00A73D76">
        <w:rPr>
          <w:rFonts w:cs="Times New Roman"/>
          <w:sz w:val="28"/>
          <w:szCs w:val="28"/>
          <w:lang w:val="en-GB"/>
        </w:rPr>
        <w:t>mass scale growth, or ‘massification’. The second is intensifi</w:t>
      </w:r>
      <w:r>
        <w:rPr>
          <w:rFonts w:cs="Times New Roman"/>
          <w:sz w:val="28"/>
          <w:szCs w:val="28"/>
          <w:lang w:val="en-GB"/>
        </w:rPr>
        <w:t>ed</w:t>
      </w:r>
      <w:r w:rsidRPr="00A73D76">
        <w:rPr>
          <w:rFonts w:cs="Times New Roman"/>
          <w:sz w:val="28"/>
          <w:szCs w:val="28"/>
          <w:lang w:val="en-GB"/>
        </w:rPr>
        <w:t xml:space="preserve"> competition between institutions and adoption of b</w:t>
      </w:r>
      <w:r>
        <w:rPr>
          <w:rFonts w:cs="Times New Roman"/>
          <w:sz w:val="28"/>
          <w:szCs w:val="28"/>
          <w:lang w:val="en-GB"/>
        </w:rPr>
        <w:t xml:space="preserve">usiness-like </w:t>
      </w:r>
      <w:r>
        <w:rPr>
          <w:rFonts w:cs="Times New Roman"/>
          <w:sz w:val="28"/>
          <w:szCs w:val="28"/>
          <w:lang w:val="en-GB"/>
        </w:rPr>
        <w:lastRenderedPageBreak/>
        <w:t>features, often called ‘marketis</w:t>
      </w:r>
      <w:r w:rsidRPr="00A73D76">
        <w:rPr>
          <w:rFonts w:cs="Times New Roman"/>
          <w:sz w:val="28"/>
          <w:szCs w:val="28"/>
          <w:lang w:val="en-GB"/>
        </w:rPr>
        <w:t>ation’. The third is the partial global integration and convergence betwee</w:t>
      </w:r>
      <w:r>
        <w:rPr>
          <w:rFonts w:cs="Times New Roman"/>
          <w:sz w:val="28"/>
          <w:szCs w:val="28"/>
          <w:lang w:val="en-GB"/>
        </w:rPr>
        <w:t>n national systems, or ‘globalis</w:t>
      </w:r>
      <w:r w:rsidRPr="00A73D76">
        <w:rPr>
          <w:rFonts w:cs="Times New Roman"/>
          <w:sz w:val="28"/>
          <w:szCs w:val="28"/>
          <w:lang w:val="en-GB"/>
        </w:rPr>
        <w:t>ation’</w:t>
      </w:r>
      <w:r>
        <w:rPr>
          <w:rFonts w:cs="Times New Roman"/>
          <w:sz w:val="28"/>
          <w:szCs w:val="28"/>
          <w:lang w:val="en-GB"/>
        </w:rPr>
        <w:t>. More is written about globalisation and marketis</w:t>
      </w:r>
      <w:r w:rsidRPr="00A73D76">
        <w:rPr>
          <w:rFonts w:cs="Times New Roman"/>
          <w:sz w:val="28"/>
          <w:szCs w:val="28"/>
          <w:lang w:val="en-GB"/>
        </w:rPr>
        <w:t xml:space="preserve">ation than massification. </w:t>
      </w:r>
      <w:r>
        <w:rPr>
          <w:rFonts w:cs="Times New Roman"/>
          <w:sz w:val="28"/>
          <w:szCs w:val="28"/>
          <w:lang w:val="en-GB"/>
        </w:rPr>
        <w:t>Bu</w:t>
      </w:r>
      <w:r w:rsidRPr="00A73D76">
        <w:rPr>
          <w:rFonts w:cs="Times New Roman"/>
          <w:sz w:val="28"/>
          <w:szCs w:val="28"/>
          <w:lang w:val="en-GB"/>
        </w:rPr>
        <w:t xml:space="preserve">t massification is monumental in scale and the most universal </w:t>
      </w:r>
      <w:r>
        <w:rPr>
          <w:rFonts w:cs="Times New Roman"/>
          <w:sz w:val="28"/>
          <w:szCs w:val="28"/>
          <w:lang w:val="en-GB"/>
        </w:rPr>
        <w:t xml:space="preserve">trend </w:t>
      </w:r>
      <w:r w:rsidRPr="00A73D76">
        <w:rPr>
          <w:rFonts w:cs="Times New Roman"/>
          <w:sz w:val="28"/>
          <w:szCs w:val="28"/>
          <w:lang w:val="en-GB"/>
        </w:rPr>
        <w:t xml:space="preserve">of the three. </w:t>
      </w:r>
    </w:p>
    <w:p w14:paraId="42AE5BA5" w14:textId="75FB10D1" w:rsidR="000E1003" w:rsidRDefault="000E1003" w:rsidP="00F76E4D">
      <w:pPr>
        <w:ind w:firstLine="454"/>
        <w:rPr>
          <w:rFonts w:cs="Times New Roman"/>
          <w:sz w:val="28"/>
          <w:szCs w:val="28"/>
          <w:lang w:val="en-GB"/>
        </w:rPr>
      </w:pPr>
      <w:r w:rsidRPr="00A73D76">
        <w:rPr>
          <w:rFonts w:cs="Times New Roman"/>
          <w:sz w:val="28"/>
          <w:szCs w:val="28"/>
          <w:lang w:val="en-GB"/>
        </w:rPr>
        <w:t>Global convergence touches some national systems more than others</w:t>
      </w:r>
      <w:r>
        <w:rPr>
          <w:rFonts w:cs="Times New Roman"/>
          <w:sz w:val="28"/>
          <w:szCs w:val="28"/>
          <w:lang w:val="en-GB"/>
        </w:rPr>
        <w:t>. Many</w:t>
      </w:r>
      <w:r w:rsidRPr="00A73D76">
        <w:rPr>
          <w:rFonts w:cs="Times New Roman"/>
          <w:sz w:val="28"/>
          <w:szCs w:val="28"/>
          <w:lang w:val="en-GB"/>
        </w:rPr>
        <w:t xml:space="preserve"> </w:t>
      </w:r>
      <w:r>
        <w:rPr>
          <w:rFonts w:cs="Times New Roman"/>
          <w:sz w:val="28"/>
          <w:szCs w:val="28"/>
          <w:lang w:val="en-GB"/>
        </w:rPr>
        <w:t>countries have become</w:t>
      </w:r>
      <w:r w:rsidRPr="00A73D76">
        <w:rPr>
          <w:rFonts w:cs="Times New Roman"/>
          <w:sz w:val="28"/>
          <w:szCs w:val="28"/>
          <w:lang w:val="en-GB"/>
        </w:rPr>
        <w:t xml:space="preserve"> part of the global science system</w:t>
      </w:r>
      <w:r>
        <w:rPr>
          <w:rFonts w:cs="Times New Roman"/>
          <w:sz w:val="28"/>
          <w:szCs w:val="28"/>
          <w:lang w:val="en-GB"/>
        </w:rPr>
        <w:t>,</w:t>
      </w:r>
      <w:r w:rsidRPr="00A73D76">
        <w:rPr>
          <w:rFonts w:cs="Times New Roman"/>
          <w:sz w:val="28"/>
          <w:szCs w:val="28"/>
          <w:lang w:val="en-GB"/>
        </w:rPr>
        <w:t xml:space="preserve"> and global comparison and ranking</w:t>
      </w:r>
      <w:r w:rsidR="004B4734">
        <w:rPr>
          <w:rFonts w:cs="Times New Roman"/>
          <w:sz w:val="28"/>
          <w:szCs w:val="28"/>
          <w:lang w:val="en-GB"/>
        </w:rPr>
        <w:t>. S</w:t>
      </w:r>
      <w:r>
        <w:rPr>
          <w:rFonts w:cs="Times New Roman"/>
          <w:sz w:val="28"/>
          <w:szCs w:val="28"/>
          <w:lang w:val="en-GB"/>
        </w:rPr>
        <w:t xml:space="preserve">ome like </w:t>
      </w:r>
      <w:r w:rsidR="004B4734">
        <w:rPr>
          <w:rFonts w:cs="Times New Roman"/>
          <w:sz w:val="28"/>
          <w:szCs w:val="28"/>
          <w:lang w:val="en-GB"/>
        </w:rPr>
        <w:t xml:space="preserve">the </w:t>
      </w:r>
      <w:r>
        <w:rPr>
          <w:rFonts w:cs="Times New Roman"/>
          <w:sz w:val="28"/>
          <w:szCs w:val="28"/>
          <w:lang w:val="en-GB"/>
        </w:rPr>
        <w:t>UK have large numbers of international students</w:t>
      </w:r>
      <w:r w:rsidR="004B4734">
        <w:rPr>
          <w:rFonts w:cs="Times New Roman"/>
          <w:sz w:val="28"/>
          <w:szCs w:val="28"/>
          <w:lang w:val="en-GB"/>
        </w:rPr>
        <w:t>. B</w:t>
      </w:r>
      <w:r>
        <w:rPr>
          <w:rFonts w:cs="Times New Roman"/>
          <w:sz w:val="28"/>
          <w:szCs w:val="28"/>
          <w:lang w:val="en-GB"/>
        </w:rPr>
        <w:t>ut higher education varies in the degree of cross-border engagement. Marketis</w:t>
      </w:r>
      <w:r w:rsidRPr="00A73D76">
        <w:rPr>
          <w:rFonts w:cs="Times New Roman"/>
          <w:sz w:val="28"/>
          <w:szCs w:val="28"/>
          <w:lang w:val="en-GB"/>
        </w:rPr>
        <w:t xml:space="preserve">ation has reshaped higher education in English-speaking countries and Eastern Europe but in many </w:t>
      </w:r>
      <w:r>
        <w:rPr>
          <w:rFonts w:cs="Times New Roman"/>
          <w:sz w:val="28"/>
          <w:szCs w:val="28"/>
          <w:lang w:val="en-GB"/>
        </w:rPr>
        <w:t xml:space="preserve">Western </w:t>
      </w:r>
      <w:r w:rsidRPr="00A73D76">
        <w:rPr>
          <w:rFonts w:cs="Times New Roman"/>
          <w:sz w:val="28"/>
          <w:szCs w:val="28"/>
          <w:lang w:val="en-GB"/>
        </w:rPr>
        <w:t>European systems</w:t>
      </w:r>
      <w:r>
        <w:rPr>
          <w:rFonts w:cs="Times New Roman"/>
          <w:sz w:val="28"/>
          <w:szCs w:val="28"/>
          <w:lang w:val="en-GB"/>
        </w:rPr>
        <w:t>, and parts of Latin America,</w:t>
      </w:r>
      <w:r w:rsidRPr="00A73D76">
        <w:rPr>
          <w:rFonts w:cs="Times New Roman"/>
          <w:sz w:val="28"/>
          <w:szCs w:val="28"/>
          <w:lang w:val="en-GB"/>
        </w:rPr>
        <w:t xml:space="preserve"> tuition </w:t>
      </w:r>
      <w:r w:rsidR="004B4734">
        <w:rPr>
          <w:rFonts w:cs="Times New Roman"/>
          <w:sz w:val="28"/>
          <w:szCs w:val="28"/>
          <w:lang w:val="en-GB"/>
        </w:rPr>
        <w:t>i</w:t>
      </w:r>
      <w:r>
        <w:rPr>
          <w:rFonts w:cs="Times New Roman"/>
          <w:sz w:val="28"/>
          <w:szCs w:val="28"/>
          <w:lang w:val="en-GB"/>
        </w:rPr>
        <w:t>s free and business models</w:t>
      </w:r>
      <w:r w:rsidRPr="00A73D76">
        <w:rPr>
          <w:rFonts w:cs="Times New Roman"/>
          <w:sz w:val="28"/>
          <w:szCs w:val="28"/>
          <w:lang w:val="en-GB"/>
        </w:rPr>
        <w:t xml:space="preserve"> </w:t>
      </w:r>
      <w:r w:rsidR="004B4734">
        <w:rPr>
          <w:rFonts w:cs="Times New Roman"/>
          <w:sz w:val="28"/>
          <w:szCs w:val="28"/>
          <w:lang w:val="en-GB"/>
        </w:rPr>
        <w:t>have</w:t>
      </w:r>
      <w:r w:rsidRPr="00A73D76">
        <w:rPr>
          <w:rFonts w:cs="Times New Roman"/>
          <w:sz w:val="28"/>
          <w:szCs w:val="28"/>
          <w:lang w:val="en-GB"/>
        </w:rPr>
        <w:t xml:space="preserve"> a modest role. </w:t>
      </w:r>
      <w:r w:rsidR="004B4734">
        <w:rPr>
          <w:rFonts w:cs="Times New Roman"/>
          <w:sz w:val="28"/>
          <w:szCs w:val="28"/>
          <w:lang w:val="en-GB"/>
        </w:rPr>
        <w:t xml:space="preserve">In East Asia fees the state keeps fees lower in public research universities and regulates quality in the private sector fairly closely. </w:t>
      </w:r>
      <w:r w:rsidRPr="00A73D76">
        <w:rPr>
          <w:rFonts w:cs="Times New Roman"/>
          <w:sz w:val="28"/>
          <w:szCs w:val="28"/>
          <w:lang w:val="en-GB"/>
        </w:rPr>
        <w:t xml:space="preserve">However, </w:t>
      </w:r>
      <w:r w:rsidR="004B4734">
        <w:rPr>
          <w:rFonts w:cs="Times New Roman"/>
          <w:sz w:val="28"/>
          <w:szCs w:val="28"/>
          <w:lang w:val="en-GB"/>
        </w:rPr>
        <w:t>massification is everywhere. N</w:t>
      </w:r>
      <w:r w:rsidRPr="00A73D76">
        <w:rPr>
          <w:rFonts w:cs="Times New Roman"/>
          <w:sz w:val="28"/>
          <w:szCs w:val="28"/>
          <w:lang w:val="en-GB"/>
        </w:rPr>
        <w:t xml:space="preserve">early </w:t>
      </w:r>
      <w:r w:rsidRPr="00A73D76">
        <w:rPr>
          <w:rFonts w:cs="Times New Roman"/>
          <w:i/>
          <w:sz w:val="28"/>
          <w:szCs w:val="28"/>
          <w:lang w:val="en-GB"/>
        </w:rPr>
        <w:t xml:space="preserve">all </w:t>
      </w:r>
      <w:r w:rsidRPr="006F1179">
        <w:rPr>
          <w:rFonts w:cs="Times New Roman"/>
          <w:sz w:val="28"/>
          <w:szCs w:val="28"/>
          <w:lang w:val="en-GB"/>
        </w:rPr>
        <w:t>higher education systems</w:t>
      </w:r>
      <w:r w:rsidRPr="00A73D76">
        <w:rPr>
          <w:rFonts w:cs="Times New Roman"/>
          <w:sz w:val="28"/>
          <w:szCs w:val="28"/>
          <w:lang w:val="en-GB"/>
        </w:rPr>
        <w:t xml:space="preserve"> in which annual GDP per </w:t>
      </w:r>
      <w:r>
        <w:rPr>
          <w:rFonts w:cs="Times New Roman"/>
          <w:sz w:val="28"/>
          <w:szCs w:val="28"/>
          <w:lang w:val="en-GB"/>
        </w:rPr>
        <w:t>person</w:t>
      </w:r>
      <w:r w:rsidRPr="00A73D76">
        <w:rPr>
          <w:rFonts w:cs="Times New Roman"/>
          <w:sz w:val="28"/>
          <w:szCs w:val="28"/>
          <w:lang w:val="en-GB"/>
        </w:rPr>
        <w:t xml:space="preserve"> exceeded $</w:t>
      </w:r>
      <w:r>
        <w:rPr>
          <w:rFonts w:cs="Times New Roman"/>
          <w:sz w:val="28"/>
          <w:szCs w:val="28"/>
          <w:lang w:val="en-GB"/>
        </w:rPr>
        <w:t>8000</w:t>
      </w:r>
      <w:r w:rsidRPr="00A73D76">
        <w:rPr>
          <w:rFonts w:cs="Times New Roman"/>
          <w:sz w:val="28"/>
          <w:szCs w:val="28"/>
          <w:lang w:val="en-GB"/>
        </w:rPr>
        <w:t xml:space="preserve"> USD, </w:t>
      </w:r>
      <w:r w:rsidRPr="00A73D76">
        <w:rPr>
          <w:rFonts w:cs="Calibri"/>
          <w:sz w:val="28"/>
          <w:szCs w:val="28"/>
        </w:rPr>
        <w:t xml:space="preserve">about </w:t>
      </w:r>
      <w:r>
        <w:rPr>
          <w:rFonts w:cs="Calibri"/>
          <w:sz w:val="28"/>
          <w:szCs w:val="28"/>
        </w:rPr>
        <w:t>one fifth</w:t>
      </w:r>
      <w:r w:rsidRPr="00A73D76">
        <w:rPr>
          <w:rFonts w:cs="Calibri"/>
          <w:sz w:val="28"/>
          <w:szCs w:val="28"/>
        </w:rPr>
        <w:t xml:space="preserve"> of per capita income in the </w:t>
      </w:r>
      <w:r>
        <w:rPr>
          <w:rFonts w:cs="Calibri"/>
          <w:sz w:val="28"/>
          <w:szCs w:val="28"/>
        </w:rPr>
        <w:t>UK, there has been</w:t>
      </w:r>
      <w:r w:rsidRPr="00A73D76">
        <w:rPr>
          <w:rFonts w:cs="Times New Roman"/>
          <w:sz w:val="28"/>
          <w:szCs w:val="28"/>
          <w:lang w:val="en-GB"/>
        </w:rPr>
        <w:t xml:space="preserve"> </w:t>
      </w:r>
      <w:r>
        <w:rPr>
          <w:rFonts w:cs="Times New Roman"/>
          <w:sz w:val="28"/>
          <w:szCs w:val="28"/>
          <w:lang w:val="en-GB"/>
        </w:rPr>
        <w:t>a</w:t>
      </w:r>
      <w:r w:rsidRPr="00A73D76">
        <w:rPr>
          <w:rFonts w:cs="Times New Roman"/>
          <w:sz w:val="28"/>
          <w:szCs w:val="28"/>
          <w:lang w:val="en-GB"/>
        </w:rPr>
        <w:t xml:space="preserve"> massive </w:t>
      </w:r>
      <w:r>
        <w:rPr>
          <w:rFonts w:cs="Times New Roman"/>
          <w:sz w:val="28"/>
          <w:szCs w:val="28"/>
          <w:lang w:val="en-GB"/>
        </w:rPr>
        <w:t xml:space="preserve">and probably permanent </w:t>
      </w:r>
      <w:r w:rsidRPr="00A73D76">
        <w:rPr>
          <w:rFonts w:cs="Times New Roman"/>
          <w:sz w:val="28"/>
          <w:szCs w:val="28"/>
          <w:lang w:val="en-GB"/>
        </w:rPr>
        <w:t>growth</w:t>
      </w:r>
      <w:r>
        <w:rPr>
          <w:rFonts w:cs="Times New Roman"/>
          <w:sz w:val="28"/>
          <w:szCs w:val="28"/>
          <w:lang w:val="en-GB"/>
        </w:rPr>
        <w:t xml:space="preserve"> in participation</w:t>
      </w:r>
      <w:r w:rsidRPr="00A73D76">
        <w:rPr>
          <w:rFonts w:cs="Times New Roman"/>
          <w:sz w:val="28"/>
          <w:szCs w:val="28"/>
          <w:lang w:val="en-GB"/>
        </w:rPr>
        <w:t xml:space="preserve">. </w:t>
      </w:r>
    </w:p>
    <w:p w14:paraId="6164BE5C" w14:textId="77777777" w:rsidR="00E6608D" w:rsidRDefault="00E6608D" w:rsidP="00F76E4D">
      <w:pPr>
        <w:rPr>
          <w:rFonts w:cs="Times New Roman"/>
          <w:sz w:val="28"/>
          <w:szCs w:val="28"/>
          <w:lang w:val="en-GB"/>
        </w:rPr>
      </w:pPr>
    </w:p>
    <w:p w14:paraId="0BEC3323" w14:textId="77777777" w:rsidR="00547A13" w:rsidRPr="002602BC" w:rsidRDefault="00547A13" w:rsidP="00F76E4D">
      <w:pPr>
        <w:rPr>
          <w:rFonts w:cs="Times New Roman"/>
          <w:b/>
          <w:i/>
          <w:sz w:val="28"/>
          <w:szCs w:val="28"/>
          <w:lang w:val="en-GB"/>
        </w:rPr>
      </w:pPr>
      <w:r w:rsidRPr="002602BC">
        <w:rPr>
          <w:rFonts w:cs="Times New Roman"/>
          <w:b/>
          <w:bCs/>
          <w:i/>
          <w:sz w:val="28"/>
          <w:szCs w:val="28"/>
          <w:lang w:val="en-GB"/>
        </w:rPr>
        <w:t>Higher education anywhere and everywhere</w:t>
      </w:r>
      <w:r>
        <w:rPr>
          <w:rFonts w:cs="Times New Roman"/>
          <w:b/>
          <w:i/>
          <w:sz w:val="28"/>
          <w:szCs w:val="28"/>
          <w:lang w:val="en-GB"/>
        </w:rPr>
        <w:t>: coverage</w:t>
      </w:r>
    </w:p>
    <w:p w14:paraId="0FFD44FC" w14:textId="13F9160A" w:rsidR="006F1179" w:rsidRPr="00A73D76" w:rsidRDefault="000E1003" w:rsidP="00F76E4D">
      <w:pPr>
        <w:rPr>
          <w:rFonts w:cs="Times New Roman"/>
          <w:sz w:val="28"/>
          <w:szCs w:val="28"/>
          <w:lang w:val="en-GB"/>
        </w:rPr>
      </w:pPr>
      <w:r>
        <w:rPr>
          <w:rFonts w:cs="Times New Roman"/>
          <w:sz w:val="28"/>
          <w:szCs w:val="28"/>
          <w:lang w:val="en-GB"/>
        </w:rPr>
        <w:t xml:space="preserve">So this </w:t>
      </w:r>
      <w:r w:rsidR="006F1179">
        <w:rPr>
          <w:rFonts w:cs="Times New Roman"/>
          <w:sz w:val="28"/>
          <w:szCs w:val="28"/>
          <w:lang w:val="en-GB"/>
        </w:rPr>
        <w:t>is the topic I want to shar</w:t>
      </w:r>
      <w:r w:rsidR="005D4265">
        <w:rPr>
          <w:rFonts w:cs="Times New Roman"/>
          <w:sz w:val="28"/>
          <w:szCs w:val="28"/>
          <w:lang w:val="en-GB"/>
        </w:rPr>
        <w:t xml:space="preserve">e with you this evening. My first theme is </w:t>
      </w:r>
      <w:r w:rsidR="006F1179">
        <w:rPr>
          <w:rFonts w:cs="Times New Roman"/>
          <w:sz w:val="28"/>
          <w:szCs w:val="28"/>
          <w:lang w:val="en-GB"/>
        </w:rPr>
        <w:t xml:space="preserve">the staggering data on the growth of higher education across the world. </w:t>
      </w:r>
      <w:r w:rsidR="005D4265">
        <w:rPr>
          <w:rFonts w:cs="Times New Roman"/>
          <w:sz w:val="28"/>
          <w:szCs w:val="28"/>
          <w:lang w:val="en-GB"/>
        </w:rPr>
        <w:t>My second theme is what is driving this growth.</w:t>
      </w:r>
      <w:r w:rsidR="006F1179">
        <w:rPr>
          <w:rFonts w:cs="Times New Roman"/>
          <w:sz w:val="28"/>
          <w:szCs w:val="28"/>
          <w:lang w:val="en-GB"/>
        </w:rPr>
        <w:t xml:space="preserve"> Third, I’ll make some comments about growth and social mobility and </w:t>
      </w:r>
      <w:r w:rsidR="00C60E9D">
        <w:rPr>
          <w:rFonts w:cs="Times New Roman"/>
          <w:sz w:val="28"/>
          <w:szCs w:val="28"/>
          <w:lang w:val="en-GB"/>
        </w:rPr>
        <w:t>in</w:t>
      </w:r>
      <w:r w:rsidR="006F1179">
        <w:rPr>
          <w:rFonts w:cs="Times New Roman"/>
          <w:sz w:val="28"/>
          <w:szCs w:val="28"/>
          <w:lang w:val="en-GB"/>
        </w:rPr>
        <w:t>equality. Finally, I will look at what the growth of higher education might mean. What happens to human societies when more than half the population has higher education? What is a ‘high participation society’</w:t>
      </w:r>
      <w:r w:rsidR="002602BC">
        <w:rPr>
          <w:rFonts w:cs="Times New Roman"/>
          <w:sz w:val="28"/>
          <w:szCs w:val="28"/>
          <w:lang w:val="en-GB"/>
        </w:rPr>
        <w:t>?</w:t>
      </w:r>
      <w:r w:rsidR="006F1179">
        <w:rPr>
          <w:rFonts w:cs="Times New Roman"/>
          <w:sz w:val="28"/>
          <w:szCs w:val="28"/>
          <w:lang w:val="en-GB"/>
        </w:rPr>
        <w:t xml:space="preserve"> There are many answers </w:t>
      </w:r>
      <w:r w:rsidR="002602BC">
        <w:rPr>
          <w:rFonts w:cs="Times New Roman"/>
          <w:sz w:val="28"/>
          <w:szCs w:val="28"/>
          <w:lang w:val="en-GB"/>
        </w:rPr>
        <w:t>to that question</w:t>
      </w:r>
      <w:r w:rsidR="00AF50E3">
        <w:rPr>
          <w:rFonts w:cs="Times New Roman"/>
          <w:sz w:val="28"/>
          <w:szCs w:val="28"/>
          <w:lang w:val="en-GB"/>
        </w:rPr>
        <w:t>. W</w:t>
      </w:r>
      <w:r w:rsidR="005F5B9C">
        <w:rPr>
          <w:rFonts w:cs="Times New Roman"/>
          <w:sz w:val="28"/>
          <w:szCs w:val="28"/>
          <w:lang w:val="en-GB"/>
        </w:rPr>
        <w:t xml:space="preserve">e are still learning </w:t>
      </w:r>
      <w:r w:rsidR="00AF50E3">
        <w:rPr>
          <w:rFonts w:cs="Times New Roman"/>
          <w:sz w:val="28"/>
          <w:szCs w:val="28"/>
          <w:lang w:val="en-GB"/>
        </w:rPr>
        <w:t xml:space="preserve">what they are. But </w:t>
      </w:r>
      <w:r w:rsidR="005F5B9C">
        <w:rPr>
          <w:rFonts w:cs="Times New Roman"/>
          <w:sz w:val="28"/>
          <w:szCs w:val="28"/>
          <w:lang w:val="en-GB"/>
        </w:rPr>
        <w:t xml:space="preserve">you can be </w:t>
      </w:r>
      <w:r w:rsidR="00AF50E3">
        <w:rPr>
          <w:rFonts w:cs="Times New Roman"/>
          <w:sz w:val="28"/>
          <w:szCs w:val="28"/>
          <w:lang w:val="en-GB"/>
        </w:rPr>
        <w:t>sure</w:t>
      </w:r>
      <w:r w:rsidR="005F5B9C">
        <w:rPr>
          <w:rFonts w:cs="Times New Roman"/>
          <w:sz w:val="28"/>
          <w:szCs w:val="28"/>
          <w:lang w:val="en-GB"/>
        </w:rPr>
        <w:t xml:space="preserve"> that this</w:t>
      </w:r>
      <w:r w:rsidR="002602BC">
        <w:rPr>
          <w:rFonts w:cs="Times New Roman"/>
          <w:sz w:val="28"/>
          <w:szCs w:val="28"/>
          <w:lang w:val="en-GB"/>
        </w:rPr>
        <w:t xml:space="preserve"> society</w:t>
      </w:r>
      <w:r w:rsidR="006F1179">
        <w:rPr>
          <w:rFonts w:cs="Times New Roman"/>
          <w:sz w:val="28"/>
          <w:szCs w:val="28"/>
          <w:lang w:val="en-GB"/>
        </w:rPr>
        <w:t xml:space="preserve"> </w:t>
      </w:r>
      <w:r w:rsidR="005F5B9C">
        <w:rPr>
          <w:rFonts w:cs="Times New Roman"/>
          <w:i/>
          <w:sz w:val="28"/>
          <w:szCs w:val="28"/>
          <w:lang w:val="en-GB"/>
        </w:rPr>
        <w:t>will be</w:t>
      </w:r>
      <w:r w:rsidR="006F1179" w:rsidRPr="00486877">
        <w:rPr>
          <w:rFonts w:cs="Times New Roman"/>
          <w:i/>
          <w:sz w:val="28"/>
          <w:szCs w:val="28"/>
          <w:lang w:val="en-GB"/>
        </w:rPr>
        <w:t xml:space="preserve"> different</w:t>
      </w:r>
      <w:r w:rsidR="006F1179">
        <w:rPr>
          <w:rFonts w:cs="Times New Roman"/>
          <w:sz w:val="28"/>
          <w:szCs w:val="28"/>
          <w:lang w:val="en-GB"/>
        </w:rPr>
        <w:t xml:space="preserve">. </w:t>
      </w:r>
    </w:p>
    <w:p w14:paraId="2E5DC76E" w14:textId="77777777" w:rsidR="0025122B" w:rsidRDefault="0025122B" w:rsidP="00F76E4D">
      <w:pPr>
        <w:rPr>
          <w:rFonts w:cs="Times New Roman"/>
          <w:sz w:val="28"/>
          <w:szCs w:val="28"/>
          <w:lang w:val="en-GB"/>
        </w:rPr>
      </w:pPr>
    </w:p>
    <w:p w14:paraId="6CBC51D5" w14:textId="1889C2CF" w:rsidR="0025122B" w:rsidRDefault="006B4E07" w:rsidP="00F76E4D">
      <w:pPr>
        <w:rPr>
          <w:rFonts w:cs="Times New Roman"/>
          <w:b/>
          <w:bCs/>
          <w:i/>
          <w:iCs/>
          <w:sz w:val="28"/>
          <w:szCs w:val="28"/>
        </w:rPr>
      </w:pPr>
      <w:r w:rsidRPr="006B4E07">
        <w:rPr>
          <w:rFonts w:cs="Times New Roman"/>
          <w:b/>
          <w:bCs/>
          <w:i/>
          <w:iCs/>
          <w:sz w:val="28"/>
          <w:szCs w:val="28"/>
        </w:rPr>
        <w:t xml:space="preserve">Gross Tertiary Enrolment Ratio (GTER, %): World, North America/Western Europe, </w:t>
      </w:r>
      <w:r w:rsidR="00486877">
        <w:rPr>
          <w:rFonts w:cs="Times New Roman"/>
          <w:b/>
          <w:bCs/>
          <w:i/>
          <w:iCs/>
          <w:sz w:val="28"/>
          <w:szCs w:val="28"/>
        </w:rPr>
        <w:t>UK</w:t>
      </w:r>
      <w:r w:rsidRPr="006B4E07">
        <w:rPr>
          <w:rFonts w:cs="Times New Roman"/>
          <w:b/>
          <w:bCs/>
          <w:i/>
          <w:iCs/>
          <w:sz w:val="28"/>
          <w:szCs w:val="28"/>
        </w:rPr>
        <w:t>, 1971-201</w:t>
      </w:r>
      <w:r w:rsidR="00486877">
        <w:rPr>
          <w:rFonts w:cs="Times New Roman"/>
          <w:b/>
          <w:bCs/>
          <w:i/>
          <w:iCs/>
          <w:sz w:val="28"/>
          <w:szCs w:val="28"/>
        </w:rPr>
        <w:t>4</w:t>
      </w:r>
    </w:p>
    <w:p w14:paraId="300EEDC0" w14:textId="7829FF01" w:rsidR="00486877" w:rsidRDefault="007E640D" w:rsidP="00F76E4D">
      <w:pPr>
        <w:rPr>
          <w:rFonts w:cs="Times New Roman"/>
          <w:sz w:val="28"/>
          <w:szCs w:val="28"/>
          <w:lang w:val="en-GB"/>
        </w:rPr>
      </w:pPr>
      <w:r>
        <w:rPr>
          <w:rFonts w:cs="Times New Roman"/>
          <w:sz w:val="28"/>
          <w:szCs w:val="28"/>
          <w:lang w:val="en-GB"/>
        </w:rPr>
        <w:t xml:space="preserve">UNESCO provides data on </w:t>
      </w:r>
      <w:r w:rsidR="00937516">
        <w:rPr>
          <w:rFonts w:cs="Times New Roman"/>
          <w:sz w:val="28"/>
          <w:szCs w:val="28"/>
          <w:lang w:val="en-GB"/>
        </w:rPr>
        <w:t xml:space="preserve">age cohort </w:t>
      </w:r>
      <w:r>
        <w:rPr>
          <w:rFonts w:cs="Times New Roman"/>
          <w:sz w:val="28"/>
          <w:szCs w:val="28"/>
          <w:lang w:val="en-GB"/>
        </w:rPr>
        <w:t>enrolments in ‘tertiary education’, meaning two-year programmes and above. It varies by country</w:t>
      </w:r>
      <w:r w:rsidR="00937516">
        <w:rPr>
          <w:rFonts w:cs="Times New Roman"/>
          <w:sz w:val="28"/>
          <w:szCs w:val="28"/>
          <w:lang w:val="en-GB"/>
        </w:rPr>
        <w:t>, and the data tend to overstate participation in some countries because of immigration, and mature age students,</w:t>
      </w:r>
      <w:r>
        <w:rPr>
          <w:rFonts w:cs="Times New Roman"/>
          <w:sz w:val="28"/>
          <w:szCs w:val="28"/>
          <w:lang w:val="en-GB"/>
        </w:rPr>
        <w:t xml:space="preserve"> but at world level </w:t>
      </w:r>
      <w:r w:rsidR="00937516">
        <w:rPr>
          <w:rFonts w:cs="Times New Roman"/>
          <w:sz w:val="28"/>
          <w:szCs w:val="28"/>
          <w:lang w:val="en-GB"/>
        </w:rPr>
        <w:t>about two thirds of</w:t>
      </w:r>
      <w:r>
        <w:rPr>
          <w:rFonts w:cs="Times New Roman"/>
          <w:sz w:val="28"/>
          <w:szCs w:val="28"/>
          <w:lang w:val="en-GB"/>
        </w:rPr>
        <w:t xml:space="preserve"> tertiary enrolments are </w:t>
      </w:r>
      <w:r w:rsidR="00937516">
        <w:rPr>
          <w:rFonts w:cs="Times New Roman"/>
          <w:sz w:val="28"/>
          <w:szCs w:val="28"/>
          <w:lang w:val="en-GB"/>
        </w:rPr>
        <w:t xml:space="preserve">in </w:t>
      </w:r>
      <w:r>
        <w:rPr>
          <w:rFonts w:cs="Times New Roman"/>
          <w:sz w:val="28"/>
          <w:szCs w:val="28"/>
          <w:lang w:val="en-GB"/>
        </w:rPr>
        <w:t xml:space="preserve">degree programmes of three years and above. It’s </w:t>
      </w:r>
      <w:r w:rsidR="00937516">
        <w:rPr>
          <w:rFonts w:cs="Times New Roman"/>
          <w:sz w:val="28"/>
          <w:szCs w:val="28"/>
          <w:lang w:val="en-GB"/>
        </w:rPr>
        <w:t>about this level</w:t>
      </w:r>
      <w:r>
        <w:rPr>
          <w:rFonts w:cs="Times New Roman"/>
          <w:sz w:val="28"/>
          <w:szCs w:val="28"/>
          <w:lang w:val="en-GB"/>
        </w:rPr>
        <w:t xml:space="preserve"> in the UK</w:t>
      </w:r>
      <w:r w:rsidR="00937516">
        <w:rPr>
          <w:rFonts w:cs="Times New Roman"/>
          <w:sz w:val="28"/>
          <w:szCs w:val="28"/>
          <w:lang w:val="en-GB"/>
        </w:rPr>
        <w:t xml:space="preserve"> also. A worldwide tertiary enrolment ratio of 35 per cent, as we had in 2014, means that more than a third of the school leaver age group had entered or was expected to enter tertiary education. That means almost one in every four young people in the world enter degree programmes. Of that one quarter, </w:t>
      </w:r>
      <w:r w:rsidR="002A3069">
        <w:rPr>
          <w:rFonts w:cs="Times New Roman"/>
          <w:sz w:val="28"/>
          <w:szCs w:val="28"/>
          <w:lang w:val="en-GB"/>
        </w:rPr>
        <w:t>the majority</w:t>
      </w:r>
      <w:r w:rsidR="00937516">
        <w:rPr>
          <w:rFonts w:cs="Times New Roman"/>
          <w:sz w:val="28"/>
          <w:szCs w:val="28"/>
          <w:lang w:val="en-GB"/>
        </w:rPr>
        <w:t xml:space="preserve"> </w:t>
      </w:r>
      <w:r w:rsidR="002A3069">
        <w:rPr>
          <w:rFonts w:cs="Times New Roman"/>
          <w:sz w:val="28"/>
          <w:szCs w:val="28"/>
          <w:lang w:val="en-GB"/>
        </w:rPr>
        <w:t>will</w:t>
      </w:r>
      <w:r w:rsidR="00937516">
        <w:rPr>
          <w:rFonts w:cs="Times New Roman"/>
          <w:sz w:val="28"/>
          <w:szCs w:val="28"/>
          <w:lang w:val="en-GB"/>
        </w:rPr>
        <w:t xml:space="preserve"> graduate</w:t>
      </w:r>
      <w:r w:rsidR="002A3069">
        <w:rPr>
          <w:rFonts w:cs="Times New Roman"/>
          <w:sz w:val="28"/>
          <w:szCs w:val="28"/>
          <w:lang w:val="en-GB"/>
        </w:rPr>
        <w:t xml:space="preserve"> with degrees</w:t>
      </w:r>
      <w:r w:rsidR="00937516">
        <w:rPr>
          <w:rFonts w:cs="Times New Roman"/>
          <w:sz w:val="28"/>
          <w:szCs w:val="28"/>
          <w:lang w:val="en-GB"/>
        </w:rPr>
        <w:t xml:space="preserve">, sooner or later. Another, smaller group will graduate at two-year programme level. </w:t>
      </w:r>
    </w:p>
    <w:p w14:paraId="3A801409" w14:textId="442C1168" w:rsidR="007C628F" w:rsidRDefault="007C628F" w:rsidP="00F76E4D">
      <w:pPr>
        <w:rPr>
          <w:rFonts w:cs="Times New Roman"/>
          <w:sz w:val="28"/>
          <w:szCs w:val="28"/>
          <w:lang w:val="en-GB"/>
        </w:rPr>
      </w:pPr>
      <w:r>
        <w:rPr>
          <w:rFonts w:cs="Times New Roman"/>
          <w:sz w:val="28"/>
          <w:szCs w:val="28"/>
          <w:lang w:val="en-GB"/>
        </w:rPr>
        <w:lastRenderedPageBreak/>
        <w:tab/>
        <w:t>The first education system to achieve 50 per cent participation at tertiary level was the United States, in the mid 1970s. At that time participation in the UK was less than one young person in every five</w:t>
      </w:r>
      <w:r w:rsidR="00D030DD">
        <w:rPr>
          <w:rFonts w:cs="Times New Roman"/>
          <w:sz w:val="28"/>
          <w:szCs w:val="28"/>
          <w:lang w:val="en-GB"/>
        </w:rPr>
        <w:t xml:space="preserve"> and only 15 countries had [participation rates of more than 15 per cent</w:t>
      </w:r>
      <w:r>
        <w:rPr>
          <w:rFonts w:cs="Times New Roman"/>
          <w:sz w:val="28"/>
          <w:szCs w:val="28"/>
          <w:lang w:val="en-GB"/>
        </w:rPr>
        <w:t xml:space="preserve">. By 2013, no less than 56 countries had reached the level of 50 per cent, and another 56 </w:t>
      </w:r>
      <w:r w:rsidR="00D84D96">
        <w:rPr>
          <w:rFonts w:cs="Times New Roman"/>
          <w:sz w:val="28"/>
          <w:szCs w:val="28"/>
          <w:lang w:val="en-GB"/>
        </w:rPr>
        <w:t>countries</w:t>
      </w:r>
      <w:r>
        <w:rPr>
          <w:rFonts w:cs="Times New Roman"/>
          <w:sz w:val="28"/>
          <w:szCs w:val="28"/>
          <w:lang w:val="en-GB"/>
        </w:rPr>
        <w:t xml:space="preserve"> had participation rates</w:t>
      </w:r>
      <w:r w:rsidR="00D84D96">
        <w:rPr>
          <w:rFonts w:cs="Times New Roman"/>
          <w:sz w:val="28"/>
          <w:szCs w:val="28"/>
          <w:lang w:val="en-GB"/>
        </w:rPr>
        <w:t xml:space="preserve"> of between 15 and 50 per cent</w:t>
      </w:r>
      <w:r w:rsidR="00D030DD">
        <w:rPr>
          <w:rFonts w:cs="Times New Roman"/>
          <w:sz w:val="28"/>
          <w:szCs w:val="28"/>
          <w:lang w:val="en-GB"/>
        </w:rPr>
        <w:t>. Almost three countries in four have mass participation in higher education</w:t>
      </w:r>
      <w:r w:rsidR="00D84D96">
        <w:rPr>
          <w:rFonts w:cs="Times New Roman"/>
          <w:sz w:val="28"/>
          <w:szCs w:val="28"/>
          <w:lang w:val="en-GB"/>
        </w:rPr>
        <w:t xml:space="preserve">. </w:t>
      </w:r>
      <w:r>
        <w:rPr>
          <w:rFonts w:cs="Times New Roman"/>
          <w:sz w:val="28"/>
          <w:szCs w:val="28"/>
          <w:lang w:val="en-GB"/>
        </w:rPr>
        <w:t xml:space="preserve">And in nearly every country, aside from those like Korea or Canada that </w:t>
      </w:r>
      <w:r w:rsidR="00D030DD">
        <w:rPr>
          <w:rFonts w:cs="Times New Roman"/>
          <w:sz w:val="28"/>
          <w:szCs w:val="28"/>
          <w:lang w:val="en-GB"/>
        </w:rPr>
        <w:t>are already</w:t>
      </w:r>
      <w:r>
        <w:rPr>
          <w:rFonts w:cs="Times New Roman"/>
          <w:sz w:val="28"/>
          <w:szCs w:val="28"/>
          <w:lang w:val="en-GB"/>
        </w:rPr>
        <w:t xml:space="preserve"> close to the 100 per cent mark, the rate of age group participation </w:t>
      </w:r>
      <w:r w:rsidR="00D030DD">
        <w:rPr>
          <w:rFonts w:cs="Times New Roman"/>
          <w:sz w:val="28"/>
          <w:szCs w:val="28"/>
          <w:lang w:val="en-GB"/>
        </w:rPr>
        <w:t>i</w:t>
      </w:r>
      <w:r>
        <w:rPr>
          <w:rFonts w:cs="Times New Roman"/>
          <w:sz w:val="28"/>
          <w:szCs w:val="28"/>
          <w:lang w:val="en-GB"/>
        </w:rPr>
        <w:t xml:space="preserve">s growing rapidly. </w:t>
      </w:r>
    </w:p>
    <w:p w14:paraId="0355AC37" w14:textId="687E6F6F" w:rsidR="00937516" w:rsidRDefault="00937516" w:rsidP="00F76E4D">
      <w:pPr>
        <w:rPr>
          <w:rFonts w:cs="Times New Roman"/>
          <w:sz w:val="28"/>
          <w:szCs w:val="28"/>
          <w:lang w:val="en-GB"/>
        </w:rPr>
      </w:pPr>
      <w:r>
        <w:rPr>
          <w:rFonts w:cs="Times New Roman"/>
          <w:sz w:val="28"/>
          <w:szCs w:val="28"/>
          <w:lang w:val="en-GB"/>
        </w:rPr>
        <w:tab/>
      </w:r>
      <w:r w:rsidR="007C628F">
        <w:rPr>
          <w:rFonts w:cs="Times New Roman"/>
          <w:sz w:val="28"/>
          <w:szCs w:val="28"/>
          <w:lang w:val="en-GB"/>
        </w:rPr>
        <w:t xml:space="preserve">You can see from the graph that tertiary participation in UK has fluctuated, has mostly been below the level of participation in North America and Western Europe taken together, and is trending slightly downwards, which is not the world </w:t>
      </w:r>
      <w:r w:rsidR="00D030DD">
        <w:rPr>
          <w:rFonts w:cs="Times New Roman"/>
          <w:sz w:val="28"/>
          <w:szCs w:val="28"/>
          <w:lang w:val="en-GB"/>
        </w:rPr>
        <w:t>pattern</w:t>
      </w:r>
      <w:r w:rsidR="007C628F">
        <w:rPr>
          <w:rFonts w:cs="Times New Roman"/>
          <w:sz w:val="28"/>
          <w:szCs w:val="28"/>
          <w:lang w:val="en-GB"/>
        </w:rPr>
        <w:t>. F</w:t>
      </w:r>
      <w:r>
        <w:rPr>
          <w:rFonts w:cs="Times New Roman"/>
          <w:sz w:val="28"/>
          <w:szCs w:val="28"/>
          <w:lang w:val="en-GB"/>
        </w:rPr>
        <w:t xml:space="preserve">ocus on the </w:t>
      </w:r>
      <w:r w:rsidR="007C628F">
        <w:rPr>
          <w:rFonts w:cs="Times New Roman"/>
          <w:sz w:val="28"/>
          <w:szCs w:val="28"/>
          <w:lang w:val="en-GB"/>
        </w:rPr>
        <w:t xml:space="preserve">world </w:t>
      </w:r>
      <w:r>
        <w:rPr>
          <w:rFonts w:cs="Times New Roman"/>
          <w:sz w:val="28"/>
          <w:szCs w:val="28"/>
          <w:lang w:val="en-GB"/>
        </w:rPr>
        <w:t xml:space="preserve">trend line </w:t>
      </w:r>
      <w:r w:rsidR="007C628F">
        <w:rPr>
          <w:rFonts w:cs="Times New Roman"/>
          <w:sz w:val="28"/>
          <w:szCs w:val="28"/>
          <w:lang w:val="en-GB"/>
        </w:rPr>
        <w:t>at</w:t>
      </w:r>
      <w:r>
        <w:rPr>
          <w:rFonts w:cs="Times New Roman"/>
          <w:sz w:val="28"/>
          <w:szCs w:val="28"/>
          <w:lang w:val="en-GB"/>
        </w:rPr>
        <w:t xml:space="preserve"> the </w:t>
      </w:r>
      <w:r w:rsidR="007C628F">
        <w:rPr>
          <w:rFonts w:cs="Times New Roman"/>
          <w:sz w:val="28"/>
          <w:szCs w:val="28"/>
          <w:lang w:val="en-GB"/>
        </w:rPr>
        <w:t xml:space="preserve">bottom of the </w:t>
      </w:r>
      <w:r>
        <w:rPr>
          <w:rFonts w:cs="Times New Roman"/>
          <w:sz w:val="28"/>
          <w:szCs w:val="28"/>
          <w:lang w:val="en-GB"/>
        </w:rPr>
        <w:t xml:space="preserve">graph. </w:t>
      </w:r>
      <w:r w:rsidR="002A3069">
        <w:rPr>
          <w:rFonts w:cs="Times New Roman"/>
          <w:sz w:val="28"/>
          <w:szCs w:val="28"/>
          <w:lang w:val="en-GB"/>
        </w:rPr>
        <w:t xml:space="preserve">In the twenty years from 1994 to 2014, worldwide participation jumped from 14 per cent to 34 per cent. In </w:t>
      </w:r>
      <w:r w:rsidR="002A3069" w:rsidRPr="002A3069">
        <w:rPr>
          <w:rFonts w:cs="Times New Roman"/>
          <w:i/>
          <w:sz w:val="28"/>
          <w:szCs w:val="28"/>
          <w:lang w:val="en-GB"/>
        </w:rPr>
        <w:t>another twenty years</w:t>
      </w:r>
      <w:r w:rsidR="002A3069">
        <w:rPr>
          <w:rFonts w:cs="Times New Roman"/>
          <w:sz w:val="28"/>
          <w:szCs w:val="28"/>
          <w:lang w:val="en-GB"/>
        </w:rPr>
        <w:t xml:space="preserve"> more than half of all young people in all countries, rich and poor, taken together, will reach tertiary education stage. </w:t>
      </w:r>
      <w:r w:rsidR="00142363">
        <w:rPr>
          <w:rFonts w:cs="Times New Roman"/>
          <w:sz w:val="28"/>
          <w:szCs w:val="28"/>
          <w:lang w:val="en-GB"/>
        </w:rPr>
        <w:t xml:space="preserve">Almost </w:t>
      </w:r>
      <w:r w:rsidR="002A3069">
        <w:rPr>
          <w:rFonts w:cs="Times New Roman"/>
          <w:sz w:val="28"/>
          <w:szCs w:val="28"/>
          <w:lang w:val="en-GB"/>
        </w:rPr>
        <w:t>a third will become degree holders</w:t>
      </w:r>
      <w:r w:rsidR="00142363">
        <w:rPr>
          <w:rFonts w:cs="Times New Roman"/>
          <w:sz w:val="28"/>
          <w:szCs w:val="28"/>
          <w:lang w:val="en-GB"/>
        </w:rPr>
        <w:t xml:space="preserve">. That’s a lot of qualifications. </w:t>
      </w:r>
    </w:p>
    <w:p w14:paraId="008D26E5" w14:textId="77777777" w:rsidR="00937516" w:rsidRDefault="00937516" w:rsidP="00F76E4D">
      <w:pPr>
        <w:rPr>
          <w:rFonts w:cs="Times New Roman"/>
          <w:sz w:val="28"/>
          <w:szCs w:val="28"/>
          <w:lang w:val="en-GB"/>
        </w:rPr>
      </w:pPr>
    </w:p>
    <w:p w14:paraId="7930855A" w14:textId="77777777" w:rsidR="00D030DD" w:rsidRDefault="00D030DD" w:rsidP="00F76E4D">
      <w:pPr>
        <w:rPr>
          <w:rFonts w:cs="Times New Roman"/>
          <w:b/>
          <w:bCs/>
          <w:i/>
          <w:iCs/>
          <w:sz w:val="28"/>
          <w:szCs w:val="28"/>
          <w:lang w:val="en-GB"/>
        </w:rPr>
      </w:pPr>
      <w:r w:rsidRPr="00D030DD">
        <w:rPr>
          <w:rFonts w:cs="Times New Roman"/>
          <w:b/>
          <w:bCs/>
          <w:i/>
          <w:iCs/>
          <w:sz w:val="28"/>
          <w:szCs w:val="28"/>
        </w:rPr>
        <w:t>Regional Gross Tertiary Enrolment Ratios (%), 1970, 1990, 2010 and 2014</w:t>
      </w:r>
      <w:r w:rsidRPr="00D030DD">
        <w:rPr>
          <w:rFonts w:cs="Times New Roman"/>
          <w:b/>
          <w:bCs/>
          <w:i/>
          <w:iCs/>
          <w:sz w:val="28"/>
          <w:szCs w:val="28"/>
          <w:lang w:val="en-GB"/>
        </w:rPr>
        <w:t xml:space="preserve"> </w:t>
      </w:r>
    </w:p>
    <w:p w14:paraId="05829AD4" w14:textId="7C1FEF1C" w:rsidR="006F37E7" w:rsidRPr="00A73D76" w:rsidRDefault="006F37E7" w:rsidP="00F76E4D">
      <w:pPr>
        <w:rPr>
          <w:rFonts w:cs="Calibri"/>
          <w:sz w:val="28"/>
          <w:szCs w:val="28"/>
        </w:rPr>
      </w:pPr>
      <w:r w:rsidRPr="00A73D76">
        <w:rPr>
          <w:rFonts w:cs="Times New Roman"/>
          <w:sz w:val="28"/>
          <w:szCs w:val="28"/>
          <w:lang w:val="en-GB"/>
        </w:rPr>
        <w:t xml:space="preserve">The large scale higher education systems which began in North America, </w:t>
      </w:r>
      <w:r w:rsidR="00D030DD">
        <w:rPr>
          <w:rFonts w:cs="Times New Roman"/>
          <w:sz w:val="28"/>
          <w:szCs w:val="28"/>
          <w:lang w:val="en-GB"/>
        </w:rPr>
        <w:t xml:space="preserve">UK and Western Europe, Russia, Japan and </w:t>
      </w:r>
      <w:r w:rsidRPr="00A73D76">
        <w:rPr>
          <w:rFonts w:cs="Times New Roman"/>
          <w:sz w:val="28"/>
          <w:szCs w:val="28"/>
          <w:lang w:val="en-GB"/>
        </w:rPr>
        <w:t xml:space="preserve">Australia have now spread </w:t>
      </w:r>
      <w:r w:rsidR="00D030DD">
        <w:rPr>
          <w:rFonts w:cs="Times New Roman"/>
          <w:sz w:val="28"/>
          <w:szCs w:val="28"/>
          <w:lang w:val="en-GB"/>
        </w:rPr>
        <w:t>almost everywhere</w:t>
      </w:r>
      <w:r w:rsidRPr="00A73D76">
        <w:rPr>
          <w:rFonts w:cs="Times New Roman"/>
          <w:sz w:val="28"/>
          <w:szCs w:val="28"/>
          <w:lang w:val="en-GB"/>
        </w:rPr>
        <w:t xml:space="preserve">. </w:t>
      </w:r>
      <w:r w:rsidR="00D030DD">
        <w:rPr>
          <w:rFonts w:cs="Calibri"/>
          <w:sz w:val="28"/>
          <w:szCs w:val="28"/>
        </w:rPr>
        <w:t>Between 1990 and 2014</w:t>
      </w:r>
      <w:r w:rsidRPr="00A73D76">
        <w:rPr>
          <w:rFonts w:cs="Calibri"/>
          <w:sz w:val="28"/>
          <w:szCs w:val="28"/>
        </w:rPr>
        <w:t xml:space="preserve"> the GTER increased markedly in each world region except Central Asia</w:t>
      </w:r>
      <w:r w:rsidR="00D030DD">
        <w:rPr>
          <w:rFonts w:cs="Calibri"/>
          <w:sz w:val="28"/>
          <w:szCs w:val="28"/>
        </w:rPr>
        <w:t xml:space="preserve">, and it is now high or sharply rising everywhere except Sub-Saharan Africa and parts of South Asia. </w:t>
      </w:r>
      <w:r w:rsidR="0019533B" w:rsidRPr="00A73D76">
        <w:rPr>
          <w:rFonts w:cs="Calibri"/>
          <w:sz w:val="28"/>
          <w:szCs w:val="28"/>
        </w:rPr>
        <w:t xml:space="preserve">When systems reach GTERs of 50 per cent or more they grow towards 100 per cent. </w:t>
      </w:r>
      <w:r w:rsidR="00670BEF" w:rsidRPr="00A73D76">
        <w:rPr>
          <w:rFonts w:cs="Consolas"/>
          <w:sz w:val="28"/>
          <w:szCs w:val="28"/>
        </w:rPr>
        <w:t xml:space="preserve">In some countries </w:t>
      </w:r>
      <w:r w:rsidR="00D030DD">
        <w:rPr>
          <w:rFonts w:cs="Consolas"/>
          <w:sz w:val="28"/>
          <w:szCs w:val="28"/>
        </w:rPr>
        <w:t>growth</w:t>
      </w:r>
      <w:r w:rsidR="00670BEF" w:rsidRPr="00A73D76">
        <w:rPr>
          <w:rFonts w:cs="Consolas"/>
          <w:sz w:val="28"/>
          <w:szCs w:val="28"/>
        </w:rPr>
        <w:t xml:space="preserve"> has been </w:t>
      </w:r>
      <w:r w:rsidR="0019533B">
        <w:rPr>
          <w:rFonts w:cs="Consolas"/>
          <w:sz w:val="28"/>
          <w:szCs w:val="28"/>
        </w:rPr>
        <w:t xml:space="preserve">truly </w:t>
      </w:r>
      <w:r w:rsidR="00D030DD">
        <w:rPr>
          <w:rFonts w:cs="Consolas"/>
          <w:sz w:val="28"/>
          <w:szCs w:val="28"/>
        </w:rPr>
        <w:t xml:space="preserve">extraordinary. </w:t>
      </w:r>
      <w:r w:rsidR="00670BEF" w:rsidRPr="00A73D76">
        <w:rPr>
          <w:rFonts w:cs="Consolas"/>
          <w:sz w:val="28"/>
          <w:szCs w:val="28"/>
        </w:rPr>
        <w:t xml:space="preserve">In Turkey the GTER </w:t>
      </w:r>
      <w:r w:rsidR="00D030DD">
        <w:rPr>
          <w:rFonts w:cs="Consolas"/>
          <w:sz w:val="28"/>
          <w:szCs w:val="28"/>
        </w:rPr>
        <w:t>jumped</w:t>
      </w:r>
      <w:r w:rsidR="00670BEF" w:rsidRPr="00A73D76">
        <w:rPr>
          <w:rFonts w:cs="Consolas"/>
          <w:sz w:val="28"/>
          <w:szCs w:val="28"/>
        </w:rPr>
        <w:t xml:space="preserve"> from 25 to 70 per cent in </w:t>
      </w:r>
      <w:r w:rsidR="00D030DD">
        <w:rPr>
          <w:rFonts w:cs="Consolas"/>
          <w:sz w:val="28"/>
          <w:szCs w:val="28"/>
        </w:rPr>
        <w:t xml:space="preserve">the </w:t>
      </w:r>
      <w:r w:rsidR="00670BEF" w:rsidRPr="00A73D76">
        <w:rPr>
          <w:rFonts w:cs="Consolas"/>
          <w:sz w:val="28"/>
          <w:szCs w:val="28"/>
        </w:rPr>
        <w:t>12 years</w:t>
      </w:r>
      <w:r w:rsidR="00D030DD">
        <w:rPr>
          <w:rFonts w:cs="Consolas"/>
          <w:sz w:val="28"/>
          <w:szCs w:val="28"/>
        </w:rPr>
        <w:t xml:space="preserve"> between 2000 and 2012</w:t>
      </w:r>
      <w:r w:rsidR="00670BEF" w:rsidRPr="00A73D76">
        <w:rPr>
          <w:rFonts w:cs="Consolas"/>
          <w:sz w:val="28"/>
          <w:szCs w:val="28"/>
        </w:rPr>
        <w:t>. Other large increases included Albania 42 per cent, Cuba 41 per cent, Belarus 37 per cent and Chile 36 per cent.</w:t>
      </w:r>
      <w:r w:rsidR="00670BEF" w:rsidRPr="00A73D76">
        <w:rPr>
          <w:rFonts w:cs="Calibri"/>
          <w:sz w:val="28"/>
          <w:szCs w:val="28"/>
        </w:rPr>
        <w:t xml:space="preserve"> </w:t>
      </w:r>
      <w:r w:rsidR="00D030DD">
        <w:rPr>
          <w:rFonts w:cs="Times New Roman"/>
          <w:sz w:val="28"/>
          <w:szCs w:val="28"/>
          <w:lang w:val="en-GB"/>
        </w:rPr>
        <w:t>And there</w:t>
      </w:r>
      <w:r w:rsidR="00670BEF" w:rsidRPr="00A73D76">
        <w:rPr>
          <w:rFonts w:cs="Times New Roman"/>
          <w:sz w:val="28"/>
          <w:szCs w:val="28"/>
          <w:lang w:val="en-GB"/>
        </w:rPr>
        <w:t xml:space="preserve"> is </w:t>
      </w:r>
      <w:r w:rsidRPr="00A73D76">
        <w:rPr>
          <w:rFonts w:cs="Times New Roman"/>
          <w:sz w:val="28"/>
          <w:szCs w:val="28"/>
          <w:lang w:val="en-GB"/>
        </w:rPr>
        <w:t xml:space="preserve">rapidly growing educational participation in three of the world’s four most populous countries, China, India and Indonesia. </w:t>
      </w:r>
    </w:p>
    <w:p w14:paraId="7E7A62FF" w14:textId="77777777" w:rsidR="006F37E7" w:rsidRDefault="006F37E7" w:rsidP="00F76E4D">
      <w:pPr>
        <w:rPr>
          <w:rFonts w:cs="Times New Roman"/>
          <w:sz w:val="28"/>
          <w:szCs w:val="28"/>
          <w:lang w:val="en-GB"/>
        </w:rPr>
      </w:pPr>
    </w:p>
    <w:p w14:paraId="7D1BFCC1" w14:textId="5A6B0D10" w:rsidR="006F37E7" w:rsidRPr="00A73D76" w:rsidRDefault="00D013B6" w:rsidP="00F76E4D">
      <w:pPr>
        <w:rPr>
          <w:rFonts w:cs="Times New Roman"/>
          <w:sz w:val="28"/>
          <w:szCs w:val="28"/>
          <w:lang w:val="en-GB"/>
        </w:rPr>
      </w:pPr>
      <w:r w:rsidRPr="00D013B6">
        <w:rPr>
          <w:rFonts w:cs="Times New Roman"/>
          <w:b/>
          <w:bCs/>
          <w:i/>
          <w:iCs/>
          <w:sz w:val="28"/>
          <w:szCs w:val="28"/>
        </w:rPr>
        <w:t>Growth in Indonesia, China and India</w:t>
      </w:r>
    </w:p>
    <w:p w14:paraId="7F2FAB1E" w14:textId="619DE7C8" w:rsidR="006F37E7" w:rsidRPr="00A73D76" w:rsidRDefault="0019533B" w:rsidP="00F76E4D">
      <w:pPr>
        <w:rPr>
          <w:rFonts w:cs="Times New Roman"/>
          <w:sz w:val="28"/>
          <w:szCs w:val="28"/>
          <w:lang w:val="en-GB"/>
        </w:rPr>
      </w:pPr>
      <w:r>
        <w:rPr>
          <w:rFonts w:cs="Calibri"/>
          <w:sz w:val="28"/>
          <w:szCs w:val="28"/>
        </w:rPr>
        <w:t>T</w:t>
      </w:r>
      <w:r w:rsidR="00B733AD">
        <w:rPr>
          <w:rFonts w:cs="Calibri"/>
          <w:sz w:val="28"/>
          <w:szCs w:val="28"/>
        </w:rPr>
        <w:t xml:space="preserve">hese countries </w:t>
      </w:r>
      <w:r>
        <w:rPr>
          <w:rFonts w:cs="Calibri"/>
          <w:sz w:val="28"/>
          <w:szCs w:val="28"/>
        </w:rPr>
        <w:t xml:space="preserve">between them have a total population of 3 billion people. A one third participation rate, which has now been achieved, means that in the long run, one billion people will enter tertiary education from these three countries alone. A 50 per cent participation rate means that about one billion people will enter degree programmes, just in these three countries. In future there’s going to be a lot of qualified labour from China, India and Indonesia. </w:t>
      </w:r>
    </w:p>
    <w:p w14:paraId="7D87914B" w14:textId="77777777" w:rsidR="0019533B" w:rsidRDefault="0019533B" w:rsidP="00F76E4D">
      <w:pPr>
        <w:rPr>
          <w:rFonts w:cs="Calibri"/>
          <w:sz w:val="28"/>
          <w:szCs w:val="28"/>
        </w:rPr>
      </w:pPr>
    </w:p>
    <w:p w14:paraId="6CAD5B2D" w14:textId="2AFA6EF0" w:rsidR="0019533B" w:rsidRDefault="0019533B" w:rsidP="00F76E4D">
      <w:pPr>
        <w:widowControl w:val="0"/>
        <w:autoSpaceDE w:val="0"/>
        <w:autoSpaceDN w:val="0"/>
        <w:adjustRightInd w:val="0"/>
        <w:rPr>
          <w:rFonts w:cs="Calibri"/>
          <w:b/>
          <w:bCs/>
          <w:i/>
          <w:iCs/>
          <w:sz w:val="28"/>
          <w:szCs w:val="28"/>
        </w:rPr>
      </w:pPr>
      <w:r w:rsidRPr="007B04CF">
        <w:rPr>
          <w:rFonts w:cs="Calibri"/>
          <w:b/>
          <w:bCs/>
          <w:i/>
          <w:iCs/>
          <w:sz w:val="28"/>
          <w:szCs w:val="28"/>
        </w:rPr>
        <w:t>GTE</w:t>
      </w:r>
      <w:r>
        <w:rPr>
          <w:rFonts w:cs="Calibri"/>
          <w:b/>
          <w:bCs/>
          <w:i/>
          <w:iCs/>
          <w:sz w:val="28"/>
          <w:szCs w:val="28"/>
        </w:rPr>
        <w:t xml:space="preserve">R and urbanisation in Indonesia </w:t>
      </w:r>
      <w:r w:rsidRPr="007B04CF">
        <w:rPr>
          <w:rFonts w:cs="Calibri"/>
          <w:b/>
          <w:bCs/>
          <w:i/>
          <w:iCs/>
          <w:sz w:val="28"/>
          <w:szCs w:val="28"/>
        </w:rPr>
        <w:t>1990-2013</w:t>
      </w:r>
      <w:r>
        <w:rPr>
          <w:rFonts w:cs="Calibri"/>
          <w:b/>
          <w:bCs/>
          <w:i/>
          <w:iCs/>
          <w:sz w:val="28"/>
          <w:szCs w:val="28"/>
        </w:rPr>
        <w:t xml:space="preserve"> (1)</w:t>
      </w:r>
    </w:p>
    <w:p w14:paraId="79BDBD9D" w14:textId="10FE5DE1" w:rsidR="0019533B" w:rsidRDefault="0019533B" w:rsidP="00F76E4D">
      <w:pPr>
        <w:widowControl w:val="0"/>
        <w:autoSpaceDE w:val="0"/>
        <w:autoSpaceDN w:val="0"/>
        <w:adjustRightInd w:val="0"/>
        <w:rPr>
          <w:rFonts w:cs="Calibri"/>
          <w:sz w:val="28"/>
          <w:szCs w:val="28"/>
        </w:rPr>
      </w:pPr>
      <w:r>
        <w:rPr>
          <w:rFonts w:cs="Calibri"/>
          <w:sz w:val="28"/>
          <w:szCs w:val="28"/>
        </w:rPr>
        <w:lastRenderedPageBreak/>
        <w:t xml:space="preserve">In these three demographic giants, the growth of participation in tertiary education is </w:t>
      </w:r>
      <w:r w:rsidR="00656669">
        <w:rPr>
          <w:rFonts w:cs="Calibri"/>
          <w:sz w:val="28"/>
          <w:szCs w:val="28"/>
        </w:rPr>
        <w:t>correlated to</w:t>
      </w:r>
      <w:r>
        <w:rPr>
          <w:rFonts w:cs="Calibri"/>
          <w:sz w:val="28"/>
          <w:szCs w:val="28"/>
        </w:rPr>
        <w:t xml:space="preserve"> the process of capitalist modernisation, as people move from </w:t>
      </w:r>
      <w:r w:rsidR="00656669">
        <w:rPr>
          <w:rFonts w:cs="Calibri"/>
          <w:sz w:val="28"/>
          <w:szCs w:val="28"/>
        </w:rPr>
        <w:t>a</w:t>
      </w:r>
      <w:r>
        <w:rPr>
          <w:rFonts w:cs="Calibri"/>
          <w:sz w:val="28"/>
          <w:szCs w:val="28"/>
        </w:rPr>
        <w:t xml:space="preserve"> Neolithic life in the countryside to jobs in </w:t>
      </w:r>
      <w:r w:rsidR="00656669">
        <w:rPr>
          <w:rFonts w:cs="Calibri"/>
          <w:sz w:val="28"/>
          <w:szCs w:val="28"/>
        </w:rPr>
        <w:t xml:space="preserve">industrialised </w:t>
      </w:r>
      <w:r>
        <w:rPr>
          <w:rFonts w:cs="Calibri"/>
          <w:sz w:val="28"/>
          <w:szCs w:val="28"/>
        </w:rPr>
        <w:t xml:space="preserve">cities. </w:t>
      </w:r>
      <w:r w:rsidRPr="00A73D76">
        <w:rPr>
          <w:rFonts w:cs="Calibri"/>
          <w:sz w:val="28"/>
          <w:szCs w:val="28"/>
        </w:rPr>
        <w:t xml:space="preserve">For example, </w:t>
      </w:r>
      <w:r>
        <w:rPr>
          <w:rFonts w:cs="Calibri"/>
          <w:sz w:val="28"/>
          <w:szCs w:val="28"/>
        </w:rPr>
        <w:t>this</w:t>
      </w:r>
      <w:r w:rsidRPr="00A73D76">
        <w:rPr>
          <w:rFonts w:cs="Calibri"/>
          <w:sz w:val="28"/>
          <w:szCs w:val="28"/>
        </w:rPr>
        <w:t xml:space="preserve"> graph </w:t>
      </w:r>
      <w:r>
        <w:rPr>
          <w:rFonts w:cs="Calibri"/>
          <w:sz w:val="28"/>
          <w:szCs w:val="28"/>
        </w:rPr>
        <w:t>displays trends</w:t>
      </w:r>
      <w:r w:rsidRPr="00A73D76">
        <w:rPr>
          <w:rFonts w:cs="Calibri"/>
          <w:sz w:val="28"/>
          <w:szCs w:val="28"/>
        </w:rPr>
        <w:t xml:space="preserve"> in Indonesia between 1990 and 2013. </w:t>
      </w:r>
      <w:r>
        <w:rPr>
          <w:rFonts w:cs="Calibri"/>
          <w:sz w:val="28"/>
          <w:szCs w:val="28"/>
        </w:rPr>
        <w:t>You can see</w:t>
      </w:r>
      <w:r w:rsidRPr="00A73D76">
        <w:rPr>
          <w:rFonts w:cs="Calibri"/>
          <w:sz w:val="28"/>
          <w:szCs w:val="28"/>
        </w:rPr>
        <w:t xml:space="preserve"> the historical connections between the declining share of agricultur</w:t>
      </w:r>
      <w:r w:rsidR="00656669">
        <w:rPr>
          <w:rFonts w:cs="Calibri"/>
          <w:sz w:val="28"/>
          <w:szCs w:val="28"/>
        </w:rPr>
        <w:t>e in the</w:t>
      </w:r>
      <w:r w:rsidRPr="00A73D76">
        <w:rPr>
          <w:rFonts w:cs="Calibri"/>
          <w:sz w:val="28"/>
          <w:szCs w:val="28"/>
        </w:rPr>
        <w:t xml:space="preserve"> labour</w:t>
      </w:r>
      <w:r w:rsidR="00656669">
        <w:rPr>
          <w:rFonts w:cs="Calibri"/>
          <w:sz w:val="28"/>
          <w:szCs w:val="28"/>
        </w:rPr>
        <w:t xml:space="preserve"> force</w:t>
      </w:r>
      <w:r w:rsidRPr="00A73D76">
        <w:rPr>
          <w:rFonts w:cs="Calibri"/>
          <w:sz w:val="28"/>
          <w:szCs w:val="28"/>
        </w:rPr>
        <w:t>, the growing share of the national population living in cities</w:t>
      </w:r>
      <w:r>
        <w:rPr>
          <w:rFonts w:cs="Calibri"/>
          <w:sz w:val="28"/>
          <w:szCs w:val="28"/>
        </w:rPr>
        <w:t xml:space="preserve">… </w:t>
      </w:r>
    </w:p>
    <w:p w14:paraId="7952A043" w14:textId="77777777" w:rsidR="0019533B" w:rsidRDefault="0019533B" w:rsidP="00F76E4D">
      <w:pPr>
        <w:widowControl w:val="0"/>
        <w:autoSpaceDE w:val="0"/>
        <w:autoSpaceDN w:val="0"/>
        <w:adjustRightInd w:val="0"/>
        <w:rPr>
          <w:rFonts w:cs="Calibri"/>
          <w:sz w:val="28"/>
          <w:szCs w:val="28"/>
        </w:rPr>
      </w:pPr>
    </w:p>
    <w:p w14:paraId="6BE069C5" w14:textId="004322A1" w:rsidR="0019533B" w:rsidRDefault="0019533B" w:rsidP="00F76E4D">
      <w:pPr>
        <w:widowControl w:val="0"/>
        <w:autoSpaceDE w:val="0"/>
        <w:autoSpaceDN w:val="0"/>
        <w:adjustRightInd w:val="0"/>
        <w:rPr>
          <w:rFonts w:cs="Calibri"/>
          <w:b/>
          <w:bCs/>
          <w:i/>
          <w:iCs/>
          <w:sz w:val="28"/>
          <w:szCs w:val="28"/>
        </w:rPr>
      </w:pPr>
      <w:r w:rsidRPr="007B04CF">
        <w:rPr>
          <w:rFonts w:cs="Calibri"/>
          <w:b/>
          <w:bCs/>
          <w:i/>
          <w:iCs/>
          <w:sz w:val="28"/>
          <w:szCs w:val="28"/>
        </w:rPr>
        <w:t>GTE</w:t>
      </w:r>
      <w:r>
        <w:rPr>
          <w:rFonts w:cs="Calibri"/>
          <w:b/>
          <w:bCs/>
          <w:i/>
          <w:iCs/>
          <w:sz w:val="28"/>
          <w:szCs w:val="28"/>
        </w:rPr>
        <w:t xml:space="preserve">R and urbanisation in Indonesia </w:t>
      </w:r>
      <w:r w:rsidRPr="007B04CF">
        <w:rPr>
          <w:rFonts w:cs="Calibri"/>
          <w:b/>
          <w:bCs/>
          <w:i/>
          <w:iCs/>
          <w:sz w:val="28"/>
          <w:szCs w:val="28"/>
        </w:rPr>
        <w:t>1990-2013</w:t>
      </w:r>
      <w:r>
        <w:rPr>
          <w:rFonts w:cs="Calibri"/>
          <w:b/>
          <w:bCs/>
          <w:i/>
          <w:iCs/>
          <w:sz w:val="28"/>
          <w:szCs w:val="28"/>
        </w:rPr>
        <w:t xml:space="preserve"> (2)</w:t>
      </w:r>
    </w:p>
    <w:p w14:paraId="518FAD7B" w14:textId="26D3EB66" w:rsidR="0019533B" w:rsidRPr="00A73D76" w:rsidRDefault="0019533B" w:rsidP="00F76E4D">
      <w:pPr>
        <w:widowControl w:val="0"/>
        <w:autoSpaceDE w:val="0"/>
        <w:autoSpaceDN w:val="0"/>
        <w:adjustRightInd w:val="0"/>
        <w:rPr>
          <w:rFonts w:cs="Calibri"/>
          <w:sz w:val="28"/>
          <w:szCs w:val="28"/>
        </w:rPr>
      </w:pPr>
      <w:r>
        <w:rPr>
          <w:rFonts w:cs="Calibri"/>
          <w:sz w:val="28"/>
          <w:szCs w:val="28"/>
        </w:rPr>
        <w:t>… a</w:t>
      </w:r>
      <w:r w:rsidRPr="00A73D76">
        <w:rPr>
          <w:rFonts w:cs="Calibri"/>
          <w:sz w:val="28"/>
          <w:szCs w:val="28"/>
        </w:rPr>
        <w:t xml:space="preserve">nd the concurrent increase in the national Gross Tertiary Enrolment Ratio. </w:t>
      </w:r>
    </w:p>
    <w:p w14:paraId="5DB7CF48" w14:textId="78EFC7F3" w:rsidR="0019533B" w:rsidRDefault="0019533B" w:rsidP="00F76E4D">
      <w:pPr>
        <w:rPr>
          <w:rFonts w:cs="Calibri"/>
          <w:sz w:val="28"/>
          <w:szCs w:val="28"/>
        </w:rPr>
      </w:pPr>
    </w:p>
    <w:p w14:paraId="32F9B9F3" w14:textId="4F550970" w:rsidR="0019533B" w:rsidRPr="00DB1322" w:rsidRDefault="00DB1322" w:rsidP="00F76E4D">
      <w:pPr>
        <w:rPr>
          <w:rFonts w:cs="Calibri"/>
          <w:b/>
          <w:i/>
          <w:sz w:val="28"/>
          <w:szCs w:val="28"/>
        </w:rPr>
      </w:pPr>
      <w:r w:rsidRPr="00DB1322">
        <w:rPr>
          <w:rFonts w:cs="Calibri"/>
          <w:b/>
          <w:i/>
          <w:sz w:val="28"/>
          <w:szCs w:val="28"/>
        </w:rPr>
        <w:t>Comparative participation in the UK</w:t>
      </w:r>
      <w:r w:rsidR="007B211D">
        <w:rPr>
          <w:rFonts w:cs="Calibri"/>
          <w:b/>
          <w:i/>
          <w:sz w:val="28"/>
          <w:szCs w:val="28"/>
        </w:rPr>
        <w:t>: The Clancy Index</w:t>
      </w:r>
      <w:r w:rsidR="0067557C">
        <w:rPr>
          <w:rFonts w:cs="Calibri"/>
          <w:b/>
          <w:i/>
          <w:sz w:val="28"/>
          <w:szCs w:val="28"/>
        </w:rPr>
        <w:t xml:space="preserve"> for OECD countries</w:t>
      </w:r>
    </w:p>
    <w:p w14:paraId="43CBDEDA" w14:textId="3C05D5F6" w:rsidR="00FB3707" w:rsidRDefault="007E38FF" w:rsidP="00F76E4D">
      <w:pPr>
        <w:rPr>
          <w:rFonts w:cs="Calibri"/>
          <w:sz w:val="28"/>
          <w:szCs w:val="28"/>
        </w:rPr>
      </w:pPr>
      <w:r>
        <w:rPr>
          <w:rFonts w:cs="Calibri"/>
          <w:sz w:val="28"/>
          <w:szCs w:val="28"/>
        </w:rPr>
        <w:t xml:space="preserve">Let’s look more closely at </w:t>
      </w:r>
      <w:r w:rsidR="00FB3707">
        <w:rPr>
          <w:rFonts w:cs="Calibri"/>
          <w:sz w:val="28"/>
          <w:szCs w:val="28"/>
        </w:rPr>
        <w:t xml:space="preserve">UK </w:t>
      </w:r>
      <w:r w:rsidR="001E0BD7">
        <w:rPr>
          <w:rFonts w:cs="Calibri"/>
          <w:sz w:val="28"/>
          <w:szCs w:val="28"/>
        </w:rPr>
        <w:t xml:space="preserve">educational </w:t>
      </w:r>
      <w:r>
        <w:rPr>
          <w:rFonts w:cs="Calibri"/>
          <w:sz w:val="28"/>
          <w:szCs w:val="28"/>
        </w:rPr>
        <w:t xml:space="preserve">participation. </w:t>
      </w:r>
      <w:r w:rsidR="00BF10AA">
        <w:rPr>
          <w:rFonts w:cs="Calibri"/>
          <w:sz w:val="28"/>
          <w:szCs w:val="28"/>
        </w:rPr>
        <w:t xml:space="preserve">University College </w:t>
      </w:r>
      <w:r w:rsidR="007B211D">
        <w:rPr>
          <w:rFonts w:cs="Calibri"/>
          <w:sz w:val="28"/>
          <w:szCs w:val="28"/>
        </w:rPr>
        <w:t xml:space="preserve">Dublin </w:t>
      </w:r>
      <w:r w:rsidR="00FB3707">
        <w:rPr>
          <w:rFonts w:cs="Calibri"/>
          <w:sz w:val="28"/>
          <w:szCs w:val="28"/>
        </w:rPr>
        <w:t>S</w:t>
      </w:r>
      <w:r>
        <w:rPr>
          <w:rFonts w:cs="Calibri"/>
          <w:sz w:val="28"/>
          <w:szCs w:val="28"/>
        </w:rPr>
        <w:t xml:space="preserve">ociologist Pat Clancy has </w:t>
      </w:r>
      <w:r w:rsidR="001E0BD7">
        <w:rPr>
          <w:rFonts w:cs="Calibri"/>
          <w:sz w:val="28"/>
          <w:szCs w:val="28"/>
        </w:rPr>
        <w:t xml:space="preserve">devised a </w:t>
      </w:r>
      <w:r w:rsidR="00FB3707">
        <w:rPr>
          <w:rFonts w:cs="Calibri"/>
          <w:sz w:val="28"/>
          <w:szCs w:val="28"/>
        </w:rPr>
        <w:t xml:space="preserve">‘Comparative Higher Education Participation Index’ for OECD countries which </w:t>
      </w:r>
      <w:r w:rsidR="00BF10AA">
        <w:rPr>
          <w:rFonts w:cs="Calibri"/>
          <w:sz w:val="28"/>
          <w:szCs w:val="28"/>
        </w:rPr>
        <w:t xml:space="preserve">combines </w:t>
      </w:r>
      <w:r w:rsidR="00FB3707">
        <w:rPr>
          <w:rFonts w:cs="Calibri"/>
          <w:sz w:val="28"/>
          <w:szCs w:val="28"/>
        </w:rPr>
        <w:t xml:space="preserve">five indicators—the expected enrolment rate for the present school leaver age cohort, the sum of the enrolment rates at each age level, </w:t>
      </w:r>
      <w:r w:rsidR="007B211D">
        <w:rPr>
          <w:rFonts w:cs="Calibri"/>
          <w:sz w:val="28"/>
          <w:szCs w:val="28"/>
        </w:rPr>
        <w:t xml:space="preserve">the </w:t>
      </w:r>
      <w:r w:rsidR="00FB3707">
        <w:rPr>
          <w:rFonts w:cs="Calibri"/>
          <w:sz w:val="28"/>
          <w:szCs w:val="28"/>
        </w:rPr>
        <w:t xml:space="preserve">enrolment intensity (the proportion of the age group enrolled in the two high enrolment years, which in the UK are 19 and 20 years), the proportion of 25-34 year olds </w:t>
      </w:r>
      <w:r w:rsidR="007B211D">
        <w:rPr>
          <w:rFonts w:cs="Calibri"/>
          <w:sz w:val="28"/>
          <w:szCs w:val="28"/>
        </w:rPr>
        <w:t>who have achieved</w:t>
      </w:r>
      <w:r w:rsidR="00FB3707">
        <w:rPr>
          <w:rFonts w:cs="Calibri"/>
          <w:sz w:val="28"/>
          <w:szCs w:val="28"/>
        </w:rPr>
        <w:t xml:space="preserve"> higher education, and the proportion of 35-44 year olds with higher education. </w:t>
      </w:r>
    </w:p>
    <w:p w14:paraId="2BC5FDDE" w14:textId="7E9E07DE" w:rsidR="00DB1322" w:rsidRDefault="00FB3707" w:rsidP="00F76E4D">
      <w:pPr>
        <w:ind w:firstLine="454"/>
        <w:rPr>
          <w:rFonts w:cs="Calibri"/>
          <w:sz w:val="28"/>
          <w:szCs w:val="28"/>
        </w:rPr>
      </w:pPr>
      <w:r>
        <w:rPr>
          <w:rFonts w:cs="Calibri"/>
          <w:sz w:val="28"/>
          <w:szCs w:val="28"/>
        </w:rPr>
        <w:t xml:space="preserve">In Clancy’s Index the UK </w:t>
      </w:r>
      <w:r w:rsidR="007B211D">
        <w:rPr>
          <w:rFonts w:cs="Calibri"/>
          <w:sz w:val="28"/>
          <w:szCs w:val="28"/>
        </w:rPr>
        <w:t>comes</w:t>
      </w:r>
      <w:r>
        <w:rPr>
          <w:rFonts w:cs="Calibri"/>
          <w:sz w:val="28"/>
          <w:szCs w:val="28"/>
        </w:rPr>
        <w:t xml:space="preserve"> 19th out of 31 OECD countries—</w:t>
      </w:r>
      <w:r w:rsidR="007B211D">
        <w:rPr>
          <w:rFonts w:cs="Calibri"/>
          <w:sz w:val="28"/>
          <w:szCs w:val="28"/>
        </w:rPr>
        <w:t>well</w:t>
      </w:r>
      <w:r w:rsidR="002577DF">
        <w:rPr>
          <w:rFonts w:cs="Calibri"/>
          <w:sz w:val="28"/>
          <w:szCs w:val="28"/>
        </w:rPr>
        <w:t xml:space="preserve"> be</w:t>
      </w:r>
      <w:r w:rsidR="002E1A35">
        <w:rPr>
          <w:rFonts w:cs="Calibri"/>
          <w:sz w:val="28"/>
          <w:szCs w:val="28"/>
        </w:rPr>
        <w:t>low</w:t>
      </w:r>
      <w:r>
        <w:rPr>
          <w:rFonts w:cs="Calibri"/>
          <w:sz w:val="28"/>
          <w:szCs w:val="28"/>
        </w:rPr>
        <w:t xml:space="preserve"> the United States at number 2 after </w:t>
      </w:r>
      <w:r w:rsidR="002E1A35">
        <w:rPr>
          <w:rFonts w:cs="Calibri"/>
          <w:sz w:val="28"/>
          <w:szCs w:val="28"/>
        </w:rPr>
        <w:t xml:space="preserve">South </w:t>
      </w:r>
      <w:r>
        <w:rPr>
          <w:rFonts w:cs="Calibri"/>
          <w:sz w:val="28"/>
          <w:szCs w:val="28"/>
        </w:rPr>
        <w:t>Korea, Australia at 4</w:t>
      </w:r>
      <w:r w:rsidR="002E1A35">
        <w:rPr>
          <w:rFonts w:cs="Calibri"/>
          <w:sz w:val="28"/>
          <w:szCs w:val="28"/>
        </w:rPr>
        <w:t>,</w:t>
      </w:r>
      <w:r>
        <w:rPr>
          <w:rFonts w:cs="Calibri"/>
          <w:sz w:val="28"/>
          <w:szCs w:val="28"/>
        </w:rPr>
        <w:t xml:space="preserve"> and Canada at 5. </w:t>
      </w:r>
      <w:r w:rsidR="007B211D">
        <w:rPr>
          <w:rFonts w:cs="Calibri"/>
          <w:sz w:val="28"/>
          <w:szCs w:val="28"/>
        </w:rPr>
        <w:t>The OECD data show that t</w:t>
      </w:r>
      <w:r>
        <w:rPr>
          <w:rFonts w:cs="Calibri"/>
          <w:sz w:val="28"/>
          <w:szCs w:val="28"/>
        </w:rPr>
        <w:t xml:space="preserve">he UK does well in </w:t>
      </w:r>
      <w:r w:rsidR="002E1A35">
        <w:rPr>
          <w:rFonts w:cs="Calibri"/>
          <w:sz w:val="28"/>
          <w:szCs w:val="28"/>
        </w:rPr>
        <w:t>having</w:t>
      </w:r>
      <w:r w:rsidR="00D67DE5">
        <w:rPr>
          <w:rFonts w:cs="Calibri"/>
          <w:sz w:val="28"/>
          <w:szCs w:val="28"/>
        </w:rPr>
        <w:t xml:space="preserve"> </w:t>
      </w:r>
      <w:r>
        <w:rPr>
          <w:rFonts w:cs="Calibri"/>
          <w:sz w:val="28"/>
          <w:szCs w:val="28"/>
        </w:rPr>
        <w:t>a high proportion of th</w:t>
      </w:r>
      <w:r w:rsidR="002577DF">
        <w:rPr>
          <w:rFonts w:cs="Calibri"/>
          <w:sz w:val="28"/>
          <w:szCs w:val="28"/>
        </w:rPr>
        <w:t xml:space="preserve">ose </w:t>
      </w:r>
      <w:r w:rsidR="007B211D">
        <w:rPr>
          <w:rFonts w:cs="Calibri"/>
          <w:sz w:val="28"/>
          <w:szCs w:val="28"/>
        </w:rPr>
        <w:t>who reach tertiary education</w:t>
      </w:r>
      <w:r w:rsidR="002577DF">
        <w:rPr>
          <w:rFonts w:cs="Calibri"/>
          <w:sz w:val="28"/>
          <w:szCs w:val="28"/>
        </w:rPr>
        <w:t xml:space="preserve"> </w:t>
      </w:r>
      <w:r>
        <w:rPr>
          <w:rFonts w:cs="Calibri"/>
          <w:sz w:val="28"/>
          <w:szCs w:val="28"/>
        </w:rPr>
        <w:t>at degree level, and it has good rates of degree completion</w:t>
      </w:r>
      <w:r w:rsidR="00D67DE5">
        <w:rPr>
          <w:rFonts w:cs="Calibri"/>
          <w:sz w:val="28"/>
          <w:szCs w:val="28"/>
        </w:rPr>
        <w:t>. B</w:t>
      </w:r>
      <w:r>
        <w:rPr>
          <w:rFonts w:cs="Calibri"/>
          <w:sz w:val="28"/>
          <w:szCs w:val="28"/>
        </w:rPr>
        <w:t xml:space="preserve">ut it is </w:t>
      </w:r>
      <w:r w:rsidR="007B211D">
        <w:rPr>
          <w:rFonts w:cs="Calibri"/>
          <w:sz w:val="28"/>
          <w:szCs w:val="28"/>
        </w:rPr>
        <w:t xml:space="preserve">sharply </w:t>
      </w:r>
      <w:r>
        <w:rPr>
          <w:rFonts w:cs="Calibri"/>
          <w:sz w:val="28"/>
          <w:szCs w:val="28"/>
        </w:rPr>
        <w:t xml:space="preserve">polarised between </w:t>
      </w:r>
      <w:r w:rsidR="007B211D">
        <w:rPr>
          <w:rFonts w:cs="Calibri"/>
          <w:sz w:val="28"/>
          <w:szCs w:val="28"/>
        </w:rPr>
        <w:t xml:space="preserve">degree-level </w:t>
      </w:r>
      <w:r w:rsidR="00D67DE5">
        <w:rPr>
          <w:rFonts w:cs="Calibri"/>
          <w:sz w:val="28"/>
          <w:szCs w:val="28"/>
        </w:rPr>
        <w:t>graduate</w:t>
      </w:r>
      <w:r w:rsidR="007B211D">
        <w:rPr>
          <w:rFonts w:cs="Calibri"/>
          <w:sz w:val="28"/>
          <w:szCs w:val="28"/>
        </w:rPr>
        <w:t xml:space="preserve">s and the many young people who do not reach tertiary </w:t>
      </w:r>
      <w:r w:rsidR="002E1A35">
        <w:rPr>
          <w:rFonts w:cs="Calibri"/>
          <w:sz w:val="28"/>
          <w:szCs w:val="28"/>
        </w:rPr>
        <w:t>education</w:t>
      </w:r>
      <w:r w:rsidR="007B211D">
        <w:rPr>
          <w:rFonts w:cs="Calibri"/>
          <w:sz w:val="28"/>
          <w:szCs w:val="28"/>
        </w:rPr>
        <w:t xml:space="preserve"> at all. The £9000 fee regime has cut part-time enrolments, which has not helped, and the poor resourcing and standing of Further Education also reduces participation. </w:t>
      </w:r>
    </w:p>
    <w:p w14:paraId="65A8FE32" w14:textId="77777777" w:rsidR="00DB1322" w:rsidRDefault="00DB1322" w:rsidP="00F76E4D">
      <w:pPr>
        <w:rPr>
          <w:rFonts w:cs="Calibri"/>
          <w:sz w:val="28"/>
          <w:szCs w:val="28"/>
        </w:rPr>
      </w:pPr>
    </w:p>
    <w:p w14:paraId="4D79F545" w14:textId="2E7B95D5" w:rsidR="002577DF" w:rsidRDefault="002577DF" w:rsidP="00F76E4D">
      <w:pPr>
        <w:rPr>
          <w:rFonts w:cs="Calibri"/>
          <w:sz w:val="28"/>
          <w:szCs w:val="28"/>
        </w:rPr>
      </w:pPr>
      <w:r w:rsidRPr="002577DF">
        <w:rPr>
          <w:rFonts w:cs="Calibri"/>
          <w:b/>
          <w:bCs/>
          <w:i/>
          <w:iCs/>
          <w:sz w:val="28"/>
          <w:szCs w:val="28"/>
        </w:rPr>
        <w:t>Effect of international students on rate of entry into degree programmes by age 25</w:t>
      </w:r>
    </w:p>
    <w:p w14:paraId="0FE14EA4" w14:textId="063A67BC" w:rsidR="002577DF" w:rsidRDefault="002577DF" w:rsidP="00F76E4D">
      <w:pPr>
        <w:widowControl w:val="0"/>
        <w:autoSpaceDE w:val="0"/>
        <w:autoSpaceDN w:val="0"/>
        <w:adjustRightInd w:val="0"/>
        <w:rPr>
          <w:rFonts w:cs="Consolas"/>
          <w:sz w:val="28"/>
          <w:szCs w:val="28"/>
        </w:rPr>
      </w:pPr>
      <w:r>
        <w:rPr>
          <w:rFonts w:cs="Consolas"/>
          <w:sz w:val="28"/>
          <w:szCs w:val="28"/>
        </w:rPr>
        <w:t xml:space="preserve">The </w:t>
      </w:r>
      <w:r w:rsidR="007B211D">
        <w:rPr>
          <w:rFonts w:cs="Consolas"/>
          <w:sz w:val="28"/>
          <w:szCs w:val="28"/>
        </w:rPr>
        <w:t xml:space="preserve">UK </w:t>
      </w:r>
      <w:r>
        <w:rPr>
          <w:rFonts w:cs="Consolas"/>
          <w:sz w:val="28"/>
          <w:szCs w:val="28"/>
        </w:rPr>
        <w:t xml:space="preserve">position is a bit worse than Clancy’s index suggests. This is because international students artificially boost the UK’s apparent rate of participation in tertiary education. The graph compares entry into degree programmes by age 25, across the OECD countries. </w:t>
      </w:r>
      <w:r w:rsidR="002E1A35">
        <w:rPr>
          <w:rFonts w:cs="Consolas"/>
          <w:sz w:val="28"/>
          <w:szCs w:val="28"/>
        </w:rPr>
        <w:t>As I’ve said, t</w:t>
      </w:r>
      <w:r w:rsidR="0049589E">
        <w:rPr>
          <w:rFonts w:cs="Consolas"/>
          <w:sz w:val="28"/>
          <w:szCs w:val="28"/>
        </w:rPr>
        <w:t xml:space="preserve">he UK performs better in degree level participation than non-degree tertiary. </w:t>
      </w:r>
      <w:r>
        <w:rPr>
          <w:rFonts w:cs="Consolas"/>
          <w:sz w:val="28"/>
          <w:szCs w:val="28"/>
        </w:rPr>
        <w:t>If international students are included the UK comes equal sixt</w:t>
      </w:r>
      <w:r w:rsidR="002E1A35">
        <w:rPr>
          <w:rFonts w:cs="Consolas"/>
          <w:sz w:val="28"/>
          <w:szCs w:val="28"/>
        </w:rPr>
        <w:t>h in the OECD. But i</w:t>
      </w:r>
      <w:r>
        <w:rPr>
          <w:rFonts w:cs="Consolas"/>
          <w:sz w:val="28"/>
          <w:szCs w:val="28"/>
        </w:rPr>
        <w:t>f international students are excluded and only domestic students are taken into account</w:t>
      </w:r>
      <w:r w:rsidR="007B211D">
        <w:rPr>
          <w:rFonts w:cs="Consolas"/>
          <w:sz w:val="28"/>
          <w:szCs w:val="28"/>
        </w:rPr>
        <w:t>,</w:t>
      </w:r>
      <w:r>
        <w:rPr>
          <w:rFonts w:cs="Consolas"/>
          <w:sz w:val="28"/>
          <w:szCs w:val="28"/>
        </w:rPr>
        <w:t xml:space="preserve"> the UK falls back to 15</w:t>
      </w:r>
      <w:r w:rsidRPr="002577DF">
        <w:rPr>
          <w:rFonts w:cs="Consolas"/>
          <w:sz w:val="28"/>
          <w:szCs w:val="28"/>
          <w:vertAlign w:val="superscript"/>
        </w:rPr>
        <w:t>th</w:t>
      </w:r>
      <w:r>
        <w:rPr>
          <w:rFonts w:cs="Consolas"/>
          <w:sz w:val="28"/>
          <w:szCs w:val="28"/>
        </w:rPr>
        <w:t xml:space="preserve"> out of the 18 countries for which we have data. </w:t>
      </w:r>
      <w:r>
        <w:rPr>
          <w:rFonts w:cs="Calibri"/>
          <w:sz w:val="28"/>
          <w:szCs w:val="28"/>
        </w:rPr>
        <w:t xml:space="preserve">Again, we see that </w:t>
      </w:r>
      <w:r w:rsidR="002E1A35">
        <w:rPr>
          <w:rFonts w:cs="Calibri"/>
          <w:sz w:val="28"/>
          <w:szCs w:val="28"/>
        </w:rPr>
        <w:t xml:space="preserve">although </w:t>
      </w:r>
      <w:r>
        <w:rPr>
          <w:rFonts w:cs="Calibri"/>
          <w:sz w:val="28"/>
          <w:szCs w:val="28"/>
        </w:rPr>
        <w:t>world participation is growing rapidly</w:t>
      </w:r>
      <w:r w:rsidR="002E1A35">
        <w:rPr>
          <w:rFonts w:cs="Calibri"/>
          <w:sz w:val="28"/>
          <w:szCs w:val="28"/>
        </w:rPr>
        <w:t>,</w:t>
      </w:r>
      <w:r>
        <w:rPr>
          <w:rFonts w:cs="Calibri"/>
          <w:sz w:val="28"/>
          <w:szCs w:val="28"/>
        </w:rPr>
        <w:t xml:space="preserve"> the UK lag</w:t>
      </w:r>
      <w:r w:rsidR="002E1A35">
        <w:rPr>
          <w:rFonts w:cs="Calibri"/>
          <w:sz w:val="28"/>
          <w:szCs w:val="28"/>
        </w:rPr>
        <w:t>s</w:t>
      </w:r>
      <w:r>
        <w:rPr>
          <w:rFonts w:cs="Calibri"/>
          <w:sz w:val="28"/>
          <w:szCs w:val="28"/>
        </w:rPr>
        <w:t xml:space="preserve"> behind.</w:t>
      </w:r>
    </w:p>
    <w:p w14:paraId="0A80C0FD" w14:textId="3B75BDE0" w:rsidR="002577DF" w:rsidRDefault="002E1A35" w:rsidP="00F76E4D">
      <w:pPr>
        <w:widowControl w:val="0"/>
        <w:autoSpaceDE w:val="0"/>
        <w:autoSpaceDN w:val="0"/>
        <w:adjustRightInd w:val="0"/>
        <w:rPr>
          <w:rFonts w:cs="Consolas"/>
          <w:sz w:val="28"/>
          <w:szCs w:val="28"/>
        </w:rPr>
      </w:pPr>
      <w:r>
        <w:rPr>
          <w:rFonts w:cs="Consolas"/>
          <w:sz w:val="28"/>
          <w:szCs w:val="28"/>
        </w:rPr>
        <w:tab/>
        <w:t xml:space="preserve">All the same, we should remember that the long-term trend in UK is </w:t>
      </w:r>
      <w:r>
        <w:rPr>
          <w:rFonts w:cs="Consolas"/>
          <w:sz w:val="28"/>
          <w:szCs w:val="28"/>
        </w:rPr>
        <w:lastRenderedPageBreak/>
        <w:t>broadly similar to elsewhere—massive growth of participation and credentials. Student participation in the UK is double the level it was a generation ago.</w:t>
      </w:r>
    </w:p>
    <w:p w14:paraId="2F2E452E" w14:textId="77777777" w:rsidR="002E1A35" w:rsidRPr="00A73D76" w:rsidRDefault="002E1A35" w:rsidP="00F76E4D">
      <w:pPr>
        <w:widowControl w:val="0"/>
        <w:autoSpaceDE w:val="0"/>
        <w:autoSpaceDN w:val="0"/>
        <w:adjustRightInd w:val="0"/>
        <w:rPr>
          <w:rFonts w:cs="Consolas"/>
          <w:sz w:val="28"/>
          <w:szCs w:val="28"/>
        </w:rPr>
      </w:pPr>
    </w:p>
    <w:p w14:paraId="119C19E5" w14:textId="24CB072D" w:rsidR="00E60D50" w:rsidRPr="00C80FE9" w:rsidRDefault="00C80FE9" w:rsidP="00F76E4D">
      <w:pPr>
        <w:widowControl w:val="0"/>
        <w:autoSpaceDE w:val="0"/>
        <w:autoSpaceDN w:val="0"/>
        <w:adjustRightInd w:val="0"/>
        <w:rPr>
          <w:rFonts w:cs="Consolas"/>
          <w:b/>
          <w:i/>
          <w:sz w:val="28"/>
          <w:szCs w:val="28"/>
        </w:rPr>
      </w:pPr>
      <w:r w:rsidRPr="00C80FE9">
        <w:rPr>
          <w:rFonts w:cs="Consolas"/>
          <w:b/>
          <w:i/>
          <w:sz w:val="28"/>
          <w:szCs w:val="28"/>
        </w:rPr>
        <w:t>What is driving the growth of tertiary and higher education?</w:t>
      </w:r>
    </w:p>
    <w:p w14:paraId="2C9A0FEE" w14:textId="14C8CA05" w:rsidR="00E60D50" w:rsidRDefault="007311BE" w:rsidP="00F76E4D">
      <w:pPr>
        <w:widowControl w:val="0"/>
        <w:autoSpaceDE w:val="0"/>
        <w:autoSpaceDN w:val="0"/>
        <w:adjustRightInd w:val="0"/>
        <w:rPr>
          <w:rFonts w:cs="Consolas"/>
          <w:sz w:val="28"/>
          <w:szCs w:val="28"/>
        </w:rPr>
      </w:pPr>
      <w:r>
        <w:rPr>
          <w:rFonts w:cs="Consolas"/>
          <w:sz w:val="28"/>
          <w:szCs w:val="28"/>
        </w:rPr>
        <w:t>My second theme this eve</w:t>
      </w:r>
      <w:r w:rsidR="00AF50E3">
        <w:rPr>
          <w:rFonts w:cs="Consolas"/>
          <w:sz w:val="28"/>
          <w:szCs w:val="28"/>
        </w:rPr>
        <w:t>n</w:t>
      </w:r>
      <w:r>
        <w:rPr>
          <w:rFonts w:cs="Consolas"/>
          <w:sz w:val="28"/>
          <w:szCs w:val="28"/>
        </w:rPr>
        <w:t xml:space="preserve">ing </w:t>
      </w:r>
      <w:r w:rsidR="006525AC">
        <w:rPr>
          <w:rFonts w:cs="Consolas"/>
          <w:sz w:val="28"/>
          <w:szCs w:val="28"/>
        </w:rPr>
        <w:t xml:space="preserve">is the explanation. What is driving </w:t>
      </w:r>
      <w:r w:rsidR="00BF10AA">
        <w:rPr>
          <w:rFonts w:cs="Consolas"/>
          <w:sz w:val="28"/>
          <w:szCs w:val="28"/>
        </w:rPr>
        <w:t xml:space="preserve">that </w:t>
      </w:r>
      <w:r w:rsidR="006525AC">
        <w:rPr>
          <w:rFonts w:cs="Consolas"/>
          <w:sz w:val="28"/>
          <w:szCs w:val="28"/>
        </w:rPr>
        <w:t>growth?</w:t>
      </w:r>
      <w:r w:rsidR="00AF50E3">
        <w:rPr>
          <w:rFonts w:cs="Consolas"/>
          <w:sz w:val="28"/>
          <w:szCs w:val="28"/>
        </w:rPr>
        <w:t xml:space="preserve"> Some might say ‘the economy’. If so it must be a pretty dynamic economy, </w:t>
      </w:r>
      <w:r w:rsidR="00BF10AA">
        <w:rPr>
          <w:rFonts w:cs="Consolas"/>
          <w:sz w:val="28"/>
          <w:szCs w:val="28"/>
        </w:rPr>
        <w:t xml:space="preserve">all over the world, </w:t>
      </w:r>
      <w:r w:rsidR="00AF50E3">
        <w:rPr>
          <w:rFonts w:cs="Consolas"/>
          <w:sz w:val="28"/>
          <w:szCs w:val="28"/>
        </w:rPr>
        <w:t xml:space="preserve">that </w:t>
      </w:r>
      <w:r w:rsidR="006525AC">
        <w:rPr>
          <w:rFonts w:cs="Consolas"/>
          <w:sz w:val="28"/>
          <w:szCs w:val="28"/>
        </w:rPr>
        <w:t>suddenly</w:t>
      </w:r>
      <w:r w:rsidR="00AF50E3">
        <w:rPr>
          <w:rFonts w:cs="Consolas"/>
          <w:sz w:val="28"/>
          <w:szCs w:val="28"/>
        </w:rPr>
        <w:t xml:space="preserve"> doubled participation in two decades. Some might say ‘government’. But why should government be this generous when it can’t maintain funding for the NHS which is more popular than education? And </w:t>
      </w:r>
      <w:r w:rsidR="006525AC">
        <w:rPr>
          <w:rFonts w:cs="Consolas"/>
          <w:sz w:val="28"/>
          <w:szCs w:val="28"/>
        </w:rPr>
        <w:t xml:space="preserve">why </w:t>
      </w:r>
      <w:r w:rsidR="00BF10AA">
        <w:rPr>
          <w:rFonts w:cs="Consolas"/>
          <w:sz w:val="28"/>
          <w:szCs w:val="28"/>
        </w:rPr>
        <w:t>did</w:t>
      </w:r>
      <w:r w:rsidR="00AF50E3">
        <w:rPr>
          <w:rFonts w:cs="Consolas"/>
          <w:sz w:val="28"/>
          <w:szCs w:val="28"/>
        </w:rPr>
        <w:t xml:space="preserve"> all governments go for growth </w:t>
      </w:r>
      <w:r w:rsidR="006525AC">
        <w:rPr>
          <w:rFonts w:cs="Consolas"/>
          <w:sz w:val="28"/>
          <w:szCs w:val="28"/>
        </w:rPr>
        <w:t>together</w:t>
      </w:r>
      <w:r w:rsidR="00AF50E3">
        <w:rPr>
          <w:rFonts w:cs="Consolas"/>
          <w:sz w:val="28"/>
          <w:szCs w:val="28"/>
        </w:rPr>
        <w:t>? Clearly there</w:t>
      </w:r>
      <w:r w:rsidR="00BF10AA">
        <w:rPr>
          <w:rFonts w:cs="Consolas"/>
          <w:sz w:val="28"/>
          <w:szCs w:val="28"/>
        </w:rPr>
        <w:t>’s</w:t>
      </w:r>
      <w:r w:rsidR="00AF50E3">
        <w:rPr>
          <w:rFonts w:cs="Consolas"/>
          <w:sz w:val="28"/>
          <w:szCs w:val="28"/>
        </w:rPr>
        <w:t xml:space="preserve"> more to it. </w:t>
      </w:r>
    </w:p>
    <w:p w14:paraId="43881315" w14:textId="77777777" w:rsidR="00AF50E3" w:rsidRDefault="00AF50E3" w:rsidP="00F76E4D">
      <w:pPr>
        <w:widowControl w:val="0"/>
        <w:autoSpaceDE w:val="0"/>
        <w:autoSpaceDN w:val="0"/>
        <w:adjustRightInd w:val="0"/>
        <w:rPr>
          <w:rFonts w:cs="Consolas"/>
          <w:sz w:val="28"/>
          <w:szCs w:val="28"/>
        </w:rPr>
      </w:pPr>
    </w:p>
    <w:p w14:paraId="3561ECCA" w14:textId="77777777" w:rsidR="00E25423" w:rsidRPr="00E25423" w:rsidRDefault="00E25423" w:rsidP="00F76E4D">
      <w:pPr>
        <w:widowControl w:val="0"/>
        <w:autoSpaceDE w:val="0"/>
        <w:autoSpaceDN w:val="0"/>
        <w:adjustRightInd w:val="0"/>
        <w:rPr>
          <w:rFonts w:cs="Calibri"/>
          <w:b/>
          <w:i/>
          <w:sz w:val="28"/>
          <w:szCs w:val="28"/>
        </w:rPr>
      </w:pPr>
      <w:r w:rsidRPr="00E25423">
        <w:rPr>
          <w:rFonts w:cs="Calibri"/>
          <w:b/>
          <w:i/>
          <w:sz w:val="28"/>
          <w:szCs w:val="28"/>
        </w:rPr>
        <w:t>The spread of higher education through the workforce</w:t>
      </w:r>
    </w:p>
    <w:p w14:paraId="26422B87" w14:textId="08C5CC04" w:rsidR="00A46C98" w:rsidRDefault="006525AC" w:rsidP="00F76E4D">
      <w:pPr>
        <w:widowControl w:val="0"/>
        <w:autoSpaceDE w:val="0"/>
        <w:autoSpaceDN w:val="0"/>
        <w:adjustRightInd w:val="0"/>
        <w:rPr>
          <w:rFonts w:cs="Calibri"/>
          <w:sz w:val="28"/>
          <w:szCs w:val="28"/>
        </w:rPr>
      </w:pPr>
      <w:r w:rsidRPr="00A73D76">
        <w:rPr>
          <w:rFonts w:cs="Calibri"/>
          <w:sz w:val="28"/>
          <w:szCs w:val="28"/>
        </w:rPr>
        <w:t>In 1973</w:t>
      </w:r>
      <w:r w:rsidR="00BF10AA">
        <w:rPr>
          <w:rFonts w:cs="Calibri"/>
          <w:sz w:val="28"/>
          <w:szCs w:val="28"/>
        </w:rPr>
        <w:t>,</w:t>
      </w:r>
      <w:r w:rsidRPr="00A73D76">
        <w:rPr>
          <w:rFonts w:cs="Calibri"/>
          <w:sz w:val="28"/>
          <w:szCs w:val="28"/>
        </w:rPr>
        <w:t xml:space="preserve"> Berkeley sociologist Martin Trow published </w:t>
      </w:r>
      <w:r w:rsidRPr="00A73D76">
        <w:rPr>
          <w:rFonts w:cs="Calibri"/>
          <w:i/>
          <w:sz w:val="28"/>
          <w:szCs w:val="28"/>
        </w:rPr>
        <w:t>Problems in the Transition from Elite to Mass Higher Education</w:t>
      </w:r>
      <w:r w:rsidRPr="00A73D76">
        <w:rPr>
          <w:rFonts w:cs="Calibri"/>
          <w:sz w:val="28"/>
          <w:szCs w:val="28"/>
        </w:rPr>
        <w:t>. Trow stated that when higher education expands from an ‘elite’ system to a ‘mass’ system educating at least 15 per cent of the youth cohort, and then to a ‘universal’ system at 50 per cent,</w:t>
      </w:r>
      <w:r w:rsidR="00BF10AA">
        <w:rPr>
          <w:rFonts w:cs="Calibri"/>
          <w:sz w:val="28"/>
          <w:szCs w:val="28"/>
        </w:rPr>
        <w:t xml:space="preserve"> the education changes</w:t>
      </w:r>
      <w:r w:rsidRPr="00A73D76">
        <w:rPr>
          <w:rFonts w:cs="Calibri"/>
          <w:sz w:val="28"/>
          <w:szCs w:val="28"/>
        </w:rPr>
        <w:t xml:space="preserve">. </w:t>
      </w:r>
      <w:r w:rsidR="00BF10AA">
        <w:rPr>
          <w:rFonts w:cs="Calibri"/>
          <w:sz w:val="28"/>
          <w:szCs w:val="28"/>
        </w:rPr>
        <w:t>T</w:t>
      </w:r>
      <w:r w:rsidRPr="00A73D76">
        <w:rPr>
          <w:rFonts w:cs="Calibri"/>
          <w:sz w:val="28"/>
          <w:szCs w:val="28"/>
        </w:rPr>
        <w:t>he purpose of higher education</w:t>
      </w:r>
      <w:r w:rsidR="00A46C98">
        <w:rPr>
          <w:rFonts w:cs="Calibri"/>
          <w:sz w:val="28"/>
          <w:szCs w:val="28"/>
        </w:rPr>
        <w:t>—which in the US includes two year programmes, equivalent to ‘tertiary’ elsewhere—</w:t>
      </w:r>
      <w:r w:rsidRPr="00A73D76">
        <w:rPr>
          <w:rFonts w:cs="Calibri"/>
          <w:sz w:val="28"/>
          <w:szCs w:val="28"/>
        </w:rPr>
        <w:t>shifts from ‘shaping the mind and character of the ruling class’ (</w:t>
      </w:r>
      <w:r w:rsidR="00BF10AA">
        <w:rPr>
          <w:rFonts w:cs="Calibri"/>
          <w:sz w:val="28"/>
          <w:szCs w:val="28"/>
        </w:rPr>
        <w:t xml:space="preserve">at </w:t>
      </w:r>
      <w:r w:rsidRPr="00A73D76">
        <w:rPr>
          <w:rFonts w:cs="Calibri"/>
          <w:sz w:val="28"/>
          <w:szCs w:val="28"/>
        </w:rPr>
        <w:t>elite</w:t>
      </w:r>
      <w:r w:rsidR="00BF10AA">
        <w:rPr>
          <w:rFonts w:cs="Calibri"/>
          <w:sz w:val="28"/>
          <w:szCs w:val="28"/>
        </w:rPr>
        <w:t xml:space="preserve"> stage</w:t>
      </w:r>
      <w:r w:rsidRPr="00A73D76">
        <w:rPr>
          <w:rFonts w:cs="Calibri"/>
          <w:sz w:val="28"/>
          <w:szCs w:val="28"/>
        </w:rPr>
        <w:t>), to preparing a larger group in professional and technical skills (</w:t>
      </w:r>
      <w:r w:rsidR="008F6A12">
        <w:rPr>
          <w:rFonts w:cs="Calibri"/>
          <w:sz w:val="28"/>
          <w:szCs w:val="28"/>
        </w:rPr>
        <w:t xml:space="preserve">at </w:t>
      </w:r>
      <w:r w:rsidR="00BF10AA">
        <w:rPr>
          <w:rFonts w:cs="Calibri"/>
          <w:sz w:val="28"/>
          <w:szCs w:val="28"/>
        </w:rPr>
        <w:t xml:space="preserve">the </w:t>
      </w:r>
      <w:r w:rsidRPr="00A73D76">
        <w:rPr>
          <w:rFonts w:cs="Calibri"/>
          <w:sz w:val="28"/>
          <w:szCs w:val="28"/>
        </w:rPr>
        <w:t>mass</w:t>
      </w:r>
      <w:r w:rsidR="00BF10AA">
        <w:rPr>
          <w:rFonts w:cs="Calibri"/>
          <w:sz w:val="28"/>
          <w:szCs w:val="28"/>
        </w:rPr>
        <w:t xml:space="preserve"> stage</w:t>
      </w:r>
      <w:r w:rsidRPr="00A73D76">
        <w:rPr>
          <w:rFonts w:cs="Calibri"/>
          <w:sz w:val="28"/>
          <w:szCs w:val="28"/>
        </w:rPr>
        <w:t>), to preparing the whole population in ‘adaptability’ to social and technological change (</w:t>
      </w:r>
      <w:r w:rsidR="008F6A12">
        <w:rPr>
          <w:rFonts w:cs="Calibri"/>
          <w:sz w:val="28"/>
          <w:szCs w:val="28"/>
        </w:rPr>
        <w:t xml:space="preserve">at </w:t>
      </w:r>
      <w:r w:rsidR="00BF10AA">
        <w:rPr>
          <w:rFonts w:cs="Calibri"/>
          <w:sz w:val="28"/>
          <w:szCs w:val="28"/>
        </w:rPr>
        <w:t xml:space="preserve">the </w:t>
      </w:r>
      <w:r w:rsidRPr="00A73D76">
        <w:rPr>
          <w:rFonts w:cs="Calibri"/>
          <w:sz w:val="28"/>
          <w:szCs w:val="28"/>
        </w:rPr>
        <w:t>universal</w:t>
      </w:r>
      <w:r w:rsidR="00BF10AA">
        <w:rPr>
          <w:rFonts w:cs="Calibri"/>
          <w:sz w:val="28"/>
          <w:szCs w:val="28"/>
        </w:rPr>
        <w:t xml:space="preserve"> stage</w:t>
      </w:r>
      <w:r w:rsidRPr="00A73D76">
        <w:rPr>
          <w:rFonts w:cs="Calibri"/>
          <w:sz w:val="28"/>
          <w:szCs w:val="28"/>
        </w:rPr>
        <w:t>). Access shifts from a privilege, to a right, to an ‘obligation’</w:t>
      </w:r>
      <w:r w:rsidR="00A46C98">
        <w:rPr>
          <w:rFonts w:cs="Calibri"/>
          <w:sz w:val="28"/>
          <w:szCs w:val="28"/>
        </w:rPr>
        <w:t>,</w:t>
      </w:r>
      <w:r w:rsidRPr="00A73D76">
        <w:rPr>
          <w:rFonts w:cs="Calibri"/>
          <w:sz w:val="28"/>
          <w:szCs w:val="28"/>
        </w:rPr>
        <w:t xml:space="preserve"> </w:t>
      </w:r>
      <w:r w:rsidR="00BF10AA">
        <w:rPr>
          <w:rFonts w:cs="Calibri"/>
          <w:sz w:val="28"/>
          <w:szCs w:val="28"/>
        </w:rPr>
        <w:t>at least</w:t>
      </w:r>
      <w:r w:rsidRPr="00A73D76">
        <w:rPr>
          <w:rFonts w:cs="Calibri"/>
          <w:sz w:val="28"/>
          <w:szCs w:val="28"/>
        </w:rPr>
        <w:t xml:space="preserve"> for </w:t>
      </w:r>
      <w:r w:rsidR="00A46C98">
        <w:rPr>
          <w:rFonts w:cs="Calibri"/>
          <w:sz w:val="28"/>
          <w:szCs w:val="28"/>
        </w:rPr>
        <w:t xml:space="preserve">the </w:t>
      </w:r>
      <w:r w:rsidRPr="00A73D76">
        <w:rPr>
          <w:rFonts w:cs="Calibri"/>
          <w:sz w:val="28"/>
          <w:szCs w:val="28"/>
        </w:rPr>
        <w:t>middle class</w:t>
      </w:r>
      <w:r w:rsidR="00A46C98">
        <w:rPr>
          <w:rFonts w:cs="Calibri"/>
          <w:sz w:val="28"/>
          <w:szCs w:val="28"/>
        </w:rPr>
        <w:t xml:space="preserve">. </w:t>
      </w:r>
      <w:r w:rsidR="00A46C98" w:rsidRPr="00A73D76">
        <w:rPr>
          <w:rFonts w:cs="Calibri"/>
          <w:sz w:val="28"/>
          <w:szCs w:val="28"/>
        </w:rPr>
        <w:t>As more people enter higher education, it becomes ‘a symbol of rising social status’ (p. 41).</w:t>
      </w:r>
      <w:r w:rsidR="00A46C98">
        <w:rPr>
          <w:rFonts w:cs="Calibri"/>
          <w:sz w:val="28"/>
          <w:szCs w:val="28"/>
        </w:rPr>
        <w:t xml:space="preserve"> Young people that stay out, he said, must pay a penalty—less job options, less social status, less personal agency</w:t>
      </w:r>
      <w:r w:rsidR="00A46C98" w:rsidRPr="00A73D76">
        <w:rPr>
          <w:rFonts w:cs="Calibri"/>
          <w:sz w:val="28"/>
          <w:szCs w:val="28"/>
        </w:rPr>
        <w:t>.</w:t>
      </w:r>
    </w:p>
    <w:p w14:paraId="539C47C9" w14:textId="1FCEED5A" w:rsidR="00A46C98" w:rsidRDefault="00A46C98" w:rsidP="00F76E4D">
      <w:pPr>
        <w:widowControl w:val="0"/>
        <w:autoSpaceDE w:val="0"/>
        <w:autoSpaceDN w:val="0"/>
        <w:adjustRightInd w:val="0"/>
        <w:ind w:firstLine="454"/>
        <w:rPr>
          <w:rFonts w:cs="Calibri"/>
          <w:sz w:val="28"/>
          <w:szCs w:val="28"/>
        </w:rPr>
      </w:pPr>
      <w:r w:rsidRPr="00A73D76">
        <w:rPr>
          <w:rFonts w:cs="Calibri"/>
          <w:sz w:val="28"/>
          <w:szCs w:val="28"/>
        </w:rPr>
        <w:t xml:space="preserve">Despite ‘loose talk about graduate unemployment or of an oversupply’, argued Trow, ‘people who have gone on to higher education thereby increase their chances for having more secure, more interesting, and better paid work throughout their lives.’ </w:t>
      </w:r>
      <w:r>
        <w:rPr>
          <w:rFonts w:cs="Calibri"/>
          <w:sz w:val="28"/>
          <w:szCs w:val="28"/>
        </w:rPr>
        <w:t>G</w:t>
      </w:r>
      <w:r w:rsidRPr="00A73D76">
        <w:rPr>
          <w:rFonts w:cs="Calibri"/>
          <w:sz w:val="28"/>
          <w:szCs w:val="28"/>
        </w:rPr>
        <w:t xml:space="preserve">raduate unemployment was not </w:t>
      </w:r>
      <w:r w:rsidR="00CF58D4">
        <w:rPr>
          <w:rFonts w:cs="Calibri"/>
          <w:sz w:val="28"/>
          <w:szCs w:val="28"/>
        </w:rPr>
        <w:t>the</w:t>
      </w:r>
      <w:r w:rsidRPr="00A73D76">
        <w:rPr>
          <w:rFonts w:cs="Calibri"/>
          <w:sz w:val="28"/>
          <w:szCs w:val="28"/>
        </w:rPr>
        <w:t xml:space="preserve"> problem </w:t>
      </w:r>
      <w:r w:rsidR="00CF58D4">
        <w:rPr>
          <w:rFonts w:cs="Calibri"/>
          <w:sz w:val="28"/>
          <w:szCs w:val="28"/>
        </w:rPr>
        <w:t xml:space="preserve">many thought it was </w:t>
      </w:r>
      <w:r w:rsidRPr="00A73D76">
        <w:rPr>
          <w:rFonts w:cs="Calibri"/>
          <w:sz w:val="28"/>
          <w:szCs w:val="28"/>
        </w:rPr>
        <w:t>because of the ‘educational inflation of occupations’. Graduate jobs are not fixed</w:t>
      </w:r>
      <w:r>
        <w:rPr>
          <w:rFonts w:cs="Calibri"/>
          <w:sz w:val="28"/>
          <w:szCs w:val="28"/>
        </w:rPr>
        <w:t xml:space="preserve">, </w:t>
      </w:r>
      <w:r w:rsidRPr="00A73D76">
        <w:rPr>
          <w:rFonts w:cs="Calibri"/>
          <w:sz w:val="28"/>
          <w:szCs w:val="28"/>
        </w:rPr>
        <w:t xml:space="preserve">but move down the occupational scale. As the number of graduates grows, they displace those without </w:t>
      </w:r>
      <w:r>
        <w:rPr>
          <w:rFonts w:cs="Calibri"/>
          <w:sz w:val="28"/>
          <w:szCs w:val="28"/>
        </w:rPr>
        <w:t>qualifications</w:t>
      </w:r>
      <w:r w:rsidRPr="00A73D76">
        <w:rPr>
          <w:rFonts w:cs="Calibri"/>
          <w:sz w:val="28"/>
          <w:szCs w:val="28"/>
        </w:rPr>
        <w:t>, some using their educated capabilities to enrich the jobs. ‘What mass higher education does is to break the old rigid connection between education and the occupational structure’ that prevents graduates from taking non-graduate jobs, he said.</w:t>
      </w:r>
    </w:p>
    <w:p w14:paraId="5247D61F" w14:textId="77777777" w:rsidR="00E25423" w:rsidRDefault="00E25423" w:rsidP="00F76E4D">
      <w:pPr>
        <w:widowControl w:val="0"/>
        <w:autoSpaceDE w:val="0"/>
        <w:autoSpaceDN w:val="0"/>
        <w:adjustRightInd w:val="0"/>
        <w:rPr>
          <w:rFonts w:cs="Calibri"/>
          <w:sz w:val="28"/>
          <w:szCs w:val="28"/>
        </w:rPr>
      </w:pPr>
    </w:p>
    <w:p w14:paraId="28EE4AAA" w14:textId="52F054DC" w:rsidR="00E25423" w:rsidRDefault="00E25423" w:rsidP="00F76E4D">
      <w:pPr>
        <w:widowControl w:val="0"/>
        <w:autoSpaceDE w:val="0"/>
        <w:autoSpaceDN w:val="0"/>
        <w:adjustRightInd w:val="0"/>
        <w:rPr>
          <w:rFonts w:cs="Consolas"/>
          <w:sz w:val="28"/>
          <w:szCs w:val="28"/>
        </w:rPr>
      </w:pPr>
      <w:r w:rsidRPr="00BF10AA">
        <w:rPr>
          <w:rFonts w:cs="Consolas"/>
          <w:b/>
          <w:bCs/>
          <w:i/>
          <w:iCs/>
          <w:sz w:val="28"/>
          <w:szCs w:val="28"/>
        </w:rPr>
        <w:t>The dynamic</w:t>
      </w:r>
      <w:r w:rsidR="005C5B06">
        <w:rPr>
          <w:rFonts w:cs="Consolas"/>
          <w:b/>
          <w:bCs/>
          <w:i/>
          <w:iCs/>
          <w:sz w:val="28"/>
          <w:szCs w:val="28"/>
        </w:rPr>
        <w:t xml:space="preserve"> of open-ended growth</w:t>
      </w:r>
    </w:p>
    <w:p w14:paraId="0E7CEFDC" w14:textId="68F456A8" w:rsidR="00C8778F" w:rsidRDefault="00A46C98" w:rsidP="00F76E4D">
      <w:pPr>
        <w:widowControl w:val="0"/>
        <w:autoSpaceDE w:val="0"/>
        <w:autoSpaceDN w:val="0"/>
        <w:adjustRightInd w:val="0"/>
        <w:rPr>
          <w:rFonts w:cs="Calibri"/>
          <w:sz w:val="28"/>
          <w:szCs w:val="28"/>
        </w:rPr>
      </w:pPr>
      <w:r>
        <w:rPr>
          <w:rFonts w:cs="Calibri"/>
          <w:sz w:val="28"/>
          <w:szCs w:val="28"/>
        </w:rPr>
        <w:t>Hence</w:t>
      </w:r>
      <w:r w:rsidR="005C5B06">
        <w:rPr>
          <w:rFonts w:cs="Calibri"/>
          <w:sz w:val="28"/>
          <w:szCs w:val="28"/>
        </w:rPr>
        <w:t>,</w:t>
      </w:r>
      <w:r>
        <w:rPr>
          <w:rFonts w:cs="Calibri"/>
          <w:sz w:val="28"/>
          <w:szCs w:val="28"/>
        </w:rPr>
        <w:t xml:space="preserve"> according to Trow, t</w:t>
      </w:r>
      <w:r w:rsidR="006525AC" w:rsidRPr="00A73D76">
        <w:rPr>
          <w:rFonts w:cs="Calibri"/>
          <w:sz w:val="28"/>
          <w:szCs w:val="28"/>
        </w:rPr>
        <w:t xml:space="preserve">he </w:t>
      </w:r>
      <w:r>
        <w:rPr>
          <w:rFonts w:cs="Calibri"/>
          <w:sz w:val="28"/>
          <w:szCs w:val="28"/>
        </w:rPr>
        <w:t xml:space="preserve">ultimate </w:t>
      </w:r>
      <w:r w:rsidR="006525AC" w:rsidRPr="00A73D76">
        <w:rPr>
          <w:rFonts w:cs="Calibri"/>
          <w:sz w:val="28"/>
          <w:szCs w:val="28"/>
        </w:rPr>
        <w:t>motor</w:t>
      </w:r>
      <w:r>
        <w:rPr>
          <w:rFonts w:cs="Calibri"/>
          <w:sz w:val="28"/>
          <w:szCs w:val="28"/>
        </w:rPr>
        <w:t xml:space="preserve"> of growth</w:t>
      </w:r>
      <w:r w:rsidR="006525AC" w:rsidRPr="00A73D76">
        <w:rPr>
          <w:rFonts w:cs="Calibri"/>
          <w:sz w:val="28"/>
          <w:szCs w:val="28"/>
        </w:rPr>
        <w:t xml:space="preserve"> was </w:t>
      </w:r>
      <w:r>
        <w:rPr>
          <w:rFonts w:cs="Calibri"/>
          <w:sz w:val="28"/>
          <w:szCs w:val="28"/>
        </w:rPr>
        <w:t xml:space="preserve">not economic demand for graduates, or even government policy on enrolments. It was </w:t>
      </w:r>
      <w:r w:rsidR="006525AC" w:rsidRPr="00A73D76">
        <w:rPr>
          <w:rFonts w:cs="Calibri"/>
          <w:sz w:val="28"/>
          <w:szCs w:val="28"/>
        </w:rPr>
        <w:t xml:space="preserve">family aspirations to maintain and improve social position. This led Trow to two </w:t>
      </w:r>
      <w:r w:rsidR="006525AC" w:rsidRPr="00A73D76">
        <w:rPr>
          <w:rFonts w:cs="Calibri"/>
          <w:sz w:val="28"/>
          <w:szCs w:val="28"/>
        </w:rPr>
        <w:lastRenderedPageBreak/>
        <w:t xml:space="preserve">crucial insights. First, there </w:t>
      </w:r>
      <w:r>
        <w:rPr>
          <w:rFonts w:cs="Calibri"/>
          <w:sz w:val="28"/>
          <w:szCs w:val="28"/>
        </w:rPr>
        <w:t>i</w:t>
      </w:r>
      <w:r w:rsidR="006525AC" w:rsidRPr="00A73D76">
        <w:rPr>
          <w:rFonts w:cs="Calibri"/>
          <w:sz w:val="28"/>
          <w:szCs w:val="28"/>
        </w:rPr>
        <w:t xml:space="preserve">s no natural limit to aspirations for social betterment through education. It </w:t>
      </w:r>
      <w:r>
        <w:rPr>
          <w:rFonts w:cs="Calibri"/>
          <w:sz w:val="28"/>
          <w:szCs w:val="28"/>
        </w:rPr>
        <w:t>i</w:t>
      </w:r>
      <w:r w:rsidR="006525AC" w:rsidRPr="00A73D76">
        <w:rPr>
          <w:rFonts w:cs="Calibri"/>
          <w:sz w:val="28"/>
          <w:szCs w:val="28"/>
        </w:rPr>
        <w:t xml:space="preserve">s not subject to economic scarcity. </w:t>
      </w:r>
      <w:r w:rsidR="00CF58D4">
        <w:rPr>
          <w:rFonts w:cs="Calibri"/>
          <w:sz w:val="28"/>
          <w:szCs w:val="28"/>
        </w:rPr>
        <w:t>H</w:t>
      </w:r>
      <w:r w:rsidR="006525AC" w:rsidRPr="00A73D76">
        <w:rPr>
          <w:rFonts w:cs="Calibri"/>
          <w:sz w:val="28"/>
          <w:szCs w:val="28"/>
        </w:rPr>
        <w:t>igher education would just keep growing. There will be ‘continued popular demand for an increase in the number of places in colleges and universities’, he s</w:t>
      </w:r>
      <w:r w:rsidR="00C8778F">
        <w:rPr>
          <w:rFonts w:cs="Calibri"/>
          <w:sz w:val="28"/>
          <w:szCs w:val="28"/>
        </w:rPr>
        <w:t>ai</w:t>
      </w:r>
      <w:r w:rsidR="006525AC" w:rsidRPr="00A73D76">
        <w:rPr>
          <w:rFonts w:cs="Calibri"/>
          <w:sz w:val="28"/>
          <w:szCs w:val="28"/>
        </w:rPr>
        <w:t xml:space="preserve">d. ‘It seems to me very unlikely that any advanced industrial society can or will be able to stabilize the numbers’ (Trow, 1973, p. 40). </w:t>
      </w:r>
    </w:p>
    <w:p w14:paraId="3155CA3D" w14:textId="3D63F6B7" w:rsidR="00034277" w:rsidRDefault="00A46C98" w:rsidP="00F76E4D">
      <w:pPr>
        <w:widowControl w:val="0"/>
        <w:autoSpaceDE w:val="0"/>
        <w:autoSpaceDN w:val="0"/>
        <w:adjustRightInd w:val="0"/>
        <w:ind w:firstLine="454"/>
        <w:rPr>
          <w:rFonts w:cs="Calibri"/>
          <w:sz w:val="28"/>
          <w:szCs w:val="28"/>
        </w:rPr>
      </w:pPr>
      <w:r>
        <w:rPr>
          <w:rFonts w:cs="Calibri"/>
          <w:sz w:val="28"/>
          <w:szCs w:val="28"/>
        </w:rPr>
        <w:t xml:space="preserve">Second, </w:t>
      </w:r>
      <w:r w:rsidR="006525AC" w:rsidRPr="00A73D76">
        <w:rPr>
          <w:rFonts w:cs="Calibri"/>
          <w:sz w:val="28"/>
          <w:szCs w:val="28"/>
        </w:rPr>
        <w:t xml:space="preserve">once a mass </w:t>
      </w:r>
      <w:r>
        <w:rPr>
          <w:rFonts w:cs="Calibri"/>
          <w:sz w:val="28"/>
          <w:szCs w:val="28"/>
        </w:rPr>
        <w:t xml:space="preserve">tertiary education </w:t>
      </w:r>
      <w:r w:rsidR="006525AC" w:rsidRPr="00A73D76">
        <w:rPr>
          <w:rFonts w:cs="Calibri"/>
          <w:sz w:val="28"/>
          <w:szCs w:val="28"/>
        </w:rPr>
        <w:t>system ha</w:t>
      </w:r>
      <w:r>
        <w:rPr>
          <w:rFonts w:cs="Calibri"/>
          <w:sz w:val="28"/>
          <w:szCs w:val="28"/>
        </w:rPr>
        <w:t>s</w:t>
      </w:r>
      <w:r w:rsidR="006525AC" w:rsidRPr="00A73D76">
        <w:rPr>
          <w:rFonts w:cs="Calibri"/>
          <w:sz w:val="28"/>
          <w:szCs w:val="28"/>
        </w:rPr>
        <w:t xml:space="preserve"> been built, </w:t>
      </w:r>
      <w:r>
        <w:rPr>
          <w:rFonts w:cs="Calibri"/>
          <w:sz w:val="28"/>
          <w:szCs w:val="28"/>
        </w:rPr>
        <w:t xml:space="preserve">government </w:t>
      </w:r>
      <w:r w:rsidR="006525AC" w:rsidRPr="00A73D76">
        <w:rPr>
          <w:rFonts w:cs="Calibri"/>
          <w:sz w:val="28"/>
          <w:szCs w:val="28"/>
        </w:rPr>
        <w:t>policy follow</w:t>
      </w:r>
      <w:r>
        <w:rPr>
          <w:rFonts w:cs="Calibri"/>
          <w:sz w:val="28"/>
          <w:szCs w:val="28"/>
        </w:rPr>
        <w:t>s</w:t>
      </w:r>
      <w:r w:rsidR="006525AC" w:rsidRPr="00A73D76">
        <w:rPr>
          <w:rFonts w:cs="Calibri"/>
          <w:sz w:val="28"/>
          <w:szCs w:val="28"/>
        </w:rPr>
        <w:t xml:space="preserve"> social demand for higher education, not vice versa. </w:t>
      </w:r>
      <w:r w:rsidR="00CF58D4">
        <w:rPr>
          <w:rFonts w:cs="Calibri"/>
          <w:sz w:val="28"/>
          <w:szCs w:val="28"/>
        </w:rPr>
        <w:t xml:space="preserve">States are crucial </w:t>
      </w:r>
      <w:r>
        <w:rPr>
          <w:rFonts w:cs="Calibri"/>
          <w:sz w:val="28"/>
          <w:szCs w:val="28"/>
        </w:rPr>
        <w:t xml:space="preserve">in starting mass tertiary education, in providing the infrastructure, support funding for students, and training the staff. But once the </w:t>
      </w:r>
      <w:r w:rsidR="00034277">
        <w:rPr>
          <w:rFonts w:cs="Calibri"/>
          <w:sz w:val="28"/>
          <w:szCs w:val="28"/>
        </w:rPr>
        <w:t>system is established</w:t>
      </w:r>
      <w:r>
        <w:rPr>
          <w:rFonts w:cs="Calibri"/>
          <w:sz w:val="28"/>
          <w:szCs w:val="28"/>
        </w:rPr>
        <w:t xml:space="preserve"> growth feeds on itself. More and more families find they have to participate. </w:t>
      </w:r>
      <w:r w:rsidR="00C8778F" w:rsidRPr="00A73D76">
        <w:rPr>
          <w:rFonts w:cs="Calibri"/>
          <w:sz w:val="28"/>
          <w:szCs w:val="28"/>
        </w:rPr>
        <w:t>Trow observe</w:t>
      </w:r>
      <w:r w:rsidR="00C8778F">
        <w:rPr>
          <w:rFonts w:cs="Calibri"/>
          <w:sz w:val="28"/>
          <w:szCs w:val="28"/>
        </w:rPr>
        <w:t>d</w:t>
      </w:r>
      <w:r w:rsidR="00C8778F" w:rsidRPr="00A73D76">
        <w:rPr>
          <w:rFonts w:cs="Calibri"/>
          <w:sz w:val="28"/>
          <w:szCs w:val="28"/>
        </w:rPr>
        <w:t xml:space="preserve"> that the middle classes are</w:t>
      </w:r>
      <w:r w:rsidR="00CF58D4">
        <w:rPr>
          <w:rFonts w:cs="Calibri"/>
          <w:sz w:val="28"/>
          <w:szCs w:val="28"/>
        </w:rPr>
        <w:t xml:space="preserve"> usually</w:t>
      </w:r>
      <w:r w:rsidR="00C8778F" w:rsidRPr="00A73D76">
        <w:rPr>
          <w:rFonts w:cs="Calibri"/>
          <w:sz w:val="28"/>
          <w:szCs w:val="28"/>
        </w:rPr>
        <w:t xml:space="preserve"> the first to take advantage of increases in educational opportunities </w:t>
      </w:r>
      <w:r w:rsidR="00CF58D4">
        <w:rPr>
          <w:rFonts w:cs="Calibri"/>
          <w:sz w:val="28"/>
          <w:szCs w:val="28"/>
        </w:rPr>
        <w:t>‘</w:t>
      </w:r>
      <w:r w:rsidR="00C8778F" w:rsidRPr="00A73D76">
        <w:rPr>
          <w:rFonts w:cs="Calibri"/>
          <w:sz w:val="28"/>
          <w:szCs w:val="28"/>
        </w:rPr>
        <w:t>of every kind and at every level’. Middle class people have the discretionary income to finance th</w:t>
      </w:r>
      <w:r w:rsidR="00C8778F">
        <w:rPr>
          <w:rFonts w:cs="Calibri"/>
          <w:sz w:val="28"/>
          <w:szCs w:val="28"/>
        </w:rPr>
        <w:t>eir</w:t>
      </w:r>
      <w:r w:rsidR="00C8778F" w:rsidRPr="00A73D76">
        <w:rPr>
          <w:rFonts w:cs="Calibri"/>
          <w:sz w:val="28"/>
          <w:szCs w:val="28"/>
        </w:rPr>
        <w:t xml:space="preserve"> aspirations through tuition or taxation. </w:t>
      </w:r>
      <w:r w:rsidR="00CF58D4">
        <w:rPr>
          <w:rFonts w:cs="Calibri"/>
          <w:sz w:val="28"/>
          <w:szCs w:val="28"/>
        </w:rPr>
        <w:t>Then</w:t>
      </w:r>
      <w:r w:rsidR="00034277" w:rsidRPr="00A73D76">
        <w:rPr>
          <w:rFonts w:cs="Calibri"/>
          <w:sz w:val="28"/>
          <w:szCs w:val="28"/>
        </w:rPr>
        <w:t xml:space="preserve"> educational aspirations spread from the middle class to the </w:t>
      </w:r>
      <w:r w:rsidR="00FB05E8">
        <w:rPr>
          <w:rFonts w:cs="Calibri"/>
          <w:sz w:val="28"/>
          <w:szCs w:val="28"/>
        </w:rPr>
        <w:t xml:space="preserve">whole </w:t>
      </w:r>
      <w:r w:rsidR="00034277" w:rsidRPr="00A73D76">
        <w:rPr>
          <w:rFonts w:cs="Calibri"/>
          <w:sz w:val="28"/>
          <w:szCs w:val="28"/>
        </w:rPr>
        <w:t>population</w:t>
      </w:r>
      <w:r w:rsidR="00034277">
        <w:rPr>
          <w:rFonts w:cs="Calibri"/>
          <w:sz w:val="28"/>
          <w:szCs w:val="28"/>
        </w:rPr>
        <w:t>. In response government expands enrolments further</w:t>
      </w:r>
      <w:r w:rsidR="00CF58D4">
        <w:rPr>
          <w:rFonts w:cs="Calibri"/>
          <w:sz w:val="28"/>
          <w:szCs w:val="28"/>
        </w:rPr>
        <w:t>,</w:t>
      </w:r>
      <w:r w:rsidR="00034277">
        <w:rPr>
          <w:rFonts w:cs="Calibri"/>
          <w:sz w:val="28"/>
          <w:szCs w:val="28"/>
        </w:rPr>
        <w:t xml:space="preserve"> gain</w:t>
      </w:r>
      <w:r w:rsidR="00CF58D4">
        <w:rPr>
          <w:rFonts w:cs="Calibri"/>
          <w:sz w:val="28"/>
          <w:szCs w:val="28"/>
        </w:rPr>
        <w:t>ing</w:t>
      </w:r>
      <w:r w:rsidR="00034277">
        <w:rPr>
          <w:rFonts w:cs="Calibri"/>
          <w:sz w:val="28"/>
          <w:szCs w:val="28"/>
        </w:rPr>
        <w:t xml:space="preserve"> </w:t>
      </w:r>
      <w:r w:rsidR="00513B1E">
        <w:rPr>
          <w:rFonts w:cs="Calibri"/>
          <w:sz w:val="28"/>
          <w:szCs w:val="28"/>
        </w:rPr>
        <w:t>political points</w:t>
      </w:r>
      <w:r w:rsidR="00034277">
        <w:rPr>
          <w:rFonts w:cs="Calibri"/>
          <w:sz w:val="28"/>
          <w:szCs w:val="28"/>
        </w:rPr>
        <w:t xml:space="preserve"> </w:t>
      </w:r>
      <w:r w:rsidR="00CF58D4">
        <w:rPr>
          <w:rFonts w:cs="Calibri"/>
          <w:sz w:val="28"/>
          <w:szCs w:val="28"/>
        </w:rPr>
        <w:t>each time it does so</w:t>
      </w:r>
      <w:r w:rsidR="00034277">
        <w:rPr>
          <w:rFonts w:cs="Calibri"/>
          <w:sz w:val="28"/>
          <w:szCs w:val="28"/>
        </w:rPr>
        <w:t xml:space="preserve">. </w:t>
      </w:r>
    </w:p>
    <w:p w14:paraId="40AF1FDA" w14:textId="3EFC8DFE" w:rsidR="00034277" w:rsidRPr="00A73D76" w:rsidRDefault="00034277" w:rsidP="00F76E4D">
      <w:pPr>
        <w:widowControl w:val="0"/>
        <w:autoSpaceDE w:val="0"/>
        <w:autoSpaceDN w:val="0"/>
        <w:adjustRightInd w:val="0"/>
        <w:ind w:firstLine="454"/>
        <w:rPr>
          <w:rFonts w:cs="Calibri"/>
          <w:sz w:val="28"/>
          <w:szCs w:val="28"/>
        </w:rPr>
      </w:pPr>
      <w:r>
        <w:rPr>
          <w:rFonts w:cs="Calibri"/>
          <w:sz w:val="28"/>
          <w:szCs w:val="28"/>
        </w:rPr>
        <w:t xml:space="preserve">Why do we know that government is not the ultimate regulator? If the level of enrolment was based primarily on rational public planning it would rise and fall with changes in national circumstance. </w:t>
      </w:r>
      <w:r>
        <w:rPr>
          <w:sz w:val="28"/>
          <w:szCs w:val="28"/>
        </w:rPr>
        <w:t>But t</w:t>
      </w:r>
      <w:r w:rsidRPr="00A73D76">
        <w:rPr>
          <w:sz w:val="28"/>
          <w:szCs w:val="28"/>
        </w:rPr>
        <w:t xml:space="preserve">he UNESCO data for participation in each national system </w:t>
      </w:r>
      <w:r>
        <w:rPr>
          <w:sz w:val="28"/>
          <w:szCs w:val="28"/>
        </w:rPr>
        <w:t>show</w:t>
      </w:r>
      <w:r w:rsidRPr="00A73D76">
        <w:rPr>
          <w:sz w:val="28"/>
          <w:szCs w:val="28"/>
        </w:rPr>
        <w:t xml:space="preserve"> that </w:t>
      </w:r>
      <w:r>
        <w:rPr>
          <w:sz w:val="28"/>
          <w:szCs w:val="28"/>
        </w:rPr>
        <w:t xml:space="preserve">significant </w:t>
      </w:r>
      <w:r w:rsidRPr="00A73D76">
        <w:rPr>
          <w:sz w:val="28"/>
          <w:szCs w:val="28"/>
        </w:rPr>
        <w:t>falls in participation rates are unusual</w:t>
      </w:r>
      <w:r w:rsidR="008D50BD">
        <w:rPr>
          <w:sz w:val="28"/>
          <w:szCs w:val="28"/>
        </w:rPr>
        <w:t xml:space="preserve">—and </w:t>
      </w:r>
      <w:r w:rsidR="00CF58D4">
        <w:rPr>
          <w:sz w:val="28"/>
          <w:szCs w:val="28"/>
        </w:rPr>
        <w:t xml:space="preserve">that </w:t>
      </w:r>
      <w:r w:rsidR="008D50BD">
        <w:rPr>
          <w:sz w:val="28"/>
          <w:szCs w:val="28"/>
        </w:rPr>
        <w:t xml:space="preserve">they are </w:t>
      </w:r>
      <w:r w:rsidRPr="00CF58D4">
        <w:rPr>
          <w:i/>
          <w:sz w:val="28"/>
          <w:szCs w:val="28"/>
        </w:rPr>
        <w:t>always temporary. Nowhere</w:t>
      </w:r>
      <w:r w:rsidRPr="00A73D76">
        <w:rPr>
          <w:sz w:val="28"/>
          <w:szCs w:val="28"/>
        </w:rPr>
        <w:t xml:space="preserve">, once </w:t>
      </w:r>
      <w:r>
        <w:rPr>
          <w:sz w:val="28"/>
          <w:szCs w:val="28"/>
        </w:rPr>
        <w:t xml:space="preserve">mass </w:t>
      </w:r>
      <w:r w:rsidR="008D50BD">
        <w:rPr>
          <w:sz w:val="28"/>
          <w:szCs w:val="28"/>
        </w:rPr>
        <w:t>participation is</w:t>
      </w:r>
      <w:r>
        <w:rPr>
          <w:sz w:val="28"/>
          <w:szCs w:val="28"/>
        </w:rPr>
        <w:t xml:space="preserve"> established</w:t>
      </w:r>
      <w:r w:rsidRPr="00A73D76">
        <w:rPr>
          <w:sz w:val="28"/>
          <w:szCs w:val="28"/>
        </w:rPr>
        <w:t xml:space="preserve">, </w:t>
      </w:r>
      <w:r>
        <w:rPr>
          <w:sz w:val="28"/>
          <w:szCs w:val="28"/>
        </w:rPr>
        <w:t>has</w:t>
      </w:r>
      <w:r w:rsidRPr="00A73D76">
        <w:rPr>
          <w:sz w:val="28"/>
          <w:szCs w:val="28"/>
        </w:rPr>
        <w:t xml:space="preserve"> any state move</w:t>
      </w:r>
      <w:r>
        <w:rPr>
          <w:sz w:val="28"/>
          <w:szCs w:val="28"/>
        </w:rPr>
        <w:t>d</w:t>
      </w:r>
      <w:r w:rsidRPr="00A73D76">
        <w:rPr>
          <w:sz w:val="28"/>
          <w:szCs w:val="28"/>
        </w:rPr>
        <w:t xml:space="preserve"> to secure a lasting reve</w:t>
      </w:r>
      <w:r w:rsidR="008D50BD">
        <w:rPr>
          <w:sz w:val="28"/>
          <w:szCs w:val="28"/>
        </w:rPr>
        <w:t xml:space="preserve">rsal of growth, </w:t>
      </w:r>
      <w:r w:rsidRPr="00A73D76">
        <w:rPr>
          <w:sz w:val="28"/>
          <w:szCs w:val="28"/>
        </w:rPr>
        <w:t>despite the cost</w:t>
      </w:r>
      <w:r w:rsidR="008D50BD">
        <w:rPr>
          <w:sz w:val="28"/>
          <w:szCs w:val="28"/>
        </w:rPr>
        <w:t>s</w:t>
      </w:r>
      <w:r w:rsidRPr="00A73D76">
        <w:rPr>
          <w:sz w:val="28"/>
          <w:szCs w:val="28"/>
        </w:rPr>
        <w:t xml:space="preserve"> </w:t>
      </w:r>
      <w:r w:rsidR="008D50BD">
        <w:rPr>
          <w:sz w:val="28"/>
          <w:szCs w:val="28"/>
        </w:rPr>
        <w:t>of</w:t>
      </w:r>
      <w:r>
        <w:rPr>
          <w:sz w:val="28"/>
          <w:szCs w:val="28"/>
        </w:rPr>
        <w:t xml:space="preserve"> expansion. </w:t>
      </w:r>
      <w:r w:rsidRPr="00A73D76">
        <w:rPr>
          <w:sz w:val="28"/>
          <w:szCs w:val="28"/>
        </w:rPr>
        <w:t>Tho</w:t>
      </w:r>
      <w:r>
        <w:rPr>
          <w:sz w:val="28"/>
          <w:szCs w:val="28"/>
        </w:rPr>
        <w:t xml:space="preserve">ugh </w:t>
      </w:r>
      <w:r w:rsidRPr="00A73D76">
        <w:rPr>
          <w:sz w:val="28"/>
          <w:szCs w:val="28"/>
        </w:rPr>
        <w:t xml:space="preserve">there are many cases of states shifting part of the cost of </w:t>
      </w:r>
      <w:r>
        <w:rPr>
          <w:sz w:val="28"/>
          <w:szCs w:val="28"/>
        </w:rPr>
        <w:t>high participation to families and students</w:t>
      </w:r>
      <w:r w:rsidRPr="00A73D76">
        <w:rPr>
          <w:sz w:val="28"/>
          <w:szCs w:val="28"/>
        </w:rPr>
        <w:t>.</w:t>
      </w:r>
    </w:p>
    <w:p w14:paraId="27227EFB" w14:textId="77777777" w:rsidR="006525AC" w:rsidRDefault="006525AC" w:rsidP="00F76E4D">
      <w:pPr>
        <w:widowControl w:val="0"/>
        <w:autoSpaceDE w:val="0"/>
        <w:autoSpaceDN w:val="0"/>
        <w:adjustRightInd w:val="0"/>
        <w:rPr>
          <w:rFonts w:cs="Consolas"/>
          <w:sz w:val="28"/>
          <w:szCs w:val="28"/>
        </w:rPr>
      </w:pPr>
    </w:p>
    <w:p w14:paraId="169C72D7" w14:textId="77777777" w:rsidR="00513B1E" w:rsidRDefault="00513B1E" w:rsidP="00F76E4D">
      <w:pPr>
        <w:widowControl w:val="0"/>
        <w:autoSpaceDE w:val="0"/>
        <w:autoSpaceDN w:val="0"/>
        <w:adjustRightInd w:val="0"/>
        <w:rPr>
          <w:rFonts w:cs="Calibri"/>
          <w:b/>
          <w:bCs/>
          <w:i/>
          <w:iCs/>
          <w:sz w:val="28"/>
          <w:szCs w:val="28"/>
        </w:rPr>
      </w:pPr>
      <w:r>
        <w:rPr>
          <w:rFonts w:cs="Calibri"/>
          <w:b/>
          <w:bCs/>
          <w:i/>
          <w:iCs/>
          <w:sz w:val="28"/>
          <w:szCs w:val="28"/>
        </w:rPr>
        <w:t xml:space="preserve">World GDP, population and </w:t>
      </w:r>
      <w:r w:rsidRPr="006B4E07">
        <w:rPr>
          <w:rFonts w:cs="Calibri"/>
          <w:b/>
          <w:bCs/>
          <w:i/>
          <w:iCs/>
          <w:sz w:val="28"/>
          <w:szCs w:val="28"/>
        </w:rPr>
        <w:t xml:space="preserve">tertiary enrolment, 1970-2012 </w:t>
      </w:r>
    </w:p>
    <w:p w14:paraId="42E65F1F" w14:textId="79705FDF" w:rsidR="00E60D50" w:rsidRPr="00A73D76" w:rsidRDefault="00513B1E" w:rsidP="00F76E4D">
      <w:pPr>
        <w:widowControl w:val="0"/>
        <w:autoSpaceDE w:val="0"/>
        <w:autoSpaceDN w:val="0"/>
        <w:adjustRightInd w:val="0"/>
        <w:rPr>
          <w:rFonts w:cs="Calibri"/>
          <w:sz w:val="28"/>
          <w:szCs w:val="28"/>
        </w:rPr>
      </w:pPr>
      <w:r>
        <w:rPr>
          <w:rFonts w:cs="Consolas"/>
          <w:sz w:val="28"/>
          <w:szCs w:val="28"/>
        </w:rPr>
        <w:t xml:space="preserve">That’s the sociological explanation for the growth of tertiary and higher education. </w:t>
      </w:r>
      <w:r>
        <w:rPr>
          <w:rFonts w:cs="Calibri"/>
          <w:sz w:val="28"/>
          <w:szCs w:val="28"/>
        </w:rPr>
        <w:t>It is not the dominant explanation. Governments,</w:t>
      </w:r>
      <w:r w:rsidR="00E60D50" w:rsidRPr="00A73D76">
        <w:rPr>
          <w:rFonts w:cs="Calibri"/>
          <w:sz w:val="28"/>
          <w:szCs w:val="28"/>
        </w:rPr>
        <w:t xml:space="preserve"> </w:t>
      </w:r>
      <w:r>
        <w:rPr>
          <w:rFonts w:cs="Calibri"/>
          <w:sz w:val="28"/>
          <w:szCs w:val="28"/>
        </w:rPr>
        <w:t xml:space="preserve">economists and universities </w:t>
      </w:r>
      <w:r w:rsidR="00CF58D4">
        <w:rPr>
          <w:rFonts w:cs="Calibri"/>
          <w:sz w:val="28"/>
          <w:szCs w:val="28"/>
        </w:rPr>
        <w:t>mostly believe that</w:t>
      </w:r>
      <w:r w:rsidR="00E60D50" w:rsidRPr="00A73D76">
        <w:rPr>
          <w:rFonts w:cs="Calibri"/>
          <w:sz w:val="28"/>
          <w:szCs w:val="28"/>
        </w:rPr>
        <w:t xml:space="preserve"> </w:t>
      </w:r>
      <w:r>
        <w:rPr>
          <w:rFonts w:cs="Calibri"/>
          <w:sz w:val="28"/>
          <w:szCs w:val="28"/>
        </w:rPr>
        <w:t xml:space="preserve">public policy shapes expansion in response to economic demand for </w:t>
      </w:r>
      <w:r w:rsidR="00E60D50" w:rsidRPr="00A73D76">
        <w:rPr>
          <w:rFonts w:cs="Calibri"/>
          <w:sz w:val="28"/>
          <w:szCs w:val="28"/>
        </w:rPr>
        <w:t xml:space="preserve">educated human capital. </w:t>
      </w:r>
      <w:r w:rsidR="00CF58D4">
        <w:rPr>
          <w:rFonts w:cs="Calibri"/>
          <w:sz w:val="28"/>
          <w:szCs w:val="28"/>
        </w:rPr>
        <w:t>In human capital theory e</w:t>
      </w:r>
      <w:r w:rsidR="00E60D50" w:rsidRPr="00A73D76">
        <w:rPr>
          <w:rFonts w:cs="Calibri"/>
          <w:sz w:val="28"/>
          <w:szCs w:val="28"/>
        </w:rPr>
        <w:t xml:space="preserve">conomic demand is signaled in the labour markets by the wage returns to marginal productivity. Students focus on graduate wages and employability. People (or governments on their behalf) invest in education, in terms of time, income forgone and tuition, to the point where the lifetime returns to degree holders equal the costs of investment. </w:t>
      </w:r>
      <w:r>
        <w:rPr>
          <w:rFonts w:cs="Calibri"/>
          <w:sz w:val="28"/>
          <w:szCs w:val="28"/>
        </w:rPr>
        <w:t>H</w:t>
      </w:r>
      <w:r w:rsidR="00E60D50" w:rsidRPr="00A73D76">
        <w:rPr>
          <w:rFonts w:cs="Calibri"/>
          <w:sz w:val="28"/>
          <w:szCs w:val="28"/>
        </w:rPr>
        <w:t xml:space="preserve">igher education tends to equilibrium with economic demand. If not, </w:t>
      </w:r>
      <w:r w:rsidR="00CF58D4">
        <w:rPr>
          <w:rFonts w:cs="Calibri"/>
          <w:sz w:val="28"/>
          <w:szCs w:val="28"/>
        </w:rPr>
        <w:t>something is wrong with the</w:t>
      </w:r>
      <w:r w:rsidR="00E60D50" w:rsidRPr="00A73D76">
        <w:rPr>
          <w:rFonts w:cs="Calibri"/>
          <w:sz w:val="28"/>
          <w:szCs w:val="28"/>
        </w:rPr>
        <w:t xml:space="preserve"> education.</w:t>
      </w:r>
    </w:p>
    <w:p w14:paraId="2F99F6F1" w14:textId="014872B5" w:rsidR="007B04CF" w:rsidRDefault="00E60D50" w:rsidP="00F76E4D">
      <w:pPr>
        <w:widowControl w:val="0"/>
        <w:autoSpaceDE w:val="0"/>
        <w:autoSpaceDN w:val="0"/>
        <w:adjustRightInd w:val="0"/>
        <w:ind w:firstLine="454"/>
        <w:rPr>
          <w:rFonts w:cs="Calibri"/>
          <w:sz w:val="28"/>
          <w:szCs w:val="28"/>
        </w:rPr>
      </w:pPr>
      <w:r w:rsidRPr="00A73D76">
        <w:rPr>
          <w:rFonts w:cs="Calibri"/>
          <w:sz w:val="28"/>
          <w:szCs w:val="28"/>
        </w:rPr>
        <w:t xml:space="preserve">However, </w:t>
      </w:r>
      <w:r w:rsidR="00B06CFE">
        <w:rPr>
          <w:rFonts w:cs="Calibri"/>
          <w:sz w:val="28"/>
          <w:szCs w:val="28"/>
        </w:rPr>
        <w:t>this</w:t>
      </w:r>
      <w:r w:rsidR="00513B1E">
        <w:rPr>
          <w:rFonts w:cs="Calibri"/>
          <w:sz w:val="28"/>
          <w:szCs w:val="28"/>
        </w:rPr>
        <w:t xml:space="preserve"> </w:t>
      </w:r>
      <w:r w:rsidR="00CF58D4">
        <w:rPr>
          <w:rFonts w:cs="Calibri"/>
          <w:sz w:val="28"/>
          <w:szCs w:val="28"/>
        </w:rPr>
        <w:t>theory</w:t>
      </w:r>
      <w:r w:rsidR="00513B1E">
        <w:rPr>
          <w:rFonts w:cs="Calibri"/>
          <w:sz w:val="28"/>
          <w:szCs w:val="28"/>
        </w:rPr>
        <w:t xml:space="preserve"> does not stand up </w:t>
      </w:r>
      <w:r w:rsidR="00B06CFE">
        <w:rPr>
          <w:rFonts w:cs="Calibri"/>
          <w:sz w:val="28"/>
          <w:szCs w:val="28"/>
        </w:rPr>
        <w:t xml:space="preserve">well </w:t>
      </w:r>
      <w:r w:rsidR="00513B1E">
        <w:rPr>
          <w:rFonts w:cs="Calibri"/>
          <w:sz w:val="28"/>
          <w:szCs w:val="28"/>
        </w:rPr>
        <w:t xml:space="preserve">to </w:t>
      </w:r>
      <w:r w:rsidR="00CF58D4">
        <w:rPr>
          <w:rFonts w:cs="Calibri"/>
          <w:sz w:val="28"/>
          <w:szCs w:val="28"/>
        </w:rPr>
        <w:t>empirical</w:t>
      </w:r>
      <w:r w:rsidR="00513B1E">
        <w:rPr>
          <w:rFonts w:cs="Calibri"/>
          <w:sz w:val="28"/>
          <w:szCs w:val="28"/>
        </w:rPr>
        <w:t xml:space="preserve"> scrutiny. In N</w:t>
      </w:r>
      <w:r w:rsidR="00B06CFE">
        <w:rPr>
          <w:rFonts w:cs="Calibri"/>
          <w:sz w:val="28"/>
          <w:szCs w:val="28"/>
        </w:rPr>
        <w:t xml:space="preserve">orth America, </w:t>
      </w:r>
      <w:r w:rsidR="00513B1E">
        <w:rPr>
          <w:rFonts w:cs="Calibri"/>
          <w:sz w:val="28"/>
          <w:szCs w:val="28"/>
        </w:rPr>
        <w:t xml:space="preserve">Western Europe and </w:t>
      </w:r>
      <w:r w:rsidR="00B06CFE">
        <w:rPr>
          <w:rFonts w:cs="Calibri"/>
          <w:sz w:val="28"/>
          <w:szCs w:val="28"/>
        </w:rPr>
        <w:t xml:space="preserve">the </w:t>
      </w:r>
      <w:r w:rsidR="00513B1E">
        <w:rPr>
          <w:rFonts w:cs="Calibri"/>
          <w:sz w:val="28"/>
          <w:szCs w:val="28"/>
        </w:rPr>
        <w:t xml:space="preserve">UK </w:t>
      </w:r>
      <w:r w:rsidR="00CF58D4">
        <w:rPr>
          <w:rFonts w:cs="Calibri"/>
          <w:sz w:val="28"/>
          <w:szCs w:val="28"/>
        </w:rPr>
        <w:t xml:space="preserve">the </w:t>
      </w:r>
      <w:r w:rsidR="00513B1E">
        <w:rPr>
          <w:rFonts w:cs="Calibri"/>
          <w:sz w:val="28"/>
          <w:szCs w:val="28"/>
        </w:rPr>
        <w:t>bursts of rapid educational growth</w:t>
      </w:r>
      <w:r w:rsidRPr="00A73D76">
        <w:rPr>
          <w:rFonts w:cs="Calibri"/>
          <w:sz w:val="28"/>
          <w:szCs w:val="28"/>
        </w:rPr>
        <w:t xml:space="preserve"> in the 1960s</w:t>
      </w:r>
      <w:r w:rsidR="00513B1E">
        <w:rPr>
          <w:rFonts w:cs="Calibri"/>
          <w:sz w:val="28"/>
          <w:szCs w:val="28"/>
        </w:rPr>
        <w:t>, and in the 1990s, did</w:t>
      </w:r>
      <w:r w:rsidRPr="00A73D76">
        <w:rPr>
          <w:rFonts w:cs="Calibri"/>
          <w:sz w:val="28"/>
          <w:szCs w:val="28"/>
        </w:rPr>
        <w:t xml:space="preserve"> not coincide with especially large changes in </w:t>
      </w:r>
      <w:r w:rsidRPr="00A73D76">
        <w:rPr>
          <w:rFonts w:cs="Calibri"/>
          <w:sz w:val="28"/>
          <w:szCs w:val="28"/>
        </w:rPr>
        <w:lastRenderedPageBreak/>
        <w:t xml:space="preserve">occupational structures, skill requirements, or labour market demands. </w:t>
      </w:r>
      <w:r w:rsidR="00CF58D4">
        <w:rPr>
          <w:rFonts w:cs="Calibri"/>
          <w:sz w:val="28"/>
          <w:szCs w:val="28"/>
        </w:rPr>
        <w:t>T</w:t>
      </w:r>
      <w:r w:rsidR="00CF58D4" w:rsidRPr="00A73D76">
        <w:rPr>
          <w:rFonts w:cs="Calibri"/>
          <w:sz w:val="28"/>
          <w:szCs w:val="28"/>
        </w:rPr>
        <w:t xml:space="preserve">he surge in participation </w:t>
      </w:r>
      <w:r w:rsidR="00CF58D4">
        <w:rPr>
          <w:rFonts w:cs="Calibri"/>
          <w:sz w:val="28"/>
          <w:szCs w:val="28"/>
        </w:rPr>
        <w:t xml:space="preserve">in the last two decades has been </w:t>
      </w:r>
      <w:r w:rsidR="00CF58D4" w:rsidRPr="00A73D76">
        <w:rPr>
          <w:rFonts w:cs="Calibri"/>
          <w:sz w:val="28"/>
          <w:szCs w:val="28"/>
        </w:rPr>
        <w:t xml:space="preserve">associated with </w:t>
      </w:r>
      <w:r w:rsidR="00CF58D4">
        <w:rPr>
          <w:rFonts w:cs="Calibri"/>
          <w:sz w:val="28"/>
          <w:szCs w:val="28"/>
        </w:rPr>
        <w:t>a</w:t>
      </w:r>
      <w:r w:rsidR="00CF58D4" w:rsidRPr="00A73D76">
        <w:rPr>
          <w:rFonts w:cs="Calibri"/>
          <w:sz w:val="28"/>
          <w:szCs w:val="28"/>
        </w:rPr>
        <w:t xml:space="preserve"> range of countries with differ</w:t>
      </w:r>
      <w:r w:rsidR="00CF58D4">
        <w:rPr>
          <w:rFonts w:cs="Calibri"/>
          <w:sz w:val="28"/>
          <w:szCs w:val="28"/>
        </w:rPr>
        <w:t>ing</w:t>
      </w:r>
      <w:r w:rsidR="00CF58D4" w:rsidRPr="00A73D76">
        <w:rPr>
          <w:rFonts w:cs="Calibri"/>
          <w:sz w:val="28"/>
          <w:szCs w:val="28"/>
        </w:rPr>
        <w:t xml:space="preserve"> </w:t>
      </w:r>
      <w:r w:rsidR="00CF58D4">
        <w:rPr>
          <w:rFonts w:cs="Calibri"/>
          <w:sz w:val="28"/>
          <w:szCs w:val="28"/>
        </w:rPr>
        <w:t xml:space="preserve">economic </w:t>
      </w:r>
      <w:r w:rsidR="00CF58D4" w:rsidRPr="00A73D76">
        <w:rPr>
          <w:rFonts w:cs="Calibri"/>
          <w:sz w:val="28"/>
          <w:szCs w:val="28"/>
        </w:rPr>
        <w:t>growth</w:t>
      </w:r>
      <w:r w:rsidR="00CF58D4">
        <w:rPr>
          <w:rFonts w:cs="Calibri"/>
          <w:sz w:val="28"/>
          <w:szCs w:val="28"/>
        </w:rPr>
        <w:t xml:space="preserve"> rates, and </w:t>
      </w:r>
      <w:r w:rsidR="00CF58D4" w:rsidRPr="00A73D76">
        <w:rPr>
          <w:rFonts w:cs="Calibri"/>
          <w:sz w:val="28"/>
          <w:szCs w:val="28"/>
        </w:rPr>
        <w:t xml:space="preserve">industry configurations, for example the size and character of manufacturing and services. </w:t>
      </w:r>
      <w:r w:rsidR="00CF58D4">
        <w:rPr>
          <w:rFonts w:cs="Calibri"/>
          <w:sz w:val="28"/>
          <w:szCs w:val="28"/>
        </w:rPr>
        <w:t>J</w:t>
      </w:r>
      <w:r w:rsidR="00CF58D4" w:rsidRPr="00A73D76">
        <w:rPr>
          <w:rFonts w:cs="Calibri"/>
          <w:sz w:val="28"/>
          <w:szCs w:val="28"/>
        </w:rPr>
        <w:t xml:space="preserve">ust looking at the countries where the </w:t>
      </w:r>
      <w:r w:rsidR="00CF58D4">
        <w:rPr>
          <w:rFonts w:cs="Calibri"/>
          <w:sz w:val="28"/>
          <w:szCs w:val="28"/>
        </w:rPr>
        <w:t xml:space="preserve">educational </w:t>
      </w:r>
      <w:r w:rsidR="00CF58D4" w:rsidRPr="00A73D76">
        <w:rPr>
          <w:rFonts w:cs="Calibri"/>
          <w:sz w:val="28"/>
          <w:szCs w:val="28"/>
        </w:rPr>
        <w:t xml:space="preserve">participation rate expanded by </w:t>
      </w:r>
      <w:r w:rsidR="00CF58D4">
        <w:rPr>
          <w:rFonts w:cs="Calibri"/>
          <w:sz w:val="28"/>
          <w:szCs w:val="28"/>
        </w:rPr>
        <w:t>over</w:t>
      </w:r>
      <w:r w:rsidR="00CF58D4" w:rsidRPr="00A73D76">
        <w:rPr>
          <w:rFonts w:cs="Calibri"/>
          <w:sz w:val="28"/>
          <w:szCs w:val="28"/>
        </w:rPr>
        <w:t xml:space="preserve"> 18 </w:t>
      </w:r>
      <w:r w:rsidR="00CF58D4">
        <w:rPr>
          <w:rFonts w:cs="Calibri"/>
          <w:sz w:val="28"/>
          <w:szCs w:val="28"/>
        </w:rPr>
        <w:t xml:space="preserve">per cent between 2000 and 2012, the rate of </w:t>
      </w:r>
      <w:r w:rsidR="00CF58D4" w:rsidRPr="00A73D76">
        <w:rPr>
          <w:rFonts w:cs="Calibri"/>
          <w:sz w:val="28"/>
          <w:szCs w:val="28"/>
        </w:rPr>
        <w:t>economic growth span</w:t>
      </w:r>
      <w:r w:rsidR="00CF58D4">
        <w:rPr>
          <w:rFonts w:cs="Calibri"/>
          <w:sz w:val="28"/>
          <w:szCs w:val="28"/>
        </w:rPr>
        <w:t>ned</w:t>
      </w:r>
      <w:r w:rsidR="00CF58D4" w:rsidRPr="00A73D76">
        <w:rPr>
          <w:rFonts w:cs="Calibri"/>
          <w:sz w:val="28"/>
          <w:szCs w:val="28"/>
        </w:rPr>
        <w:t xml:space="preserve"> from China at 10.1 per cent per annum to Portugal at 0.2 per cent per annum.</w:t>
      </w:r>
    </w:p>
    <w:p w14:paraId="75BC27CC" w14:textId="77777777" w:rsidR="007B04CF" w:rsidRDefault="007B04CF" w:rsidP="00F76E4D">
      <w:pPr>
        <w:widowControl w:val="0"/>
        <w:autoSpaceDE w:val="0"/>
        <w:autoSpaceDN w:val="0"/>
        <w:adjustRightInd w:val="0"/>
        <w:rPr>
          <w:rFonts w:cs="Calibri"/>
          <w:sz w:val="28"/>
          <w:szCs w:val="28"/>
        </w:rPr>
      </w:pPr>
    </w:p>
    <w:p w14:paraId="21A072CA" w14:textId="77777777" w:rsidR="007B04CF" w:rsidRDefault="007B04CF" w:rsidP="00F76E4D">
      <w:pPr>
        <w:widowControl w:val="0"/>
        <w:autoSpaceDE w:val="0"/>
        <w:autoSpaceDN w:val="0"/>
        <w:adjustRightInd w:val="0"/>
        <w:rPr>
          <w:rFonts w:cs="Calibri"/>
          <w:b/>
          <w:bCs/>
          <w:i/>
          <w:iCs/>
          <w:sz w:val="28"/>
          <w:szCs w:val="28"/>
        </w:rPr>
      </w:pPr>
      <w:r w:rsidRPr="007B04CF">
        <w:rPr>
          <w:rFonts w:cs="Calibri"/>
          <w:b/>
          <w:bCs/>
          <w:i/>
          <w:iCs/>
          <w:sz w:val="28"/>
          <w:szCs w:val="28"/>
        </w:rPr>
        <w:t>GDP and GTER, 2013 or nearest year</w:t>
      </w:r>
    </w:p>
    <w:p w14:paraId="64D583CD" w14:textId="27E46D79" w:rsidR="008D50BD" w:rsidRDefault="00E560C0" w:rsidP="00F76E4D">
      <w:pPr>
        <w:rPr>
          <w:rFonts w:cs="Calibri"/>
          <w:sz w:val="28"/>
          <w:szCs w:val="28"/>
        </w:rPr>
      </w:pPr>
      <w:r>
        <w:rPr>
          <w:rFonts w:cs="Calibri"/>
          <w:sz w:val="28"/>
          <w:szCs w:val="28"/>
        </w:rPr>
        <w:t xml:space="preserve">As the table shows, high participation occurs in </w:t>
      </w:r>
      <w:r w:rsidR="00F719A0">
        <w:rPr>
          <w:rFonts w:cs="Calibri"/>
          <w:sz w:val="28"/>
          <w:szCs w:val="28"/>
        </w:rPr>
        <w:t>16</w:t>
      </w:r>
      <w:r>
        <w:rPr>
          <w:rFonts w:cs="Calibri"/>
          <w:sz w:val="28"/>
          <w:szCs w:val="28"/>
        </w:rPr>
        <w:t xml:space="preserve"> countries with </w:t>
      </w:r>
      <w:r w:rsidR="00F719A0">
        <w:rPr>
          <w:rFonts w:cs="Calibri"/>
          <w:sz w:val="28"/>
          <w:szCs w:val="28"/>
        </w:rPr>
        <w:t xml:space="preserve">annual </w:t>
      </w:r>
      <w:r>
        <w:rPr>
          <w:rFonts w:cs="Calibri"/>
          <w:sz w:val="28"/>
          <w:szCs w:val="28"/>
        </w:rPr>
        <w:t>GDP per head of less than $20,000 US. When national economic growth rates are compared</w:t>
      </w:r>
      <w:r w:rsidR="00F639B1" w:rsidRPr="00A73D76">
        <w:rPr>
          <w:rFonts w:cs="Calibri"/>
          <w:sz w:val="28"/>
          <w:szCs w:val="28"/>
        </w:rPr>
        <w:t xml:space="preserve"> </w:t>
      </w:r>
      <w:r>
        <w:rPr>
          <w:rFonts w:cs="Calibri"/>
          <w:sz w:val="28"/>
          <w:szCs w:val="28"/>
        </w:rPr>
        <w:t xml:space="preserve">to </w:t>
      </w:r>
      <w:r w:rsidR="00F719A0">
        <w:rPr>
          <w:rFonts w:cs="Calibri"/>
          <w:sz w:val="28"/>
          <w:szCs w:val="28"/>
        </w:rPr>
        <w:t xml:space="preserve">tertiary </w:t>
      </w:r>
      <w:r w:rsidR="00BA4BF0">
        <w:rPr>
          <w:rFonts w:cs="Calibri"/>
          <w:sz w:val="28"/>
          <w:szCs w:val="28"/>
        </w:rPr>
        <w:t>enrolment</w:t>
      </w:r>
      <w:r>
        <w:rPr>
          <w:rFonts w:cs="Calibri"/>
          <w:sz w:val="28"/>
          <w:szCs w:val="28"/>
        </w:rPr>
        <w:t xml:space="preserve"> growth there is</w:t>
      </w:r>
      <w:r w:rsidR="00E60D50" w:rsidRPr="00A73D76">
        <w:rPr>
          <w:rFonts w:cs="Calibri"/>
          <w:sz w:val="28"/>
          <w:szCs w:val="28"/>
        </w:rPr>
        <w:t xml:space="preserve"> a moderate association between economic growth and </w:t>
      </w:r>
      <w:r>
        <w:rPr>
          <w:rFonts w:cs="Calibri"/>
          <w:sz w:val="28"/>
          <w:szCs w:val="28"/>
        </w:rPr>
        <w:t>educational growth. This</w:t>
      </w:r>
      <w:r w:rsidR="00E60D50" w:rsidRPr="00A73D76">
        <w:rPr>
          <w:rFonts w:cs="Calibri"/>
          <w:sz w:val="28"/>
          <w:szCs w:val="28"/>
        </w:rPr>
        <w:t xml:space="preserve"> does not mean </w:t>
      </w:r>
      <w:r w:rsidR="00BA4BF0">
        <w:rPr>
          <w:rFonts w:cs="Calibri"/>
          <w:sz w:val="28"/>
          <w:szCs w:val="28"/>
        </w:rPr>
        <w:t>that economic growth is driven by educational</w:t>
      </w:r>
      <w:r w:rsidR="00E60D50" w:rsidRPr="00A73D76">
        <w:rPr>
          <w:rFonts w:cs="Calibri"/>
          <w:sz w:val="28"/>
          <w:szCs w:val="28"/>
        </w:rPr>
        <w:t xml:space="preserve"> expansion </w:t>
      </w:r>
      <w:r w:rsidR="00BA4BF0">
        <w:rPr>
          <w:rFonts w:cs="Calibri"/>
          <w:sz w:val="28"/>
          <w:szCs w:val="28"/>
        </w:rPr>
        <w:t>as human capital theory suggests</w:t>
      </w:r>
      <w:r w:rsidR="00C8778F">
        <w:rPr>
          <w:rFonts w:cs="Calibri"/>
          <w:sz w:val="28"/>
          <w:szCs w:val="28"/>
        </w:rPr>
        <w:t>. I</w:t>
      </w:r>
      <w:r w:rsidR="00BA4BF0">
        <w:rPr>
          <w:rFonts w:cs="Calibri"/>
          <w:sz w:val="28"/>
          <w:szCs w:val="28"/>
        </w:rPr>
        <w:t xml:space="preserve">t is equally plausible to </w:t>
      </w:r>
      <w:r w:rsidR="00C8778F">
        <w:rPr>
          <w:rFonts w:cs="Calibri"/>
          <w:sz w:val="28"/>
          <w:szCs w:val="28"/>
        </w:rPr>
        <w:t>claim</w:t>
      </w:r>
      <w:r w:rsidR="00BA4BF0">
        <w:rPr>
          <w:rFonts w:cs="Calibri"/>
          <w:sz w:val="28"/>
          <w:szCs w:val="28"/>
        </w:rPr>
        <w:t xml:space="preserve"> that </w:t>
      </w:r>
      <w:r w:rsidR="00E60D50" w:rsidRPr="00A73D76">
        <w:rPr>
          <w:rFonts w:cs="Calibri"/>
          <w:sz w:val="28"/>
          <w:szCs w:val="28"/>
        </w:rPr>
        <w:t xml:space="preserve">the </w:t>
      </w:r>
      <w:r w:rsidR="00F639B1" w:rsidRPr="00A73D76">
        <w:rPr>
          <w:rFonts w:cs="Calibri"/>
          <w:sz w:val="28"/>
          <w:szCs w:val="28"/>
        </w:rPr>
        <w:t xml:space="preserve">causality </w:t>
      </w:r>
      <w:r w:rsidR="00BA4BF0">
        <w:rPr>
          <w:rFonts w:cs="Calibri"/>
          <w:sz w:val="28"/>
          <w:szCs w:val="28"/>
        </w:rPr>
        <w:t>is</w:t>
      </w:r>
      <w:r w:rsidR="00F639B1" w:rsidRPr="00A73D76">
        <w:rPr>
          <w:rFonts w:cs="Calibri"/>
          <w:sz w:val="28"/>
          <w:szCs w:val="28"/>
        </w:rPr>
        <w:t xml:space="preserve"> reversed. </w:t>
      </w:r>
    </w:p>
    <w:p w14:paraId="10346ABD" w14:textId="56EAE5F2" w:rsidR="008D50BD" w:rsidRPr="00A73D76" w:rsidRDefault="008D50BD" w:rsidP="00F76E4D">
      <w:pPr>
        <w:ind w:firstLine="454"/>
        <w:rPr>
          <w:rFonts w:cs="Calibri"/>
          <w:sz w:val="28"/>
          <w:szCs w:val="28"/>
        </w:rPr>
      </w:pPr>
      <w:r>
        <w:rPr>
          <w:rFonts w:cs="Calibri"/>
          <w:sz w:val="28"/>
          <w:szCs w:val="28"/>
        </w:rPr>
        <w:t>What about the economic counter argument to human capital theory—</w:t>
      </w:r>
      <w:r w:rsidRPr="008D50BD">
        <w:rPr>
          <w:rFonts w:cs="Calibri"/>
          <w:sz w:val="28"/>
          <w:szCs w:val="28"/>
        </w:rPr>
        <w:t xml:space="preserve"> </w:t>
      </w:r>
      <w:r w:rsidRPr="00A73D76">
        <w:rPr>
          <w:rFonts w:cs="Calibri"/>
          <w:sz w:val="28"/>
          <w:szCs w:val="28"/>
        </w:rPr>
        <w:t>credentialism</w:t>
      </w:r>
      <w:r>
        <w:rPr>
          <w:rFonts w:cs="Calibri"/>
          <w:sz w:val="28"/>
          <w:szCs w:val="28"/>
        </w:rPr>
        <w:t xml:space="preserve">? </w:t>
      </w:r>
      <w:r w:rsidRPr="00A73D76">
        <w:rPr>
          <w:rFonts w:cs="Calibri"/>
          <w:sz w:val="28"/>
          <w:szCs w:val="28"/>
        </w:rPr>
        <w:t xml:space="preserve">In the counter </w:t>
      </w:r>
      <w:r>
        <w:rPr>
          <w:rFonts w:cs="Calibri"/>
          <w:sz w:val="28"/>
          <w:szCs w:val="28"/>
        </w:rPr>
        <w:t>argument</w:t>
      </w:r>
      <w:r w:rsidR="00F719A0">
        <w:rPr>
          <w:rFonts w:cs="Calibri"/>
          <w:sz w:val="28"/>
          <w:szCs w:val="28"/>
        </w:rPr>
        <w:t>,</w:t>
      </w:r>
      <w:r w:rsidRPr="00A73D76">
        <w:rPr>
          <w:rFonts w:cs="Calibri"/>
          <w:sz w:val="28"/>
          <w:szCs w:val="28"/>
        </w:rPr>
        <w:t xml:space="preserve"> the economic role of education is not to impart useful skills but to function as a sorting or screening system for employers. Here the growth of participation is </w:t>
      </w:r>
      <w:r w:rsidR="00F719A0">
        <w:rPr>
          <w:rFonts w:cs="Calibri"/>
          <w:sz w:val="28"/>
          <w:szCs w:val="28"/>
        </w:rPr>
        <w:t xml:space="preserve">seen as </w:t>
      </w:r>
      <w:r w:rsidRPr="00A73D76">
        <w:rPr>
          <w:rFonts w:cs="Calibri"/>
          <w:sz w:val="28"/>
          <w:szCs w:val="28"/>
        </w:rPr>
        <w:t>the outcome of growth in the number of people who use credentials as signs of employability, combined with the vested interest of institutions in multiplying and elevating educational programs and credentials to cater for th</w:t>
      </w:r>
      <w:r>
        <w:rPr>
          <w:rFonts w:cs="Calibri"/>
          <w:sz w:val="28"/>
          <w:szCs w:val="28"/>
        </w:rPr>
        <w:t>is behavior;</w:t>
      </w:r>
      <w:r w:rsidRPr="00A73D76">
        <w:rPr>
          <w:rFonts w:cs="Calibri"/>
          <w:sz w:val="28"/>
          <w:szCs w:val="28"/>
        </w:rPr>
        <w:t xml:space="preserve"> </w:t>
      </w:r>
      <w:r>
        <w:rPr>
          <w:rFonts w:cs="Calibri"/>
          <w:sz w:val="28"/>
          <w:szCs w:val="28"/>
        </w:rPr>
        <w:t>or perhaps</w:t>
      </w:r>
      <w:r w:rsidRPr="00A73D76">
        <w:rPr>
          <w:rFonts w:cs="Calibri"/>
          <w:sz w:val="28"/>
          <w:szCs w:val="28"/>
        </w:rPr>
        <w:t xml:space="preserve"> fostering such behavio</w:t>
      </w:r>
      <w:r>
        <w:rPr>
          <w:rFonts w:cs="Calibri"/>
          <w:sz w:val="28"/>
          <w:szCs w:val="28"/>
        </w:rPr>
        <w:t>u</w:t>
      </w:r>
      <w:r w:rsidRPr="00A73D76">
        <w:rPr>
          <w:rFonts w:cs="Calibri"/>
          <w:sz w:val="28"/>
          <w:szCs w:val="28"/>
        </w:rPr>
        <w:t>r in their own interests</w:t>
      </w:r>
      <w:r>
        <w:rPr>
          <w:rFonts w:cs="Calibri"/>
          <w:sz w:val="28"/>
          <w:szCs w:val="28"/>
        </w:rPr>
        <w:t xml:space="preserve"> as educational institutions</w:t>
      </w:r>
      <w:r w:rsidRPr="00A73D76">
        <w:rPr>
          <w:rFonts w:cs="Calibri"/>
          <w:sz w:val="28"/>
          <w:szCs w:val="28"/>
        </w:rPr>
        <w:t xml:space="preserve">. </w:t>
      </w:r>
    </w:p>
    <w:p w14:paraId="7F404BF3" w14:textId="231B5E5F" w:rsidR="008D50BD" w:rsidRDefault="008D50BD" w:rsidP="00F76E4D">
      <w:pPr>
        <w:ind w:firstLine="454"/>
        <w:rPr>
          <w:rFonts w:cs="Calibri"/>
          <w:sz w:val="28"/>
          <w:szCs w:val="28"/>
        </w:rPr>
      </w:pPr>
      <w:r>
        <w:rPr>
          <w:rFonts w:cs="Calibri"/>
          <w:sz w:val="28"/>
          <w:szCs w:val="28"/>
        </w:rPr>
        <w:t xml:space="preserve">It is true that </w:t>
      </w:r>
      <w:r w:rsidR="00F719A0">
        <w:rPr>
          <w:rFonts w:cs="Calibri"/>
          <w:sz w:val="28"/>
          <w:szCs w:val="28"/>
        </w:rPr>
        <w:t xml:space="preserve">educational </w:t>
      </w:r>
      <w:r>
        <w:rPr>
          <w:rFonts w:cs="Calibri"/>
          <w:sz w:val="28"/>
          <w:szCs w:val="28"/>
        </w:rPr>
        <w:t xml:space="preserve">credentials have a sorting role, and </w:t>
      </w:r>
      <w:r w:rsidR="00F719A0">
        <w:rPr>
          <w:rFonts w:cs="Calibri"/>
          <w:sz w:val="28"/>
          <w:szCs w:val="28"/>
        </w:rPr>
        <w:t xml:space="preserve">that </w:t>
      </w:r>
      <w:r>
        <w:rPr>
          <w:rFonts w:cs="Calibri"/>
          <w:sz w:val="28"/>
          <w:szCs w:val="28"/>
        </w:rPr>
        <w:t>many educational institutions want to expand their social reach.</w:t>
      </w:r>
      <w:r>
        <w:rPr>
          <w:rFonts w:cs="Times New Roman"/>
          <w:sz w:val="28"/>
          <w:szCs w:val="28"/>
        </w:rPr>
        <w:t xml:space="preserve"> However</w:t>
      </w:r>
      <w:r w:rsidRPr="00A73D76">
        <w:rPr>
          <w:rFonts w:cs="Times New Roman"/>
          <w:sz w:val="28"/>
          <w:szCs w:val="28"/>
        </w:rPr>
        <w:t xml:space="preserve">, occupational licensing and credential structures vary greatly between countries </w:t>
      </w:r>
      <w:r>
        <w:rPr>
          <w:rFonts w:cs="Times New Roman"/>
          <w:sz w:val="28"/>
          <w:szCs w:val="28"/>
        </w:rPr>
        <w:t>with</w:t>
      </w:r>
      <w:r w:rsidRPr="00A73D76">
        <w:rPr>
          <w:rFonts w:cs="Times New Roman"/>
          <w:sz w:val="28"/>
          <w:szCs w:val="28"/>
        </w:rPr>
        <w:t xml:space="preserve"> similar </w:t>
      </w:r>
      <w:r>
        <w:rPr>
          <w:rFonts w:cs="Times New Roman"/>
          <w:sz w:val="28"/>
          <w:szCs w:val="28"/>
        </w:rPr>
        <w:t xml:space="preserve">growth of participation; and </w:t>
      </w:r>
      <w:r w:rsidR="00F719A0">
        <w:rPr>
          <w:rFonts w:cs="Times New Roman"/>
          <w:sz w:val="28"/>
          <w:szCs w:val="28"/>
        </w:rPr>
        <w:t>the economic self-interest of</w:t>
      </w:r>
      <w:r>
        <w:rPr>
          <w:rFonts w:cs="Times New Roman"/>
          <w:sz w:val="28"/>
          <w:szCs w:val="28"/>
        </w:rPr>
        <w:t xml:space="preserve"> universities </w:t>
      </w:r>
      <w:r w:rsidR="00F719A0">
        <w:rPr>
          <w:rFonts w:cs="Times New Roman"/>
          <w:sz w:val="28"/>
          <w:szCs w:val="28"/>
        </w:rPr>
        <w:t xml:space="preserve">does not seem strong </w:t>
      </w:r>
      <w:r>
        <w:rPr>
          <w:rFonts w:cs="Times New Roman"/>
          <w:sz w:val="28"/>
          <w:szCs w:val="28"/>
        </w:rPr>
        <w:t>enough to</w:t>
      </w:r>
      <w:r w:rsidRPr="00A73D76">
        <w:rPr>
          <w:rFonts w:cs="Times New Roman"/>
          <w:sz w:val="28"/>
          <w:szCs w:val="28"/>
        </w:rPr>
        <w:t xml:space="preserve"> explain a social tendency as powerful </w:t>
      </w:r>
      <w:r>
        <w:rPr>
          <w:rFonts w:cs="Times New Roman"/>
          <w:sz w:val="28"/>
          <w:szCs w:val="28"/>
        </w:rPr>
        <w:t xml:space="preserve">as the </w:t>
      </w:r>
      <w:r w:rsidR="00F719A0">
        <w:rPr>
          <w:rFonts w:cs="Times New Roman"/>
          <w:sz w:val="28"/>
          <w:szCs w:val="28"/>
        </w:rPr>
        <w:t xml:space="preserve">long-term growth of participation. </w:t>
      </w:r>
      <w:r w:rsidRPr="00A73D76">
        <w:rPr>
          <w:rFonts w:cs="Times New Roman"/>
          <w:sz w:val="28"/>
          <w:szCs w:val="28"/>
        </w:rPr>
        <w:t xml:space="preserve">Credentialism </w:t>
      </w:r>
      <w:r w:rsidR="00F719A0">
        <w:rPr>
          <w:rFonts w:cs="Times New Roman"/>
          <w:sz w:val="28"/>
          <w:szCs w:val="28"/>
        </w:rPr>
        <w:t xml:space="preserve">looks </w:t>
      </w:r>
      <w:r w:rsidRPr="00A73D76">
        <w:rPr>
          <w:rFonts w:cs="Times New Roman"/>
          <w:sz w:val="28"/>
          <w:szCs w:val="28"/>
        </w:rPr>
        <w:t>more like</w:t>
      </w:r>
      <w:r w:rsidR="00F719A0">
        <w:rPr>
          <w:rFonts w:cs="Times New Roman"/>
          <w:sz w:val="28"/>
          <w:szCs w:val="28"/>
        </w:rPr>
        <w:t xml:space="preserve"> </w:t>
      </w:r>
      <w:r w:rsidRPr="00A73D76">
        <w:rPr>
          <w:rFonts w:cs="Times New Roman"/>
          <w:sz w:val="28"/>
          <w:szCs w:val="28"/>
        </w:rPr>
        <w:t xml:space="preserve">an opportunistic follower of educational expansion than a leader of it. </w:t>
      </w:r>
    </w:p>
    <w:p w14:paraId="06EA39D6" w14:textId="53DA0F59" w:rsidR="0086632E" w:rsidRPr="00A73D76" w:rsidRDefault="00F719A0" w:rsidP="00F76E4D">
      <w:pPr>
        <w:widowControl w:val="0"/>
        <w:autoSpaceDE w:val="0"/>
        <w:autoSpaceDN w:val="0"/>
        <w:adjustRightInd w:val="0"/>
        <w:ind w:firstLine="454"/>
        <w:rPr>
          <w:rFonts w:cs="Calibri"/>
          <w:sz w:val="28"/>
          <w:szCs w:val="28"/>
        </w:rPr>
      </w:pPr>
      <w:r>
        <w:rPr>
          <w:rFonts w:cs="Calibri"/>
          <w:sz w:val="28"/>
          <w:szCs w:val="28"/>
        </w:rPr>
        <w:t>Neither economic demand nor economic supply seems sufficient to explain educational growth. I</w:t>
      </w:r>
      <w:r w:rsidR="00C8778F">
        <w:rPr>
          <w:rFonts w:cs="Calibri"/>
          <w:sz w:val="28"/>
          <w:szCs w:val="28"/>
        </w:rPr>
        <w:t xml:space="preserve">t </w:t>
      </w:r>
      <w:r>
        <w:rPr>
          <w:rFonts w:cs="Calibri"/>
          <w:sz w:val="28"/>
          <w:szCs w:val="28"/>
        </w:rPr>
        <w:t>i</w:t>
      </w:r>
      <w:r w:rsidR="00C8778F">
        <w:rPr>
          <w:rFonts w:cs="Calibri"/>
          <w:sz w:val="28"/>
          <w:szCs w:val="28"/>
        </w:rPr>
        <w:t xml:space="preserve">s more credible to argue that economic development and educational development, which often </w:t>
      </w:r>
      <w:r>
        <w:rPr>
          <w:rFonts w:cs="Calibri"/>
          <w:sz w:val="28"/>
          <w:szCs w:val="28"/>
        </w:rPr>
        <w:t xml:space="preserve">seem to </w:t>
      </w:r>
      <w:r w:rsidR="00C8778F">
        <w:rPr>
          <w:rFonts w:cs="Calibri"/>
          <w:sz w:val="28"/>
          <w:szCs w:val="28"/>
        </w:rPr>
        <w:t>move in tandem, are partly decoupled in terms of causality</w:t>
      </w:r>
      <w:r>
        <w:rPr>
          <w:rFonts w:cs="Calibri"/>
          <w:sz w:val="28"/>
          <w:szCs w:val="28"/>
        </w:rPr>
        <w:t>, both responding to a common process of modernisation</w:t>
      </w:r>
      <w:r w:rsidR="00C8778F">
        <w:rPr>
          <w:rFonts w:cs="Calibri"/>
          <w:sz w:val="28"/>
          <w:szCs w:val="28"/>
        </w:rPr>
        <w:t xml:space="preserve">. </w:t>
      </w:r>
      <w:r w:rsidR="00B850A0" w:rsidRPr="00A73D76">
        <w:rPr>
          <w:rFonts w:cs="Calibri"/>
          <w:sz w:val="28"/>
          <w:szCs w:val="28"/>
        </w:rPr>
        <w:t xml:space="preserve">The </w:t>
      </w:r>
      <w:r w:rsidR="00BA4BF0">
        <w:rPr>
          <w:rFonts w:cs="Calibri"/>
          <w:sz w:val="28"/>
          <w:szCs w:val="28"/>
        </w:rPr>
        <w:t xml:space="preserve">only </w:t>
      </w:r>
      <w:r w:rsidR="00B850A0" w:rsidRPr="00A73D76">
        <w:rPr>
          <w:rFonts w:cs="Calibri"/>
          <w:sz w:val="28"/>
          <w:szCs w:val="28"/>
        </w:rPr>
        <w:t xml:space="preserve">economies where </w:t>
      </w:r>
      <w:r w:rsidR="00E560C0">
        <w:rPr>
          <w:rFonts w:cs="Calibri"/>
          <w:sz w:val="28"/>
          <w:szCs w:val="28"/>
        </w:rPr>
        <w:t xml:space="preserve">educational </w:t>
      </w:r>
      <w:r w:rsidR="00B850A0" w:rsidRPr="00A73D76">
        <w:rPr>
          <w:rFonts w:cs="Calibri"/>
          <w:sz w:val="28"/>
          <w:szCs w:val="28"/>
        </w:rPr>
        <w:t xml:space="preserve">participation </w:t>
      </w:r>
      <w:r w:rsidR="0086632E">
        <w:rPr>
          <w:rFonts w:cs="Calibri"/>
          <w:sz w:val="28"/>
          <w:szCs w:val="28"/>
        </w:rPr>
        <w:t>is</w:t>
      </w:r>
      <w:r w:rsidR="00B850A0" w:rsidRPr="00A73D76">
        <w:rPr>
          <w:rFonts w:cs="Calibri"/>
          <w:sz w:val="28"/>
          <w:szCs w:val="28"/>
        </w:rPr>
        <w:t xml:space="preserve"> </w:t>
      </w:r>
      <w:r w:rsidR="00E560C0">
        <w:rPr>
          <w:rFonts w:cs="Calibri"/>
          <w:sz w:val="28"/>
          <w:szCs w:val="28"/>
        </w:rPr>
        <w:t xml:space="preserve">typically </w:t>
      </w:r>
      <w:r w:rsidR="00B850A0" w:rsidRPr="00A73D76">
        <w:rPr>
          <w:rFonts w:cs="Calibri"/>
          <w:sz w:val="28"/>
          <w:szCs w:val="28"/>
        </w:rPr>
        <w:t xml:space="preserve">low and slow to grow are </w:t>
      </w:r>
      <w:r w:rsidR="0086632E">
        <w:rPr>
          <w:rFonts w:cs="Calibri"/>
          <w:sz w:val="28"/>
          <w:szCs w:val="28"/>
        </w:rPr>
        <w:t>low income economies</w:t>
      </w:r>
      <w:r w:rsidR="00C8778F">
        <w:rPr>
          <w:rFonts w:cs="Calibri"/>
          <w:sz w:val="28"/>
          <w:szCs w:val="28"/>
        </w:rPr>
        <w:t xml:space="preserve"> with insufficient public and private resources to support higher education at scale, </w:t>
      </w:r>
      <w:r w:rsidR="00FB05E8">
        <w:rPr>
          <w:rFonts w:cs="Calibri"/>
          <w:sz w:val="28"/>
          <w:szCs w:val="28"/>
        </w:rPr>
        <w:t xml:space="preserve">economies </w:t>
      </w:r>
      <w:r w:rsidR="00B850A0" w:rsidRPr="00A73D76">
        <w:rPr>
          <w:rFonts w:cs="Calibri"/>
          <w:sz w:val="28"/>
          <w:szCs w:val="28"/>
        </w:rPr>
        <w:t>with a high proportion of labour in agriculture</w:t>
      </w:r>
      <w:r w:rsidR="00C8778F">
        <w:rPr>
          <w:rFonts w:cs="Calibri"/>
          <w:sz w:val="28"/>
          <w:szCs w:val="28"/>
        </w:rPr>
        <w:t xml:space="preserve">, </w:t>
      </w:r>
      <w:r w:rsidR="00FB05E8">
        <w:rPr>
          <w:rFonts w:cs="Calibri"/>
          <w:sz w:val="28"/>
          <w:szCs w:val="28"/>
        </w:rPr>
        <w:t>and relatively small</w:t>
      </w:r>
      <w:r w:rsidR="00C8778F">
        <w:rPr>
          <w:rFonts w:cs="Calibri"/>
          <w:sz w:val="28"/>
          <w:szCs w:val="28"/>
        </w:rPr>
        <w:t xml:space="preserve"> middle class </w:t>
      </w:r>
      <w:r w:rsidR="00FB05E8">
        <w:rPr>
          <w:rFonts w:cs="Calibri"/>
          <w:sz w:val="28"/>
          <w:szCs w:val="28"/>
        </w:rPr>
        <w:t>populations</w:t>
      </w:r>
      <w:r w:rsidR="00B850A0" w:rsidRPr="00A73D76">
        <w:rPr>
          <w:rFonts w:cs="Calibri"/>
          <w:sz w:val="28"/>
          <w:szCs w:val="28"/>
        </w:rPr>
        <w:t xml:space="preserve">. </w:t>
      </w:r>
      <w:r w:rsidR="00C8778F">
        <w:rPr>
          <w:rFonts w:cs="Calibri"/>
          <w:sz w:val="28"/>
          <w:szCs w:val="28"/>
        </w:rPr>
        <w:t>T</w:t>
      </w:r>
      <w:r w:rsidR="0086632E">
        <w:rPr>
          <w:rFonts w:cs="Calibri"/>
          <w:sz w:val="28"/>
          <w:szCs w:val="28"/>
        </w:rPr>
        <w:t xml:space="preserve">he best predictor </w:t>
      </w:r>
      <w:r w:rsidR="00BA4BF0">
        <w:rPr>
          <w:rFonts w:cs="Calibri"/>
          <w:sz w:val="28"/>
          <w:szCs w:val="28"/>
        </w:rPr>
        <w:t xml:space="preserve">of </w:t>
      </w:r>
      <w:r w:rsidR="00C8778F">
        <w:rPr>
          <w:rFonts w:cs="Calibri"/>
          <w:sz w:val="28"/>
          <w:szCs w:val="28"/>
        </w:rPr>
        <w:t>a nation’s</w:t>
      </w:r>
      <w:r w:rsidR="00BA4BF0">
        <w:rPr>
          <w:rFonts w:cs="Calibri"/>
          <w:sz w:val="28"/>
          <w:szCs w:val="28"/>
        </w:rPr>
        <w:t xml:space="preserve"> level of participation in tertiary education is </w:t>
      </w:r>
      <w:r w:rsidR="00C8778F">
        <w:rPr>
          <w:rFonts w:cs="Calibri"/>
          <w:sz w:val="28"/>
          <w:szCs w:val="28"/>
        </w:rPr>
        <w:t>the</w:t>
      </w:r>
      <w:r w:rsidR="00BA4BF0">
        <w:rPr>
          <w:rFonts w:cs="Calibri"/>
          <w:sz w:val="28"/>
          <w:szCs w:val="28"/>
        </w:rPr>
        <w:t xml:space="preserve"> level of </w:t>
      </w:r>
      <w:r w:rsidR="00C8778F">
        <w:rPr>
          <w:rFonts w:cs="Calibri"/>
          <w:sz w:val="28"/>
          <w:szCs w:val="28"/>
        </w:rPr>
        <w:t>urbanis</w:t>
      </w:r>
      <w:r w:rsidR="00BA4BF0">
        <w:rPr>
          <w:rFonts w:cs="Calibri"/>
          <w:sz w:val="28"/>
          <w:szCs w:val="28"/>
        </w:rPr>
        <w:t>ation</w:t>
      </w:r>
      <w:r w:rsidR="00C8778F">
        <w:rPr>
          <w:rFonts w:cs="Calibri"/>
          <w:sz w:val="28"/>
          <w:szCs w:val="28"/>
        </w:rPr>
        <w:t xml:space="preserve">, the proportion of the population living in </w:t>
      </w:r>
      <w:r w:rsidR="00C8778F">
        <w:rPr>
          <w:rFonts w:cs="Calibri"/>
          <w:sz w:val="28"/>
          <w:szCs w:val="28"/>
        </w:rPr>
        <w:lastRenderedPageBreak/>
        <w:t>cities</w:t>
      </w:r>
      <w:r w:rsidR="00BA4BF0">
        <w:rPr>
          <w:rFonts w:cs="Calibri"/>
          <w:sz w:val="28"/>
          <w:szCs w:val="28"/>
        </w:rPr>
        <w:t xml:space="preserve">. </w:t>
      </w:r>
      <w:r w:rsidR="00FB05E8">
        <w:rPr>
          <w:rFonts w:cs="Calibri"/>
          <w:sz w:val="28"/>
          <w:szCs w:val="28"/>
        </w:rPr>
        <w:t xml:space="preserve">Note that national middle classes are largely concentrated in cities. </w:t>
      </w:r>
    </w:p>
    <w:p w14:paraId="6CD05B6F" w14:textId="77777777" w:rsidR="00E560C0" w:rsidRDefault="00E560C0" w:rsidP="00F76E4D">
      <w:pPr>
        <w:rPr>
          <w:sz w:val="28"/>
          <w:szCs w:val="28"/>
        </w:rPr>
      </w:pPr>
    </w:p>
    <w:p w14:paraId="1050B008" w14:textId="30C8443D" w:rsidR="00E560C0" w:rsidRDefault="00C8778F" w:rsidP="00F76E4D">
      <w:pPr>
        <w:rPr>
          <w:sz w:val="28"/>
          <w:szCs w:val="28"/>
        </w:rPr>
      </w:pPr>
      <w:r w:rsidRPr="00C8778F">
        <w:rPr>
          <w:b/>
          <w:bCs/>
          <w:i/>
          <w:iCs/>
          <w:sz w:val="28"/>
          <w:szCs w:val="28"/>
        </w:rPr>
        <w:t>Proportion of popula</w:t>
      </w:r>
      <w:r>
        <w:rPr>
          <w:b/>
          <w:bCs/>
          <w:i/>
          <w:iCs/>
          <w:sz w:val="28"/>
          <w:szCs w:val="28"/>
        </w:rPr>
        <w:t xml:space="preserve">tion living in urban areas (%) </w:t>
      </w:r>
      <w:r w:rsidRPr="00C8778F">
        <w:rPr>
          <w:b/>
          <w:bCs/>
          <w:i/>
          <w:iCs/>
          <w:sz w:val="28"/>
          <w:szCs w:val="28"/>
        </w:rPr>
        <w:t>and Gross Tertiary Enrolment Ratio (%), 2011</w:t>
      </w:r>
    </w:p>
    <w:p w14:paraId="416E5582" w14:textId="34D622EE" w:rsidR="00FB05E8" w:rsidRPr="00A73D76" w:rsidRDefault="00FB05E8" w:rsidP="00F76E4D">
      <w:pPr>
        <w:widowControl w:val="0"/>
        <w:autoSpaceDE w:val="0"/>
        <w:autoSpaceDN w:val="0"/>
        <w:adjustRightInd w:val="0"/>
        <w:rPr>
          <w:rFonts w:cs="Calibri"/>
          <w:sz w:val="28"/>
          <w:szCs w:val="28"/>
        </w:rPr>
      </w:pPr>
      <w:r w:rsidRPr="00A73D76">
        <w:rPr>
          <w:rFonts w:cs="Calibri"/>
          <w:sz w:val="28"/>
          <w:szCs w:val="28"/>
        </w:rPr>
        <w:t>The graph lists 20 large countries by population, arranged i</w:t>
      </w:r>
      <w:r>
        <w:rPr>
          <w:rFonts w:cs="Calibri"/>
          <w:sz w:val="28"/>
          <w:szCs w:val="28"/>
        </w:rPr>
        <w:t>n order of the extent of urbanis</w:t>
      </w:r>
      <w:r w:rsidRPr="00A73D76">
        <w:rPr>
          <w:rFonts w:cs="Calibri"/>
          <w:sz w:val="28"/>
          <w:szCs w:val="28"/>
        </w:rPr>
        <w:t xml:space="preserve">ation. It compares the </w:t>
      </w:r>
      <w:r>
        <w:rPr>
          <w:rFonts w:cs="Calibri"/>
          <w:sz w:val="28"/>
          <w:szCs w:val="28"/>
        </w:rPr>
        <w:t xml:space="preserve">proportion of people living in </w:t>
      </w:r>
      <w:r w:rsidRPr="00A73D76">
        <w:rPr>
          <w:rFonts w:cs="Calibri"/>
          <w:sz w:val="28"/>
          <w:szCs w:val="28"/>
        </w:rPr>
        <w:t>cities</w:t>
      </w:r>
      <w:r w:rsidR="00CF58D4">
        <w:rPr>
          <w:rFonts w:cs="Calibri"/>
          <w:sz w:val="28"/>
          <w:szCs w:val="28"/>
        </w:rPr>
        <w:t xml:space="preserve"> in each nation</w:t>
      </w:r>
      <w:r w:rsidRPr="00A73D76">
        <w:rPr>
          <w:rFonts w:cs="Calibri"/>
          <w:sz w:val="28"/>
          <w:szCs w:val="28"/>
        </w:rPr>
        <w:t xml:space="preserve">, to </w:t>
      </w:r>
      <w:r w:rsidR="00CF58D4" w:rsidRPr="00A73D76">
        <w:rPr>
          <w:rFonts w:cs="Calibri"/>
          <w:sz w:val="28"/>
          <w:szCs w:val="28"/>
        </w:rPr>
        <w:t xml:space="preserve">the proportion </w:t>
      </w:r>
      <w:r w:rsidR="00CF58D4">
        <w:rPr>
          <w:rFonts w:cs="Calibri"/>
          <w:sz w:val="28"/>
          <w:szCs w:val="28"/>
        </w:rPr>
        <w:t>who will enrol</w:t>
      </w:r>
      <w:r w:rsidR="00CF58D4" w:rsidRPr="00A73D76">
        <w:rPr>
          <w:rFonts w:cs="Calibri"/>
          <w:sz w:val="28"/>
          <w:szCs w:val="28"/>
        </w:rPr>
        <w:t xml:space="preserve"> </w:t>
      </w:r>
      <w:r w:rsidR="00CF58D4">
        <w:rPr>
          <w:rFonts w:cs="Calibri"/>
          <w:sz w:val="28"/>
          <w:szCs w:val="28"/>
        </w:rPr>
        <w:t xml:space="preserve">in tertiary education, the </w:t>
      </w:r>
      <w:r w:rsidRPr="00A73D76">
        <w:rPr>
          <w:rFonts w:cs="Calibri"/>
          <w:sz w:val="28"/>
          <w:szCs w:val="28"/>
        </w:rPr>
        <w:t xml:space="preserve">UNESCO </w:t>
      </w:r>
      <w:r w:rsidR="00CF58D4">
        <w:rPr>
          <w:rFonts w:cs="Calibri"/>
          <w:sz w:val="28"/>
          <w:szCs w:val="28"/>
        </w:rPr>
        <w:t>GTER</w:t>
      </w:r>
      <w:r w:rsidRPr="00A73D76">
        <w:rPr>
          <w:rFonts w:cs="Calibri"/>
          <w:sz w:val="28"/>
          <w:szCs w:val="28"/>
        </w:rPr>
        <w:t xml:space="preserve">. </w:t>
      </w:r>
      <w:r w:rsidR="00CF58D4">
        <w:rPr>
          <w:rFonts w:cs="Calibri"/>
          <w:sz w:val="28"/>
          <w:szCs w:val="28"/>
        </w:rPr>
        <w:t>Mostly</w:t>
      </w:r>
      <w:r>
        <w:rPr>
          <w:rFonts w:cs="Calibri"/>
          <w:sz w:val="28"/>
          <w:szCs w:val="28"/>
        </w:rPr>
        <w:t xml:space="preserve"> the rate of urbanis</w:t>
      </w:r>
      <w:r w:rsidRPr="00A73D76">
        <w:rPr>
          <w:rFonts w:cs="Calibri"/>
          <w:sz w:val="28"/>
          <w:szCs w:val="28"/>
        </w:rPr>
        <w:t>ation exceeds tertiary participation. Enrolment ratios are</w:t>
      </w:r>
      <w:r>
        <w:rPr>
          <w:rFonts w:cs="Calibri"/>
          <w:sz w:val="28"/>
          <w:szCs w:val="28"/>
        </w:rPr>
        <w:t xml:space="preserve"> well below urbanis</w:t>
      </w:r>
      <w:r w:rsidRPr="00A73D76">
        <w:rPr>
          <w:rFonts w:cs="Calibri"/>
          <w:sz w:val="28"/>
          <w:szCs w:val="28"/>
        </w:rPr>
        <w:t xml:space="preserve">ation in the poorest countries: Congo, Pakistan and Bangladesh. </w:t>
      </w:r>
      <w:r w:rsidR="0052694D">
        <w:rPr>
          <w:rFonts w:cs="Calibri"/>
          <w:sz w:val="28"/>
          <w:szCs w:val="28"/>
        </w:rPr>
        <w:t>But</w:t>
      </w:r>
      <w:r w:rsidRPr="00A73D76">
        <w:rPr>
          <w:rFonts w:cs="Calibri"/>
          <w:sz w:val="28"/>
          <w:szCs w:val="28"/>
        </w:rPr>
        <w:t xml:space="preserve"> the line of best fit suggests a st</w:t>
      </w:r>
      <w:r>
        <w:rPr>
          <w:rFonts w:cs="Calibri"/>
          <w:sz w:val="28"/>
          <w:szCs w:val="28"/>
        </w:rPr>
        <w:t>rong association between urbanis</w:t>
      </w:r>
      <w:r w:rsidRPr="00A73D76">
        <w:rPr>
          <w:rFonts w:cs="Calibri"/>
          <w:sz w:val="28"/>
          <w:szCs w:val="28"/>
        </w:rPr>
        <w:t xml:space="preserve">ation and the </w:t>
      </w:r>
      <w:r w:rsidR="00CF58D4">
        <w:rPr>
          <w:rFonts w:cs="Calibri"/>
          <w:sz w:val="28"/>
          <w:szCs w:val="28"/>
        </w:rPr>
        <w:t>GTER. This does not mean urbanis</w:t>
      </w:r>
      <w:r w:rsidRPr="00A73D76">
        <w:rPr>
          <w:rFonts w:cs="Calibri"/>
          <w:sz w:val="28"/>
          <w:szCs w:val="28"/>
        </w:rPr>
        <w:t xml:space="preserve">ation ‘causes’ participation. Rather, the expansion of the </w:t>
      </w:r>
      <w:r w:rsidR="0052694D">
        <w:rPr>
          <w:rFonts w:cs="Calibri"/>
          <w:sz w:val="28"/>
          <w:szCs w:val="28"/>
        </w:rPr>
        <w:t>economies, cities</w:t>
      </w:r>
      <w:r w:rsidRPr="00A73D76">
        <w:rPr>
          <w:rFonts w:cs="Calibri"/>
          <w:sz w:val="28"/>
          <w:szCs w:val="28"/>
        </w:rPr>
        <w:t xml:space="preserve"> and middle classes are </w:t>
      </w:r>
      <w:r w:rsidR="0052694D">
        <w:rPr>
          <w:rFonts w:cs="Calibri"/>
          <w:sz w:val="28"/>
          <w:szCs w:val="28"/>
        </w:rPr>
        <w:t>all</w:t>
      </w:r>
      <w:r w:rsidRPr="00A73D76">
        <w:rPr>
          <w:rFonts w:cs="Calibri"/>
          <w:sz w:val="28"/>
          <w:szCs w:val="28"/>
        </w:rPr>
        <w:t xml:space="preserve"> sourced in capitalist </w:t>
      </w:r>
      <w:r w:rsidR="0052694D">
        <w:rPr>
          <w:rFonts w:cs="Calibri"/>
          <w:sz w:val="28"/>
          <w:szCs w:val="28"/>
        </w:rPr>
        <w:t>modernisation;</w:t>
      </w:r>
      <w:r w:rsidRPr="00A73D76">
        <w:rPr>
          <w:rFonts w:cs="Calibri"/>
          <w:sz w:val="28"/>
          <w:szCs w:val="28"/>
        </w:rPr>
        <w:t xml:space="preserve"> and </w:t>
      </w:r>
      <w:r w:rsidR="00CF58D4">
        <w:rPr>
          <w:rFonts w:cs="Calibri"/>
          <w:sz w:val="28"/>
          <w:szCs w:val="28"/>
        </w:rPr>
        <w:t xml:space="preserve">the </w:t>
      </w:r>
      <w:r w:rsidR="0052694D">
        <w:rPr>
          <w:rFonts w:cs="Calibri"/>
          <w:sz w:val="28"/>
          <w:szCs w:val="28"/>
        </w:rPr>
        <w:t xml:space="preserve">growing </w:t>
      </w:r>
      <w:r w:rsidRPr="00A73D76">
        <w:rPr>
          <w:rFonts w:cs="Calibri"/>
          <w:sz w:val="28"/>
          <w:szCs w:val="28"/>
        </w:rPr>
        <w:t xml:space="preserve">urban middle classes primarily sustain growth in social demand for education. </w:t>
      </w:r>
    </w:p>
    <w:p w14:paraId="3DFC96D7" w14:textId="514CB5FD" w:rsidR="008D50BD" w:rsidRPr="00A73D76" w:rsidRDefault="008D50BD" w:rsidP="00F76E4D">
      <w:pPr>
        <w:widowControl w:val="0"/>
        <w:autoSpaceDE w:val="0"/>
        <w:autoSpaceDN w:val="0"/>
        <w:adjustRightInd w:val="0"/>
        <w:ind w:firstLine="454"/>
        <w:rPr>
          <w:sz w:val="28"/>
          <w:szCs w:val="28"/>
        </w:rPr>
      </w:pPr>
      <w:r>
        <w:rPr>
          <w:rFonts w:cs="Calibri"/>
          <w:sz w:val="28"/>
          <w:szCs w:val="28"/>
        </w:rPr>
        <w:t>Between</w:t>
      </w:r>
      <w:r w:rsidRPr="00A73D76">
        <w:rPr>
          <w:rFonts w:cs="Calibri"/>
          <w:sz w:val="28"/>
          <w:szCs w:val="28"/>
        </w:rPr>
        <w:t xml:space="preserve"> 1970 and 2010 the urban proportion of the world’s population rose from 37 to 52 per cent. In South America it climbed from 60 to 83 per cent, in China from 17 to 49 per cent and in Indonesia from 17 to 50 per cent. It grew more slowly</w:t>
      </w:r>
      <w:r>
        <w:rPr>
          <w:rFonts w:cs="Calibri"/>
          <w:sz w:val="28"/>
          <w:szCs w:val="28"/>
        </w:rPr>
        <w:t xml:space="preserve"> in India,</w:t>
      </w:r>
      <w:r w:rsidRPr="00A73D76">
        <w:rPr>
          <w:rFonts w:cs="Calibri"/>
          <w:sz w:val="28"/>
          <w:szCs w:val="28"/>
        </w:rPr>
        <w:t xml:space="preserve"> from 20 to 31 per cent. The </w:t>
      </w:r>
      <w:r>
        <w:rPr>
          <w:rFonts w:cs="Calibri"/>
          <w:sz w:val="28"/>
          <w:szCs w:val="28"/>
        </w:rPr>
        <w:t>urban concentration</w:t>
      </w:r>
      <w:r w:rsidRPr="00A73D76">
        <w:rPr>
          <w:rFonts w:cs="Calibri"/>
          <w:sz w:val="28"/>
          <w:szCs w:val="28"/>
        </w:rPr>
        <w:t xml:space="preserve"> of the middle class builds a critical mass of upper secondary students, and </w:t>
      </w:r>
      <w:r>
        <w:rPr>
          <w:rFonts w:cs="Calibri"/>
          <w:sz w:val="28"/>
          <w:szCs w:val="28"/>
        </w:rPr>
        <w:t>magnifies</w:t>
      </w:r>
      <w:r w:rsidRPr="00A73D76">
        <w:rPr>
          <w:rFonts w:cs="Calibri"/>
          <w:sz w:val="28"/>
          <w:szCs w:val="28"/>
        </w:rPr>
        <w:t xml:space="preserve"> political pressure for expanded </w:t>
      </w:r>
      <w:r>
        <w:rPr>
          <w:rFonts w:cs="Calibri"/>
          <w:sz w:val="28"/>
          <w:szCs w:val="28"/>
        </w:rPr>
        <w:t xml:space="preserve">tertiary </w:t>
      </w:r>
      <w:r w:rsidRPr="00A73D76">
        <w:rPr>
          <w:rFonts w:cs="Calibri"/>
          <w:sz w:val="28"/>
          <w:szCs w:val="28"/>
        </w:rPr>
        <w:t xml:space="preserve">provision, while </w:t>
      </w:r>
      <w:r>
        <w:rPr>
          <w:rFonts w:cs="Calibri"/>
          <w:sz w:val="28"/>
          <w:szCs w:val="28"/>
        </w:rPr>
        <w:t xml:space="preserve">also </w:t>
      </w:r>
      <w:r w:rsidRPr="00A73D76">
        <w:rPr>
          <w:rFonts w:cs="Calibri"/>
          <w:sz w:val="28"/>
          <w:szCs w:val="28"/>
        </w:rPr>
        <w:t xml:space="preserve">enabling economies of scale. </w:t>
      </w:r>
      <w:r>
        <w:rPr>
          <w:rFonts w:cs="Calibri"/>
          <w:sz w:val="28"/>
          <w:szCs w:val="28"/>
        </w:rPr>
        <w:t>Because of size and cost factors, advanced</w:t>
      </w:r>
      <w:r w:rsidRPr="00A73D76">
        <w:rPr>
          <w:rFonts w:cs="Calibri"/>
          <w:sz w:val="28"/>
          <w:szCs w:val="28"/>
        </w:rPr>
        <w:t xml:space="preserve"> education</w:t>
      </w:r>
      <w:r>
        <w:rPr>
          <w:rFonts w:cs="Calibri"/>
          <w:sz w:val="28"/>
          <w:szCs w:val="28"/>
        </w:rPr>
        <w:t>al</w:t>
      </w:r>
      <w:r w:rsidRPr="00A73D76">
        <w:rPr>
          <w:rFonts w:cs="Calibri"/>
          <w:sz w:val="28"/>
          <w:szCs w:val="28"/>
        </w:rPr>
        <w:t xml:space="preserve"> infrastructure is </w:t>
      </w:r>
      <w:r>
        <w:rPr>
          <w:rFonts w:cs="Calibri"/>
          <w:sz w:val="28"/>
          <w:szCs w:val="28"/>
        </w:rPr>
        <w:t>largely located</w:t>
      </w:r>
      <w:r w:rsidRPr="00A73D76">
        <w:rPr>
          <w:rFonts w:cs="Calibri"/>
          <w:sz w:val="28"/>
          <w:szCs w:val="28"/>
        </w:rPr>
        <w:t xml:space="preserve"> in cities. </w:t>
      </w:r>
      <w:r>
        <w:rPr>
          <w:rFonts w:cs="Calibri"/>
          <w:sz w:val="28"/>
          <w:szCs w:val="28"/>
        </w:rPr>
        <w:t>With higher education concentrated in cities</w:t>
      </w:r>
      <w:r w:rsidRPr="00A73D76">
        <w:rPr>
          <w:rFonts w:cs="Calibri"/>
          <w:sz w:val="28"/>
          <w:szCs w:val="28"/>
        </w:rPr>
        <w:t xml:space="preserve"> </w:t>
      </w:r>
      <w:r>
        <w:rPr>
          <w:rFonts w:cs="Calibri"/>
          <w:sz w:val="28"/>
          <w:szCs w:val="28"/>
        </w:rPr>
        <w:t>it</w:t>
      </w:r>
      <w:r w:rsidRPr="00A73D76">
        <w:rPr>
          <w:rFonts w:cs="Calibri"/>
          <w:sz w:val="28"/>
          <w:szCs w:val="28"/>
        </w:rPr>
        <w:t xml:space="preserve"> becomes visible to many other aspiring families, </w:t>
      </w:r>
      <w:r>
        <w:rPr>
          <w:rFonts w:cs="Calibri"/>
          <w:sz w:val="28"/>
          <w:szCs w:val="28"/>
        </w:rPr>
        <w:t xml:space="preserve">below the affluent middle class. In this manner </w:t>
      </w:r>
      <w:r w:rsidRPr="00A73D76">
        <w:rPr>
          <w:rFonts w:cs="Calibri"/>
          <w:sz w:val="28"/>
          <w:szCs w:val="28"/>
        </w:rPr>
        <w:t xml:space="preserve">aspirations </w:t>
      </w:r>
      <w:r>
        <w:rPr>
          <w:rFonts w:cs="Calibri"/>
          <w:sz w:val="28"/>
          <w:szCs w:val="28"/>
        </w:rPr>
        <w:t xml:space="preserve">for tertiary education spread </w:t>
      </w:r>
      <w:r w:rsidRPr="00A73D76">
        <w:rPr>
          <w:rFonts w:cs="Calibri"/>
          <w:sz w:val="28"/>
          <w:szCs w:val="28"/>
        </w:rPr>
        <w:t xml:space="preserve">down </w:t>
      </w:r>
      <w:r>
        <w:rPr>
          <w:rFonts w:cs="Calibri"/>
          <w:sz w:val="28"/>
          <w:szCs w:val="28"/>
        </w:rPr>
        <w:t>through the social structure towards universality</w:t>
      </w:r>
      <w:r w:rsidRPr="00A73D76">
        <w:rPr>
          <w:rFonts w:cs="Calibri"/>
          <w:sz w:val="28"/>
          <w:szCs w:val="28"/>
        </w:rPr>
        <w:t>.</w:t>
      </w:r>
    </w:p>
    <w:p w14:paraId="1E338E73" w14:textId="661A6BBF" w:rsidR="008D50BD" w:rsidRDefault="008D50BD" w:rsidP="00F76E4D">
      <w:pPr>
        <w:widowControl w:val="0"/>
        <w:autoSpaceDE w:val="0"/>
        <w:autoSpaceDN w:val="0"/>
        <w:adjustRightInd w:val="0"/>
        <w:ind w:firstLine="454"/>
        <w:rPr>
          <w:rFonts w:cs="Calibri"/>
          <w:sz w:val="28"/>
          <w:szCs w:val="28"/>
        </w:rPr>
      </w:pPr>
      <w:r w:rsidRPr="00A73D76">
        <w:rPr>
          <w:rFonts w:cs="Calibri"/>
          <w:sz w:val="28"/>
          <w:szCs w:val="28"/>
        </w:rPr>
        <w:t xml:space="preserve">In a study for Brookings and the OECD, Homi Kharas and colleagues define a middle class person as someone living on $10-$100 USD per day in Purchasing Power Parity terms. On this basis 1.8 billion persons were middle class in 2009, 28 per cent of world population, and a further 2 per cent were ‘rich’. Thus 30 per cent of all persons were middle class or above, a level similar to the world GTER of 28 per cent in 2009. The authors also find that ‘over the coming twenty years the world evolves from being mostly poor to mostly middle class’. The middle classes rise from 1.8 billion persons in 2009 to 4.9 billion in 2030. Most of the growth is in Asia-Pacific, from 0.5 to 3.2 billion, principally in China and India. Using a more restricted definition of middle class, the World Bank expects its share of global population to more than double by 2030 (p. 6). </w:t>
      </w:r>
      <w:r w:rsidR="009330F9">
        <w:rPr>
          <w:rFonts w:cs="Calibri"/>
          <w:sz w:val="28"/>
          <w:szCs w:val="28"/>
        </w:rPr>
        <w:t>This ballooning of</w:t>
      </w:r>
      <w:r w:rsidRPr="00A73D76">
        <w:rPr>
          <w:rFonts w:cs="Calibri"/>
          <w:sz w:val="28"/>
          <w:szCs w:val="28"/>
        </w:rPr>
        <w:t xml:space="preserve"> the</w:t>
      </w:r>
      <w:r w:rsidR="009330F9">
        <w:rPr>
          <w:rFonts w:cs="Calibri"/>
          <w:sz w:val="28"/>
          <w:szCs w:val="28"/>
        </w:rPr>
        <w:t xml:space="preserve"> global</w:t>
      </w:r>
      <w:r w:rsidRPr="00A73D76">
        <w:rPr>
          <w:rFonts w:cs="Calibri"/>
          <w:sz w:val="28"/>
          <w:szCs w:val="28"/>
        </w:rPr>
        <w:t xml:space="preserve"> middle class </w:t>
      </w:r>
      <w:r w:rsidR="009330F9">
        <w:rPr>
          <w:rFonts w:cs="Calibri"/>
          <w:sz w:val="28"/>
          <w:szCs w:val="28"/>
        </w:rPr>
        <w:t>suggests that in future the growth o</w:t>
      </w:r>
      <w:r w:rsidRPr="00A73D76">
        <w:rPr>
          <w:rFonts w:cs="Calibri"/>
          <w:sz w:val="28"/>
          <w:szCs w:val="28"/>
        </w:rPr>
        <w:t xml:space="preserve">f participation in </w:t>
      </w:r>
      <w:r>
        <w:rPr>
          <w:rFonts w:cs="Calibri"/>
          <w:sz w:val="28"/>
          <w:szCs w:val="28"/>
        </w:rPr>
        <w:t>tertiary</w:t>
      </w:r>
      <w:r w:rsidRPr="00A73D76">
        <w:rPr>
          <w:rFonts w:cs="Calibri"/>
          <w:sz w:val="28"/>
          <w:szCs w:val="28"/>
        </w:rPr>
        <w:t xml:space="preserve"> education</w:t>
      </w:r>
      <w:r w:rsidR="009330F9">
        <w:rPr>
          <w:rFonts w:cs="Calibri"/>
          <w:sz w:val="28"/>
          <w:szCs w:val="28"/>
        </w:rPr>
        <w:t xml:space="preserve"> will accelerate</w:t>
      </w:r>
      <w:r w:rsidRPr="00A73D76">
        <w:rPr>
          <w:rFonts w:cs="Calibri"/>
          <w:sz w:val="28"/>
          <w:szCs w:val="28"/>
        </w:rPr>
        <w:t xml:space="preserve">. </w:t>
      </w:r>
    </w:p>
    <w:p w14:paraId="1F76D5B3" w14:textId="2CF0E628" w:rsidR="00427E23" w:rsidRDefault="00427E23" w:rsidP="00F76E4D">
      <w:pPr>
        <w:ind w:firstLine="454"/>
        <w:rPr>
          <w:sz w:val="28"/>
          <w:szCs w:val="28"/>
          <w:lang w:val="en-GB"/>
        </w:rPr>
      </w:pPr>
      <w:r>
        <w:rPr>
          <w:sz w:val="28"/>
          <w:szCs w:val="28"/>
        </w:rPr>
        <w:t>I will now move to the third theme of the four, which is the relations between educational g</w:t>
      </w:r>
      <w:r w:rsidRPr="0091193C">
        <w:rPr>
          <w:sz w:val="28"/>
          <w:szCs w:val="28"/>
        </w:rPr>
        <w:t xml:space="preserve">rowth, social mobility and </w:t>
      </w:r>
      <w:r>
        <w:rPr>
          <w:sz w:val="28"/>
          <w:szCs w:val="28"/>
        </w:rPr>
        <w:t xml:space="preserve">social </w:t>
      </w:r>
      <w:r w:rsidRPr="0091193C">
        <w:rPr>
          <w:sz w:val="28"/>
          <w:szCs w:val="28"/>
        </w:rPr>
        <w:t>inequality</w:t>
      </w:r>
      <w:r>
        <w:rPr>
          <w:sz w:val="28"/>
          <w:szCs w:val="28"/>
          <w:lang w:val="en-GB"/>
        </w:rPr>
        <w:t>.</w:t>
      </w:r>
    </w:p>
    <w:p w14:paraId="342C17CC" w14:textId="77777777" w:rsidR="00AE33DA" w:rsidRDefault="00AE33DA" w:rsidP="00F76E4D">
      <w:pPr>
        <w:widowControl w:val="0"/>
        <w:autoSpaceDE w:val="0"/>
        <w:autoSpaceDN w:val="0"/>
        <w:adjustRightInd w:val="0"/>
        <w:rPr>
          <w:b/>
          <w:bCs/>
          <w:i/>
          <w:iCs/>
          <w:sz w:val="28"/>
          <w:szCs w:val="28"/>
        </w:rPr>
      </w:pPr>
      <w:r w:rsidRPr="00AE33DA">
        <w:rPr>
          <w:b/>
          <w:bCs/>
          <w:i/>
          <w:iCs/>
          <w:sz w:val="28"/>
          <w:szCs w:val="28"/>
        </w:rPr>
        <w:lastRenderedPageBreak/>
        <w:t>Breaking through? Disadvantage facing 20-34 year olds without tertiary-educated parents, 2012</w:t>
      </w:r>
    </w:p>
    <w:p w14:paraId="491905F2" w14:textId="55477483" w:rsidR="00AE33DA" w:rsidRDefault="00AE33DA" w:rsidP="00F76E4D">
      <w:pPr>
        <w:widowControl w:val="0"/>
        <w:autoSpaceDE w:val="0"/>
        <w:autoSpaceDN w:val="0"/>
        <w:adjustRightInd w:val="0"/>
        <w:rPr>
          <w:bCs/>
          <w:iCs/>
          <w:sz w:val="28"/>
          <w:szCs w:val="28"/>
        </w:rPr>
      </w:pPr>
      <w:r>
        <w:rPr>
          <w:bCs/>
          <w:iCs/>
          <w:sz w:val="28"/>
          <w:szCs w:val="28"/>
        </w:rPr>
        <w:t xml:space="preserve">A particular concern in UK is that despite the growth of participation, the divide between tertiary educated and non-tertiary educated families is </w:t>
      </w:r>
      <w:r w:rsidR="008E2909">
        <w:rPr>
          <w:bCs/>
          <w:iCs/>
          <w:sz w:val="28"/>
          <w:szCs w:val="28"/>
        </w:rPr>
        <w:t xml:space="preserve">more strongly </w:t>
      </w:r>
      <w:r>
        <w:rPr>
          <w:bCs/>
          <w:iCs/>
          <w:sz w:val="28"/>
          <w:szCs w:val="28"/>
        </w:rPr>
        <w:t xml:space="preserve">reproduced than in most other OECD countries. </w:t>
      </w:r>
      <w:r w:rsidR="008E2909">
        <w:rPr>
          <w:bCs/>
          <w:iCs/>
          <w:sz w:val="28"/>
          <w:szCs w:val="28"/>
        </w:rPr>
        <w:t>The battle to extend participation across the whole society is by no means over. The graph shows that</w:t>
      </w:r>
      <w:r>
        <w:rPr>
          <w:bCs/>
          <w:iCs/>
          <w:sz w:val="28"/>
          <w:szCs w:val="28"/>
        </w:rPr>
        <w:t xml:space="preserve"> in England </w:t>
      </w:r>
      <w:r w:rsidRPr="00AE33DA">
        <w:rPr>
          <w:bCs/>
          <w:iCs/>
          <w:sz w:val="28"/>
          <w:szCs w:val="28"/>
        </w:rPr>
        <w:t>a 20-34 year old person with at leas</w:t>
      </w:r>
      <w:r w:rsidR="008E2909">
        <w:rPr>
          <w:bCs/>
          <w:iCs/>
          <w:sz w:val="28"/>
          <w:szCs w:val="28"/>
        </w:rPr>
        <w:t>t one tertiary-educated parent wa</w:t>
      </w:r>
      <w:r w:rsidRPr="00AE33DA">
        <w:rPr>
          <w:bCs/>
          <w:iCs/>
          <w:sz w:val="28"/>
          <w:szCs w:val="28"/>
        </w:rPr>
        <w:t xml:space="preserve">s </w:t>
      </w:r>
      <w:r>
        <w:rPr>
          <w:bCs/>
          <w:iCs/>
          <w:sz w:val="28"/>
          <w:szCs w:val="28"/>
        </w:rPr>
        <w:t>6.3</w:t>
      </w:r>
      <w:r w:rsidRPr="00AE33DA">
        <w:rPr>
          <w:bCs/>
          <w:iCs/>
          <w:sz w:val="28"/>
          <w:szCs w:val="28"/>
        </w:rPr>
        <w:t xml:space="preserve"> times as likely to participate in tertiary education, as a </w:t>
      </w:r>
      <w:r>
        <w:rPr>
          <w:bCs/>
          <w:iCs/>
          <w:sz w:val="28"/>
          <w:szCs w:val="28"/>
        </w:rPr>
        <w:t xml:space="preserve">20-34 year old </w:t>
      </w:r>
      <w:r w:rsidRPr="00AE33DA">
        <w:rPr>
          <w:bCs/>
          <w:iCs/>
          <w:sz w:val="28"/>
          <w:szCs w:val="28"/>
        </w:rPr>
        <w:t>person whose parents had less than upper secondary education</w:t>
      </w:r>
      <w:r>
        <w:rPr>
          <w:bCs/>
          <w:iCs/>
          <w:sz w:val="28"/>
          <w:szCs w:val="28"/>
        </w:rPr>
        <w:t xml:space="preserve">. In the United States the </w:t>
      </w:r>
      <w:r w:rsidR="008E2909">
        <w:rPr>
          <w:bCs/>
          <w:iCs/>
          <w:sz w:val="28"/>
          <w:szCs w:val="28"/>
        </w:rPr>
        <w:t>ratio was worse at 6.8. This compares to Korea where there was little difference in the position of students from non tertiary educated parents, compared to those from tertiary educated parents.</w:t>
      </w:r>
    </w:p>
    <w:p w14:paraId="0E5E2DA2" w14:textId="719E9241" w:rsidR="007F6A34" w:rsidRPr="00BC2916" w:rsidRDefault="007F6A34" w:rsidP="00F76E4D">
      <w:pPr>
        <w:widowControl w:val="0"/>
        <w:autoSpaceDE w:val="0"/>
        <w:autoSpaceDN w:val="0"/>
        <w:adjustRightInd w:val="0"/>
        <w:rPr>
          <w:bCs/>
          <w:iCs/>
          <w:sz w:val="28"/>
          <w:szCs w:val="28"/>
        </w:rPr>
      </w:pPr>
      <w:r>
        <w:rPr>
          <w:bCs/>
          <w:iCs/>
          <w:sz w:val="28"/>
          <w:szCs w:val="28"/>
        </w:rPr>
        <w:tab/>
      </w:r>
      <w:r w:rsidR="00D72A7D">
        <w:rPr>
          <w:bCs/>
          <w:iCs/>
          <w:sz w:val="28"/>
          <w:szCs w:val="28"/>
        </w:rPr>
        <w:t xml:space="preserve">In the </w:t>
      </w:r>
      <w:r>
        <w:rPr>
          <w:bCs/>
          <w:iCs/>
          <w:sz w:val="28"/>
          <w:szCs w:val="28"/>
        </w:rPr>
        <w:t xml:space="preserve">United States </w:t>
      </w:r>
      <w:r w:rsidR="00D72A7D">
        <w:rPr>
          <w:bCs/>
          <w:iCs/>
          <w:sz w:val="28"/>
          <w:szCs w:val="28"/>
        </w:rPr>
        <w:t>income</w:t>
      </w:r>
      <w:r>
        <w:rPr>
          <w:bCs/>
          <w:iCs/>
          <w:sz w:val="28"/>
          <w:szCs w:val="28"/>
        </w:rPr>
        <w:t xml:space="preserve"> </w:t>
      </w:r>
      <w:r w:rsidR="00D72A7D">
        <w:rPr>
          <w:bCs/>
          <w:iCs/>
          <w:sz w:val="28"/>
          <w:szCs w:val="28"/>
        </w:rPr>
        <w:t xml:space="preserve">distribution </w:t>
      </w:r>
      <w:r>
        <w:rPr>
          <w:bCs/>
          <w:iCs/>
          <w:sz w:val="28"/>
          <w:szCs w:val="28"/>
        </w:rPr>
        <w:t xml:space="preserve">is </w:t>
      </w:r>
      <w:r w:rsidR="00D72A7D">
        <w:rPr>
          <w:bCs/>
          <w:iCs/>
          <w:sz w:val="28"/>
          <w:szCs w:val="28"/>
        </w:rPr>
        <w:t xml:space="preserve">now </w:t>
      </w:r>
      <w:r>
        <w:rPr>
          <w:bCs/>
          <w:iCs/>
          <w:sz w:val="28"/>
          <w:szCs w:val="28"/>
        </w:rPr>
        <w:t xml:space="preserve">more unequal </w:t>
      </w:r>
      <w:r w:rsidR="00D72A7D">
        <w:rPr>
          <w:bCs/>
          <w:iCs/>
          <w:sz w:val="28"/>
          <w:szCs w:val="28"/>
        </w:rPr>
        <w:t xml:space="preserve">than at any time in recorded American history, and </w:t>
      </w:r>
      <w:r>
        <w:rPr>
          <w:bCs/>
          <w:iCs/>
          <w:sz w:val="28"/>
          <w:szCs w:val="28"/>
        </w:rPr>
        <w:t>any</w:t>
      </w:r>
      <w:r w:rsidR="00D72A7D">
        <w:rPr>
          <w:bCs/>
          <w:iCs/>
          <w:sz w:val="28"/>
          <w:szCs w:val="28"/>
        </w:rPr>
        <w:t>where</w:t>
      </w:r>
      <w:r>
        <w:rPr>
          <w:bCs/>
          <w:iCs/>
          <w:sz w:val="28"/>
          <w:szCs w:val="28"/>
        </w:rPr>
        <w:t xml:space="preserve"> </w:t>
      </w:r>
      <w:r w:rsidR="00D72A7D">
        <w:rPr>
          <w:bCs/>
          <w:iCs/>
          <w:sz w:val="28"/>
          <w:szCs w:val="28"/>
        </w:rPr>
        <w:t>else</w:t>
      </w:r>
      <w:r>
        <w:rPr>
          <w:bCs/>
          <w:iCs/>
          <w:sz w:val="28"/>
          <w:szCs w:val="28"/>
        </w:rPr>
        <w:t xml:space="preserve"> in the OECD</w:t>
      </w:r>
      <w:r w:rsidR="00D72A7D">
        <w:rPr>
          <w:bCs/>
          <w:iCs/>
          <w:sz w:val="28"/>
          <w:szCs w:val="28"/>
        </w:rPr>
        <w:t xml:space="preserve"> except Mexico and Chile</w:t>
      </w:r>
      <w:r>
        <w:rPr>
          <w:bCs/>
          <w:iCs/>
          <w:sz w:val="28"/>
          <w:szCs w:val="28"/>
        </w:rPr>
        <w:t xml:space="preserve">. </w:t>
      </w:r>
      <w:r w:rsidR="00D72A7D">
        <w:rPr>
          <w:bCs/>
          <w:iCs/>
          <w:sz w:val="28"/>
          <w:szCs w:val="28"/>
        </w:rPr>
        <w:t xml:space="preserve">Educational outcomes mirror this gross income inequality. </w:t>
      </w:r>
      <w:r>
        <w:rPr>
          <w:bCs/>
          <w:iCs/>
          <w:sz w:val="28"/>
          <w:szCs w:val="28"/>
        </w:rPr>
        <w:t>A</w:t>
      </w:r>
      <w:r w:rsidRPr="00BC2916">
        <w:rPr>
          <w:sz w:val="28"/>
          <w:szCs w:val="28"/>
          <w:lang w:val="en-GB"/>
        </w:rPr>
        <w:t xml:space="preserve">lmost 90 per cent of </w:t>
      </w:r>
      <w:r>
        <w:rPr>
          <w:sz w:val="28"/>
          <w:szCs w:val="28"/>
          <w:lang w:val="en-GB"/>
        </w:rPr>
        <w:t xml:space="preserve">young </w:t>
      </w:r>
      <w:r w:rsidRPr="00BC2916">
        <w:rPr>
          <w:sz w:val="28"/>
          <w:szCs w:val="28"/>
          <w:lang w:val="en-GB"/>
        </w:rPr>
        <w:t xml:space="preserve">people reach </w:t>
      </w:r>
      <w:r w:rsidR="00D72A7D">
        <w:rPr>
          <w:sz w:val="28"/>
          <w:szCs w:val="28"/>
          <w:lang w:val="en-GB"/>
        </w:rPr>
        <w:t xml:space="preserve">some kind of </w:t>
      </w:r>
      <w:r w:rsidRPr="00BC2916">
        <w:rPr>
          <w:sz w:val="28"/>
          <w:szCs w:val="28"/>
          <w:lang w:val="en-GB"/>
        </w:rPr>
        <w:t xml:space="preserve">tertiary education, but less than half achieve four-year degrees, and </w:t>
      </w:r>
      <w:r>
        <w:rPr>
          <w:sz w:val="28"/>
          <w:szCs w:val="28"/>
          <w:lang w:val="en-GB"/>
        </w:rPr>
        <w:t xml:space="preserve">the </w:t>
      </w:r>
      <w:r w:rsidRPr="00BC2916">
        <w:rPr>
          <w:sz w:val="28"/>
          <w:szCs w:val="28"/>
          <w:lang w:val="en-GB"/>
        </w:rPr>
        <w:t xml:space="preserve">degree </w:t>
      </w:r>
      <w:r>
        <w:rPr>
          <w:bCs/>
          <w:iCs/>
          <w:sz w:val="28"/>
          <w:szCs w:val="28"/>
        </w:rPr>
        <w:t xml:space="preserve">completion rate is skewed in favour of the top 25 per cent of families in terms of income. </w:t>
      </w:r>
    </w:p>
    <w:p w14:paraId="5864341D" w14:textId="77777777" w:rsidR="00AE33DA" w:rsidRDefault="00AE33DA" w:rsidP="00F76E4D">
      <w:pPr>
        <w:rPr>
          <w:sz w:val="28"/>
          <w:szCs w:val="28"/>
          <w:lang w:val="en-GB"/>
        </w:rPr>
      </w:pPr>
    </w:p>
    <w:p w14:paraId="3388D157" w14:textId="77777777" w:rsidR="00720C0D" w:rsidRPr="008D50BD" w:rsidRDefault="00720C0D" w:rsidP="00F76E4D">
      <w:pPr>
        <w:widowControl w:val="0"/>
        <w:autoSpaceDE w:val="0"/>
        <w:autoSpaceDN w:val="0"/>
        <w:adjustRightInd w:val="0"/>
        <w:rPr>
          <w:rFonts w:cs="Calibri"/>
          <w:sz w:val="28"/>
          <w:szCs w:val="28"/>
        </w:rPr>
      </w:pPr>
      <w:r w:rsidRPr="00432DD7">
        <w:rPr>
          <w:rFonts w:cs="Calibri"/>
          <w:b/>
          <w:bCs/>
          <w:i/>
          <w:iCs/>
          <w:sz w:val="28"/>
          <w:szCs w:val="28"/>
        </w:rPr>
        <w:t>Social inequality in achieved college degrees, USA 1970/2013</w:t>
      </w:r>
    </w:p>
    <w:p w14:paraId="32D69840" w14:textId="74D56DB1" w:rsidR="00720C0D" w:rsidRDefault="00720C0D" w:rsidP="00F76E4D">
      <w:pPr>
        <w:rPr>
          <w:rFonts w:cs="Arial"/>
          <w:sz w:val="28"/>
          <w:szCs w:val="28"/>
          <w:lang w:val="en-GB"/>
        </w:rPr>
      </w:pPr>
      <w:r w:rsidRPr="00BC2916">
        <w:rPr>
          <w:sz w:val="28"/>
          <w:szCs w:val="28"/>
          <w:lang w:val="en-GB"/>
        </w:rPr>
        <w:t xml:space="preserve">In </w:t>
      </w:r>
      <w:r w:rsidR="007F6A34">
        <w:rPr>
          <w:sz w:val="28"/>
          <w:szCs w:val="28"/>
          <w:lang w:val="en-GB"/>
        </w:rPr>
        <w:t xml:space="preserve">the US in </w:t>
      </w:r>
      <w:r w:rsidRPr="00BC2916">
        <w:rPr>
          <w:sz w:val="28"/>
          <w:szCs w:val="28"/>
          <w:lang w:val="en-GB"/>
        </w:rPr>
        <w:t xml:space="preserve">2013, 77 per cent of persons in the top family income quartile had completed a Bachelor degree by age 24 years. In this quartile the graduation rate had almost doubled since 1970, rising from 40 to 77 per cent. In the bottom family income quartile, the graduation rate </w:t>
      </w:r>
      <w:r>
        <w:rPr>
          <w:sz w:val="28"/>
          <w:szCs w:val="28"/>
          <w:lang w:val="en-GB"/>
        </w:rPr>
        <w:t>had also</w:t>
      </w:r>
      <w:r w:rsidRPr="00BC2916">
        <w:rPr>
          <w:sz w:val="28"/>
          <w:szCs w:val="28"/>
          <w:lang w:val="en-GB"/>
        </w:rPr>
        <w:t xml:space="preserve"> risen</w:t>
      </w:r>
      <w:r>
        <w:rPr>
          <w:sz w:val="28"/>
          <w:szCs w:val="28"/>
          <w:lang w:val="en-GB"/>
        </w:rPr>
        <w:t>—but only</w:t>
      </w:r>
      <w:r w:rsidRPr="00BC2916">
        <w:rPr>
          <w:sz w:val="28"/>
          <w:szCs w:val="28"/>
          <w:lang w:val="en-GB"/>
        </w:rPr>
        <w:t xml:space="preserve"> from 6 per cent in 1970 to 9 per cent in 2013. In the second bottom quartile the graduation rate was 17 per cent in 2013. </w:t>
      </w:r>
      <w:r>
        <w:rPr>
          <w:sz w:val="28"/>
          <w:szCs w:val="28"/>
          <w:lang w:val="en-GB"/>
        </w:rPr>
        <w:t>T</w:t>
      </w:r>
      <w:r w:rsidRPr="00BC2916">
        <w:rPr>
          <w:sz w:val="28"/>
          <w:szCs w:val="28"/>
          <w:lang w:val="en-GB"/>
        </w:rPr>
        <w:t>he overwhelming majority of the bottom half of the population in income terms had not graduated by age 24. At the same time the overwhelming majority of top quartile people had done so. American political scientist Suzanne Mettler finds</w:t>
      </w:r>
      <w:r>
        <w:rPr>
          <w:sz w:val="28"/>
          <w:szCs w:val="28"/>
          <w:lang w:val="en-GB"/>
        </w:rPr>
        <w:t xml:space="preserve"> that:</w:t>
      </w:r>
      <w:r w:rsidRPr="00BC2916">
        <w:rPr>
          <w:sz w:val="28"/>
          <w:szCs w:val="28"/>
          <w:lang w:val="en-GB"/>
        </w:rPr>
        <w:t xml:space="preserve"> </w:t>
      </w:r>
      <w:r w:rsidRPr="00BC2916">
        <w:rPr>
          <w:rFonts w:cs="Arial"/>
          <w:sz w:val="28"/>
          <w:szCs w:val="28"/>
          <w:lang w:val="en-GB"/>
        </w:rPr>
        <w:t>‘Over the past thirty years … our system of higher education has gone from facilitating upward mobility to exacerbating social inequality.’ Higher education</w:t>
      </w:r>
      <w:r>
        <w:rPr>
          <w:rFonts w:cs="Arial"/>
          <w:sz w:val="28"/>
          <w:szCs w:val="28"/>
          <w:lang w:val="en-GB"/>
        </w:rPr>
        <w:t>, she finds,</w:t>
      </w:r>
      <w:r w:rsidRPr="00BC2916">
        <w:rPr>
          <w:rFonts w:cs="Arial"/>
          <w:sz w:val="28"/>
          <w:szCs w:val="28"/>
          <w:lang w:val="en-GB"/>
        </w:rPr>
        <w:t xml:space="preserve"> fosters a society that ‘increasingly resembles a caste system: it takes Americans who grew up in different social strata and it widens the divisions between them and makes them more rigid’. Higher education ‘stratifies Americans by income group rather than providing them with ladders of opportunity</w:t>
      </w:r>
      <w:r w:rsidR="00D72A7D">
        <w:rPr>
          <w:rFonts w:cs="Arial"/>
          <w:sz w:val="28"/>
          <w:szCs w:val="28"/>
          <w:lang w:val="en-GB"/>
        </w:rPr>
        <w:t>’</w:t>
      </w:r>
      <w:r w:rsidRPr="00BC2916">
        <w:rPr>
          <w:rFonts w:cs="Arial"/>
          <w:sz w:val="28"/>
          <w:szCs w:val="28"/>
          <w:lang w:val="en-GB"/>
        </w:rPr>
        <w:t>.</w:t>
      </w:r>
    </w:p>
    <w:p w14:paraId="6D9BA75D" w14:textId="59176585" w:rsidR="00720C0D" w:rsidRDefault="00D72A7D" w:rsidP="00F76E4D">
      <w:pPr>
        <w:ind w:firstLine="454"/>
        <w:rPr>
          <w:bCs/>
          <w:iCs/>
          <w:sz w:val="28"/>
          <w:szCs w:val="28"/>
        </w:rPr>
      </w:pPr>
      <w:r>
        <w:rPr>
          <w:bCs/>
          <w:iCs/>
          <w:sz w:val="28"/>
          <w:szCs w:val="28"/>
        </w:rPr>
        <w:t>This is not so much a problem of access or even the growing cost of fees. Stratification is reproduced by the steep difference between the value of enrolling in the top universities and in two year public and private colleges. Many people drop out of low status colleges, with tuition debt, without completing. In t</w:t>
      </w:r>
      <w:r w:rsidR="00720C0D" w:rsidRPr="00BC2916">
        <w:rPr>
          <w:bCs/>
          <w:iCs/>
          <w:sz w:val="28"/>
          <w:szCs w:val="28"/>
        </w:rPr>
        <w:t xml:space="preserve">he </w:t>
      </w:r>
      <w:r w:rsidR="00720C0D">
        <w:rPr>
          <w:bCs/>
          <w:iCs/>
          <w:sz w:val="28"/>
          <w:szCs w:val="28"/>
        </w:rPr>
        <w:t xml:space="preserve">United States social mobility </w:t>
      </w:r>
      <w:r>
        <w:rPr>
          <w:bCs/>
          <w:iCs/>
          <w:sz w:val="28"/>
          <w:szCs w:val="28"/>
        </w:rPr>
        <w:t>is lower than in</w:t>
      </w:r>
      <w:r w:rsidR="00720C0D">
        <w:rPr>
          <w:bCs/>
          <w:iCs/>
          <w:sz w:val="28"/>
          <w:szCs w:val="28"/>
        </w:rPr>
        <w:t xml:space="preserve"> </w:t>
      </w:r>
      <w:r w:rsidR="009867BB">
        <w:rPr>
          <w:bCs/>
          <w:iCs/>
          <w:sz w:val="28"/>
          <w:szCs w:val="28"/>
        </w:rPr>
        <w:t>most</w:t>
      </w:r>
      <w:r w:rsidR="00720C0D">
        <w:rPr>
          <w:bCs/>
          <w:iCs/>
          <w:sz w:val="28"/>
          <w:szCs w:val="28"/>
        </w:rPr>
        <w:t xml:space="preserve"> </w:t>
      </w:r>
      <w:r w:rsidR="009867BB">
        <w:rPr>
          <w:bCs/>
          <w:iCs/>
          <w:sz w:val="28"/>
          <w:szCs w:val="28"/>
        </w:rPr>
        <w:t xml:space="preserve">other </w:t>
      </w:r>
      <w:r w:rsidR="00720C0D">
        <w:rPr>
          <w:bCs/>
          <w:iCs/>
          <w:sz w:val="28"/>
          <w:szCs w:val="28"/>
        </w:rPr>
        <w:lastRenderedPageBreak/>
        <w:t xml:space="preserve">OECD countries. It is harder for Americans from poor families to improve their position, than </w:t>
      </w:r>
      <w:r w:rsidR="009867BB">
        <w:rPr>
          <w:bCs/>
          <w:iCs/>
          <w:sz w:val="28"/>
          <w:szCs w:val="28"/>
        </w:rPr>
        <w:t xml:space="preserve">it is </w:t>
      </w:r>
      <w:r w:rsidR="00720C0D">
        <w:rPr>
          <w:bCs/>
          <w:iCs/>
          <w:sz w:val="28"/>
          <w:szCs w:val="28"/>
        </w:rPr>
        <w:t xml:space="preserve">for poor people from other OECD countries. </w:t>
      </w:r>
      <w:r w:rsidR="009867BB">
        <w:rPr>
          <w:bCs/>
          <w:iCs/>
          <w:sz w:val="28"/>
          <w:szCs w:val="28"/>
        </w:rPr>
        <w:t>T</w:t>
      </w:r>
      <w:r w:rsidR="00720C0D">
        <w:rPr>
          <w:bCs/>
          <w:iCs/>
          <w:sz w:val="28"/>
          <w:szCs w:val="28"/>
        </w:rPr>
        <w:t xml:space="preserve">ertiary education </w:t>
      </w:r>
      <w:r w:rsidR="009867BB">
        <w:rPr>
          <w:bCs/>
          <w:iCs/>
          <w:sz w:val="28"/>
          <w:szCs w:val="28"/>
        </w:rPr>
        <w:t>can</w:t>
      </w:r>
      <w:r w:rsidR="00720C0D">
        <w:rPr>
          <w:bCs/>
          <w:iCs/>
          <w:sz w:val="28"/>
          <w:szCs w:val="28"/>
        </w:rPr>
        <w:t xml:space="preserve">not equalize American society on its own. </w:t>
      </w:r>
      <w:r w:rsidR="009867BB">
        <w:rPr>
          <w:bCs/>
          <w:iCs/>
          <w:sz w:val="28"/>
          <w:szCs w:val="28"/>
        </w:rPr>
        <w:t>But the sad fact is that US education is so stratified in value that it probably makes inequality worse</w:t>
      </w:r>
      <w:r w:rsidR="00720C0D">
        <w:rPr>
          <w:bCs/>
          <w:iCs/>
          <w:sz w:val="28"/>
          <w:szCs w:val="28"/>
        </w:rPr>
        <w:t xml:space="preserve">. </w:t>
      </w:r>
    </w:p>
    <w:p w14:paraId="07708C01" w14:textId="77777777" w:rsidR="00720C0D" w:rsidRDefault="00720C0D" w:rsidP="00F76E4D">
      <w:pPr>
        <w:rPr>
          <w:sz w:val="28"/>
          <w:szCs w:val="28"/>
        </w:rPr>
      </w:pPr>
    </w:p>
    <w:p w14:paraId="2A3ED967" w14:textId="57A4B8C0" w:rsidR="00AE33DA" w:rsidRPr="00427E23" w:rsidRDefault="00AE33DA" w:rsidP="00F76E4D">
      <w:pPr>
        <w:rPr>
          <w:b/>
          <w:i/>
          <w:sz w:val="28"/>
          <w:szCs w:val="28"/>
        </w:rPr>
      </w:pPr>
      <w:r w:rsidRPr="00427E23">
        <w:rPr>
          <w:b/>
          <w:i/>
          <w:sz w:val="28"/>
          <w:szCs w:val="28"/>
        </w:rPr>
        <w:t>Stratification within high participation</w:t>
      </w:r>
      <w:r w:rsidR="009E5AC0">
        <w:rPr>
          <w:b/>
          <w:i/>
          <w:sz w:val="28"/>
          <w:szCs w:val="28"/>
        </w:rPr>
        <w:t>: UK</w:t>
      </w:r>
    </w:p>
    <w:p w14:paraId="4BB9D5F9" w14:textId="2740E084" w:rsidR="009867BB" w:rsidRDefault="006B68B9" w:rsidP="00F76E4D">
      <w:pPr>
        <w:rPr>
          <w:sz w:val="28"/>
          <w:szCs w:val="28"/>
          <w:lang w:val="en-GB"/>
        </w:rPr>
      </w:pPr>
      <w:r>
        <w:rPr>
          <w:sz w:val="28"/>
          <w:szCs w:val="28"/>
          <w:lang w:val="en-GB"/>
        </w:rPr>
        <w:t xml:space="preserve">‘Stratification of value in higher education’ may sound technical but it is a very important matter. </w:t>
      </w:r>
      <w:r w:rsidR="00D72A7D">
        <w:rPr>
          <w:sz w:val="28"/>
          <w:szCs w:val="28"/>
          <w:lang w:val="en-GB"/>
        </w:rPr>
        <w:t>Prior to this</w:t>
      </w:r>
      <w:r w:rsidR="009867BB">
        <w:rPr>
          <w:sz w:val="28"/>
          <w:szCs w:val="28"/>
          <w:lang w:val="en-GB"/>
        </w:rPr>
        <w:t xml:space="preserve"> I ha</w:t>
      </w:r>
      <w:r>
        <w:rPr>
          <w:sz w:val="28"/>
          <w:szCs w:val="28"/>
          <w:lang w:val="en-GB"/>
        </w:rPr>
        <w:t>ve</w:t>
      </w:r>
      <w:r w:rsidR="009867BB">
        <w:rPr>
          <w:sz w:val="28"/>
          <w:szCs w:val="28"/>
          <w:lang w:val="en-GB"/>
        </w:rPr>
        <w:t xml:space="preserve"> spoken </w:t>
      </w:r>
      <w:r>
        <w:rPr>
          <w:sz w:val="28"/>
          <w:szCs w:val="28"/>
          <w:lang w:val="en-GB"/>
        </w:rPr>
        <w:t xml:space="preserve">about participation </w:t>
      </w:r>
      <w:r w:rsidR="009867BB">
        <w:rPr>
          <w:sz w:val="28"/>
          <w:szCs w:val="28"/>
          <w:lang w:val="en-GB"/>
        </w:rPr>
        <w:t xml:space="preserve">as if all forms are equivalent. Of course it is not so. There are sought-after programmes and institutions that confer high value, and less valuable places. In every country, the population is divided into three groups: those that access high value elite student places, those enrolled in tertiary </w:t>
      </w:r>
      <w:r w:rsidR="00A004C1">
        <w:rPr>
          <w:sz w:val="28"/>
          <w:szCs w:val="28"/>
          <w:lang w:val="en-GB"/>
        </w:rPr>
        <w:t>places with less value</w:t>
      </w:r>
      <w:r w:rsidR="009867BB">
        <w:rPr>
          <w:sz w:val="28"/>
          <w:szCs w:val="28"/>
          <w:lang w:val="en-GB"/>
        </w:rPr>
        <w:t xml:space="preserve">, and those that do not enrol. However, the degree of stratification between elite and mass places, the ‘steepness’ of the hierarchy, varies </w:t>
      </w:r>
      <w:r w:rsidR="00A004C1">
        <w:rPr>
          <w:sz w:val="28"/>
          <w:szCs w:val="28"/>
          <w:lang w:val="en-GB"/>
        </w:rPr>
        <w:t xml:space="preserve">greatly </w:t>
      </w:r>
      <w:r w:rsidR="009867BB">
        <w:rPr>
          <w:sz w:val="28"/>
          <w:szCs w:val="28"/>
          <w:lang w:val="en-GB"/>
        </w:rPr>
        <w:t xml:space="preserve">between countries. In some education systems, every place provides good lifetime opportunities. </w:t>
      </w:r>
      <w:r>
        <w:rPr>
          <w:sz w:val="28"/>
          <w:szCs w:val="28"/>
          <w:lang w:val="en-GB"/>
        </w:rPr>
        <w:t>In others it is not so</w:t>
      </w:r>
      <w:r w:rsidR="009867BB">
        <w:rPr>
          <w:sz w:val="28"/>
          <w:szCs w:val="28"/>
          <w:lang w:val="en-GB"/>
        </w:rPr>
        <w:t>. This changes the meaning of educational growth.</w:t>
      </w:r>
    </w:p>
    <w:p w14:paraId="7B11E03B" w14:textId="48D9DF54" w:rsidR="00A004C1" w:rsidRDefault="00A004C1" w:rsidP="00F76E4D">
      <w:pPr>
        <w:widowControl w:val="0"/>
        <w:autoSpaceDE w:val="0"/>
        <w:autoSpaceDN w:val="0"/>
        <w:adjustRightInd w:val="0"/>
        <w:ind w:firstLine="454"/>
        <w:rPr>
          <w:sz w:val="28"/>
          <w:szCs w:val="28"/>
        </w:rPr>
      </w:pPr>
      <w:r>
        <w:rPr>
          <w:sz w:val="28"/>
          <w:szCs w:val="28"/>
        </w:rPr>
        <w:t xml:space="preserve">In the high participation higher education era we are now in, all countries </w:t>
      </w:r>
      <w:r w:rsidR="007F6A34">
        <w:rPr>
          <w:sz w:val="28"/>
          <w:szCs w:val="28"/>
        </w:rPr>
        <w:t>hav</w:t>
      </w:r>
      <w:r>
        <w:rPr>
          <w:sz w:val="28"/>
          <w:szCs w:val="28"/>
        </w:rPr>
        <w:t>e a choice</w:t>
      </w:r>
      <w:r w:rsidR="007F6A34">
        <w:rPr>
          <w:sz w:val="28"/>
          <w:szCs w:val="28"/>
        </w:rPr>
        <w:t>. On</w:t>
      </w:r>
      <w:r>
        <w:rPr>
          <w:sz w:val="28"/>
          <w:szCs w:val="28"/>
        </w:rPr>
        <w:t xml:space="preserve"> </w:t>
      </w:r>
      <w:r w:rsidRPr="00A73D76">
        <w:rPr>
          <w:sz w:val="28"/>
          <w:szCs w:val="28"/>
        </w:rPr>
        <w:t xml:space="preserve">one hand </w:t>
      </w:r>
      <w:r w:rsidR="007F6A34">
        <w:rPr>
          <w:sz w:val="28"/>
          <w:szCs w:val="28"/>
        </w:rPr>
        <w:t xml:space="preserve">there is </w:t>
      </w:r>
      <w:r w:rsidRPr="00A73D76">
        <w:rPr>
          <w:sz w:val="28"/>
          <w:szCs w:val="28"/>
        </w:rPr>
        <w:t xml:space="preserve">high participation education </w:t>
      </w:r>
      <w:r w:rsidR="007F6A34">
        <w:rPr>
          <w:sz w:val="28"/>
          <w:szCs w:val="28"/>
        </w:rPr>
        <w:t xml:space="preserve">that is </w:t>
      </w:r>
      <w:r>
        <w:rPr>
          <w:sz w:val="28"/>
          <w:szCs w:val="28"/>
        </w:rPr>
        <w:t xml:space="preserve">both </w:t>
      </w:r>
      <w:r w:rsidRPr="00A73D76">
        <w:rPr>
          <w:sz w:val="28"/>
          <w:szCs w:val="28"/>
        </w:rPr>
        <w:t xml:space="preserve">highly competitive, </w:t>
      </w:r>
      <w:r>
        <w:rPr>
          <w:sz w:val="28"/>
          <w:szCs w:val="28"/>
        </w:rPr>
        <w:t xml:space="preserve">and highly </w:t>
      </w:r>
      <w:r w:rsidRPr="00A73D76">
        <w:rPr>
          <w:sz w:val="28"/>
          <w:szCs w:val="28"/>
        </w:rPr>
        <w:t xml:space="preserve">stratified </w:t>
      </w:r>
      <w:r>
        <w:rPr>
          <w:sz w:val="28"/>
          <w:szCs w:val="28"/>
        </w:rPr>
        <w:t xml:space="preserve">in value and quality, </w:t>
      </w:r>
      <w:r w:rsidR="007F6A34">
        <w:rPr>
          <w:sz w:val="28"/>
          <w:szCs w:val="28"/>
        </w:rPr>
        <w:t xml:space="preserve">and makes a weak contribution to social mobility. An education system </w:t>
      </w:r>
      <w:r>
        <w:rPr>
          <w:sz w:val="28"/>
          <w:szCs w:val="28"/>
        </w:rPr>
        <w:t>with</w:t>
      </w:r>
      <w:r w:rsidRPr="00A73D76">
        <w:rPr>
          <w:sz w:val="28"/>
          <w:szCs w:val="28"/>
        </w:rPr>
        <w:t xml:space="preserve"> a small number of clear-cut </w:t>
      </w:r>
      <w:r>
        <w:rPr>
          <w:sz w:val="28"/>
          <w:szCs w:val="28"/>
        </w:rPr>
        <w:t xml:space="preserve">social </w:t>
      </w:r>
      <w:r w:rsidRPr="00A73D76">
        <w:rPr>
          <w:sz w:val="28"/>
          <w:szCs w:val="28"/>
        </w:rPr>
        <w:t xml:space="preserve">winners, many losers, and </w:t>
      </w:r>
      <w:r>
        <w:rPr>
          <w:sz w:val="28"/>
          <w:szCs w:val="28"/>
        </w:rPr>
        <w:t>others</w:t>
      </w:r>
      <w:r w:rsidRPr="00A73D76">
        <w:rPr>
          <w:sz w:val="28"/>
          <w:szCs w:val="28"/>
        </w:rPr>
        <w:t xml:space="preserve"> in </w:t>
      </w:r>
      <w:r>
        <w:rPr>
          <w:sz w:val="28"/>
          <w:szCs w:val="28"/>
        </w:rPr>
        <w:t>the</w:t>
      </w:r>
      <w:r w:rsidRPr="00A73D76">
        <w:rPr>
          <w:sz w:val="28"/>
          <w:szCs w:val="28"/>
        </w:rPr>
        <w:t xml:space="preserve"> uncertain middle ground</w:t>
      </w:r>
      <w:r w:rsidR="007F6A34">
        <w:rPr>
          <w:sz w:val="28"/>
          <w:szCs w:val="28"/>
        </w:rPr>
        <w:t>. On the other hand</w:t>
      </w:r>
      <w:r w:rsidR="006B68B9">
        <w:rPr>
          <w:sz w:val="28"/>
          <w:szCs w:val="28"/>
        </w:rPr>
        <w:t>,</w:t>
      </w:r>
      <w:r w:rsidR="007F6A34">
        <w:rPr>
          <w:sz w:val="28"/>
          <w:szCs w:val="28"/>
        </w:rPr>
        <w:t xml:space="preserve"> there is</w:t>
      </w:r>
      <w:r w:rsidRPr="00A73D76">
        <w:rPr>
          <w:sz w:val="28"/>
          <w:szCs w:val="28"/>
        </w:rPr>
        <w:t xml:space="preserve"> high participation education provided on a common good basis, </w:t>
      </w:r>
      <w:r>
        <w:rPr>
          <w:sz w:val="28"/>
          <w:szCs w:val="28"/>
        </w:rPr>
        <w:t>where</w:t>
      </w:r>
      <w:r w:rsidRPr="00A73D76">
        <w:rPr>
          <w:sz w:val="28"/>
          <w:szCs w:val="28"/>
        </w:rPr>
        <w:t xml:space="preserve"> participation and quality are both high,</w:t>
      </w:r>
      <w:r>
        <w:rPr>
          <w:sz w:val="28"/>
          <w:szCs w:val="28"/>
        </w:rPr>
        <w:t xml:space="preserve"> </w:t>
      </w:r>
      <w:r w:rsidRPr="00A73D76">
        <w:rPr>
          <w:sz w:val="28"/>
          <w:szCs w:val="28"/>
        </w:rPr>
        <w:t xml:space="preserve">all places and </w:t>
      </w:r>
      <w:r>
        <w:rPr>
          <w:sz w:val="28"/>
          <w:szCs w:val="28"/>
        </w:rPr>
        <w:t>degrees have value,</w:t>
      </w:r>
      <w:r w:rsidRPr="00A73D76">
        <w:rPr>
          <w:sz w:val="28"/>
          <w:szCs w:val="28"/>
        </w:rPr>
        <w:t xml:space="preserve"> </w:t>
      </w:r>
      <w:r>
        <w:rPr>
          <w:sz w:val="28"/>
          <w:szCs w:val="28"/>
        </w:rPr>
        <w:t xml:space="preserve">with modest </w:t>
      </w:r>
      <w:r w:rsidRPr="00A73D76">
        <w:rPr>
          <w:sz w:val="28"/>
          <w:szCs w:val="28"/>
        </w:rPr>
        <w:t xml:space="preserve">differentials </w:t>
      </w:r>
      <w:r>
        <w:rPr>
          <w:sz w:val="28"/>
          <w:szCs w:val="28"/>
        </w:rPr>
        <w:t>between institutions that are achieved by raising up the lower status institutions, and higher education contributes to greater social mobility and social solidarity</w:t>
      </w:r>
      <w:r w:rsidRPr="00A73D76">
        <w:rPr>
          <w:sz w:val="28"/>
          <w:szCs w:val="28"/>
        </w:rPr>
        <w:t xml:space="preserve">. </w:t>
      </w:r>
      <w:r w:rsidR="004E372A">
        <w:rPr>
          <w:sz w:val="28"/>
          <w:szCs w:val="28"/>
        </w:rPr>
        <w:t xml:space="preserve">This is the approach taken in the Nordic world, and </w:t>
      </w:r>
      <w:r w:rsidR="007F6A34">
        <w:rPr>
          <w:sz w:val="28"/>
          <w:szCs w:val="28"/>
        </w:rPr>
        <w:t xml:space="preserve">to </w:t>
      </w:r>
      <w:r w:rsidR="004E372A">
        <w:rPr>
          <w:sz w:val="28"/>
          <w:szCs w:val="28"/>
        </w:rPr>
        <w:t xml:space="preserve">an extent the German speaking countries and the Netherlands, where all research universities are well </w:t>
      </w:r>
      <w:r w:rsidR="007F6A34">
        <w:rPr>
          <w:sz w:val="28"/>
          <w:szCs w:val="28"/>
        </w:rPr>
        <w:t>regarded and fund</w:t>
      </w:r>
      <w:r w:rsidR="004E372A">
        <w:rPr>
          <w:sz w:val="28"/>
          <w:szCs w:val="28"/>
        </w:rPr>
        <w:t>ed.</w:t>
      </w:r>
    </w:p>
    <w:p w14:paraId="5A01121E" w14:textId="4B65F86A" w:rsidR="004E372A" w:rsidRDefault="00067405" w:rsidP="00F76E4D">
      <w:pPr>
        <w:ind w:firstLine="454"/>
        <w:rPr>
          <w:sz w:val="28"/>
          <w:szCs w:val="28"/>
          <w:lang w:val="en-GB"/>
        </w:rPr>
      </w:pPr>
      <w:r>
        <w:rPr>
          <w:sz w:val="28"/>
          <w:szCs w:val="28"/>
          <w:lang w:val="en-GB"/>
        </w:rPr>
        <w:t>I</w:t>
      </w:r>
      <w:r w:rsidR="00427E23">
        <w:rPr>
          <w:sz w:val="28"/>
          <w:szCs w:val="28"/>
          <w:lang w:val="en-GB"/>
        </w:rPr>
        <w:t>n the UK</w:t>
      </w:r>
      <w:r w:rsidR="004E372A">
        <w:rPr>
          <w:sz w:val="28"/>
          <w:szCs w:val="28"/>
          <w:lang w:val="en-GB"/>
        </w:rPr>
        <w:t>,</w:t>
      </w:r>
      <w:r w:rsidR="00427E23">
        <w:rPr>
          <w:sz w:val="28"/>
          <w:szCs w:val="28"/>
          <w:lang w:val="en-GB"/>
        </w:rPr>
        <w:t xml:space="preserve"> </w:t>
      </w:r>
      <w:r w:rsidR="00AC4A31">
        <w:rPr>
          <w:sz w:val="28"/>
          <w:szCs w:val="28"/>
          <w:lang w:val="en-GB"/>
        </w:rPr>
        <w:t>the Russell Group</w:t>
      </w:r>
      <w:r>
        <w:rPr>
          <w:sz w:val="28"/>
          <w:szCs w:val="28"/>
          <w:lang w:val="en-GB"/>
        </w:rPr>
        <w:t>, especially</w:t>
      </w:r>
      <w:r w:rsidR="00AC4A31">
        <w:rPr>
          <w:sz w:val="28"/>
          <w:szCs w:val="28"/>
          <w:lang w:val="en-GB"/>
        </w:rPr>
        <w:t xml:space="preserve"> </w:t>
      </w:r>
      <w:r w:rsidR="00427E23">
        <w:rPr>
          <w:sz w:val="28"/>
          <w:szCs w:val="28"/>
          <w:lang w:val="en-GB"/>
        </w:rPr>
        <w:t>Oxford and Cambridge</w:t>
      </w:r>
      <w:r>
        <w:rPr>
          <w:sz w:val="28"/>
          <w:szCs w:val="28"/>
          <w:lang w:val="en-GB"/>
        </w:rPr>
        <w:t>,</w:t>
      </w:r>
      <w:r w:rsidR="00427E23">
        <w:rPr>
          <w:sz w:val="28"/>
          <w:szCs w:val="28"/>
          <w:lang w:val="en-GB"/>
        </w:rPr>
        <w:t xml:space="preserve"> provide </w:t>
      </w:r>
      <w:r w:rsidR="006B68B9">
        <w:rPr>
          <w:sz w:val="28"/>
          <w:szCs w:val="28"/>
          <w:lang w:val="en-GB"/>
        </w:rPr>
        <w:t>strong</w:t>
      </w:r>
      <w:r w:rsidR="00427E23">
        <w:rPr>
          <w:sz w:val="28"/>
          <w:szCs w:val="28"/>
          <w:lang w:val="en-GB"/>
        </w:rPr>
        <w:t xml:space="preserve"> </w:t>
      </w:r>
      <w:r w:rsidR="007F6A34">
        <w:rPr>
          <w:sz w:val="28"/>
          <w:szCs w:val="28"/>
          <w:lang w:val="en-GB"/>
        </w:rPr>
        <w:t xml:space="preserve">lifetime </w:t>
      </w:r>
      <w:r w:rsidR="00427E23">
        <w:rPr>
          <w:sz w:val="28"/>
          <w:szCs w:val="28"/>
          <w:lang w:val="en-GB"/>
        </w:rPr>
        <w:t xml:space="preserve">opportunities </w:t>
      </w:r>
      <w:r w:rsidR="009E5AC0">
        <w:rPr>
          <w:sz w:val="28"/>
          <w:szCs w:val="28"/>
          <w:lang w:val="en-GB"/>
        </w:rPr>
        <w:t xml:space="preserve">that are </w:t>
      </w:r>
      <w:r w:rsidR="00427E23">
        <w:rPr>
          <w:sz w:val="28"/>
          <w:szCs w:val="28"/>
          <w:lang w:val="en-GB"/>
        </w:rPr>
        <w:t xml:space="preserve">over-accessed by affluent </w:t>
      </w:r>
      <w:r>
        <w:rPr>
          <w:sz w:val="28"/>
          <w:szCs w:val="28"/>
          <w:lang w:val="en-GB"/>
        </w:rPr>
        <w:t xml:space="preserve">families whose children </w:t>
      </w:r>
      <w:r w:rsidR="006B68B9">
        <w:rPr>
          <w:sz w:val="28"/>
          <w:szCs w:val="28"/>
          <w:lang w:val="en-GB"/>
        </w:rPr>
        <w:t xml:space="preserve">have </w:t>
      </w:r>
      <w:r>
        <w:rPr>
          <w:sz w:val="28"/>
          <w:szCs w:val="28"/>
          <w:lang w:val="en-GB"/>
        </w:rPr>
        <w:t>attend</w:t>
      </w:r>
      <w:r w:rsidR="008E2909">
        <w:rPr>
          <w:sz w:val="28"/>
          <w:szCs w:val="28"/>
          <w:lang w:val="en-GB"/>
        </w:rPr>
        <w:t>ed</w:t>
      </w:r>
      <w:r>
        <w:rPr>
          <w:sz w:val="28"/>
          <w:szCs w:val="28"/>
          <w:lang w:val="en-GB"/>
        </w:rPr>
        <w:t xml:space="preserve"> high fee independent schools. </w:t>
      </w:r>
      <w:r w:rsidR="009E5AC0">
        <w:rPr>
          <w:sz w:val="28"/>
          <w:szCs w:val="28"/>
          <w:lang w:val="en-GB"/>
        </w:rPr>
        <w:t xml:space="preserve">The top half of the Russell Group </w:t>
      </w:r>
      <w:r w:rsidR="004E372A">
        <w:rPr>
          <w:sz w:val="28"/>
          <w:szCs w:val="28"/>
          <w:lang w:val="en-GB"/>
        </w:rPr>
        <w:t>receives the most resources</w:t>
      </w:r>
      <w:r w:rsidR="009E5AC0">
        <w:rPr>
          <w:sz w:val="28"/>
          <w:szCs w:val="28"/>
          <w:lang w:val="en-GB"/>
        </w:rPr>
        <w:t xml:space="preserve"> per student, produces the bulk of the leading research</w:t>
      </w:r>
      <w:r w:rsidR="004E372A">
        <w:rPr>
          <w:sz w:val="28"/>
          <w:szCs w:val="28"/>
          <w:lang w:val="en-GB"/>
        </w:rPr>
        <w:t>,</w:t>
      </w:r>
      <w:r w:rsidR="009E5AC0">
        <w:rPr>
          <w:sz w:val="28"/>
          <w:szCs w:val="28"/>
          <w:lang w:val="en-GB"/>
        </w:rPr>
        <w:t xml:space="preserve"> and provides more than its share of the most prestigious student places in law, medicine and finance. </w:t>
      </w:r>
      <w:r w:rsidR="004E372A">
        <w:rPr>
          <w:sz w:val="28"/>
          <w:szCs w:val="28"/>
          <w:lang w:val="en-GB"/>
        </w:rPr>
        <w:t xml:space="preserve">A highly stratified school system feeds into a highly stratified university system which contributes to unequal outcomes for students of different backgrounds in the professional labour markets and in earnings. No doubt this feeds into greater income inequality </w:t>
      </w:r>
    </w:p>
    <w:p w14:paraId="3D2BB408" w14:textId="58910CD5" w:rsidR="00720C0D" w:rsidRDefault="00067405" w:rsidP="00F76E4D">
      <w:pPr>
        <w:ind w:firstLine="454"/>
        <w:rPr>
          <w:sz w:val="28"/>
          <w:szCs w:val="28"/>
          <w:lang w:val="en-GB"/>
        </w:rPr>
      </w:pPr>
      <w:r>
        <w:rPr>
          <w:sz w:val="28"/>
          <w:szCs w:val="28"/>
          <w:lang w:val="en-GB"/>
        </w:rPr>
        <w:t xml:space="preserve">You might expect that as participation expands, bringing more families to the starting gate, there would be greater equality of opportunity in access to the top institutions. Unfortunately, the opposite is the case. </w:t>
      </w:r>
      <w:r w:rsidR="004E372A">
        <w:rPr>
          <w:sz w:val="28"/>
          <w:szCs w:val="28"/>
          <w:lang w:val="en-GB"/>
        </w:rPr>
        <w:t xml:space="preserve">Unless </w:t>
      </w:r>
      <w:r w:rsidR="004E372A">
        <w:rPr>
          <w:sz w:val="28"/>
          <w:szCs w:val="28"/>
          <w:lang w:val="en-GB"/>
        </w:rPr>
        <w:lastRenderedPageBreak/>
        <w:t>governments take firm corrective action, a</w:t>
      </w:r>
      <w:r>
        <w:rPr>
          <w:sz w:val="28"/>
          <w:szCs w:val="28"/>
          <w:lang w:val="en-GB"/>
        </w:rPr>
        <w:t xml:space="preserve">s participation expands, </w:t>
      </w:r>
      <w:r w:rsidR="004E372A">
        <w:rPr>
          <w:sz w:val="28"/>
          <w:szCs w:val="28"/>
          <w:lang w:val="en-GB"/>
        </w:rPr>
        <w:t xml:space="preserve">while </w:t>
      </w:r>
      <w:r w:rsidR="00432DD7">
        <w:rPr>
          <w:sz w:val="28"/>
          <w:szCs w:val="28"/>
          <w:lang w:val="en-GB"/>
        </w:rPr>
        <w:t xml:space="preserve">social inclusion in higher education </w:t>
      </w:r>
      <w:r w:rsidR="008E2909">
        <w:rPr>
          <w:sz w:val="28"/>
          <w:szCs w:val="28"/>
          <w:lang w:val="en-GB"/>
        </w:rPr>
        <w:t>is advanced</w:t>
      </w:r>
      <w:r w:rsidR="004E372A">
        <w:rPr>
          <w:sz w:val="28"/>
          <w:szCs w:val="28"/>
          <w:lang w:val="en-GB"/>
        </w:rPr>
        <w:t>,</w:t>
      </w:r>
      <w:r w:rsidR="008E2909">
        <w:rPr>
          <w:sz w:val="28"/>
          <w:szCs w:val="28"/>
          <w:lang w:val="en-GB"/>
        </w:rPr>
        <w:t xml:space="preserve"> </w:t>
      </w:r>
      <w:r w:rsidR="00432DD7">
        <w:rPr>
          <w:sz w:val="28"/>
          <w:szCs w:val="28"/>
          <w:lang w:val="en-GB"/>
        </w:rPr>
        <w:t>social equality</w:t>
      </w:r>
      <w:r w:rsidR="004E372A">
        <w:rPr>
          <w:sz w:val="28"/>
          <w:szCs w:val="28"/>
          <w:lang w:val="en-GB"/>
        </w:rPr>
        <w:t xml:space="preserve"> is worsened</w:t>
      </w:r>
      <w:r w:rsidR="00432DD7">
        <w:rPr>
          <w:sz w:val="28"/>
          <w:szCs w:val="28"/>
          <w:lang w:val="en-GB"/>
        </w:rPr>
        <w:t xml:space="preserve">. </w:t>
      </w:r>
      <w:r w:rsidR="001270C8" w:rsidRPr="00A73D76">
        <w:rPr>
          <w:rFonts w:cs="Gill Sans"/>
          <w:sz w:val="28"/>
          <w:szCs w:val="28"/>
        </w:rPr>
        <w:t xml:space="preserve">As </w:t>
      </w:r>
      <w:r w:rsidR="00345167">
        <w:rPr>
          <w:rFonts w:cs="Gill Sans"/>
          <w:sz w:val="28"/>
          <w:szCs w:val="28"/>
        </w:rPr>
        <w:t xml:space="preserve">Yossi </w:t>
      </w:r>
      <w:r w:rsidR="001270C8" w:rsidRPr="00A73D76">
        <w:rPr>
          <w:rFonts w:cs="Gill Sans"/>
          <w:sz w:val="28"/>
          <w:szCs w:val="28"/>
        </w:rPr>
        <w:t xml:space="preserve">Shavit and colleagues put it in their 2007 </w:t>
      </w:r>
      <w:r w:rsidR="001270C8">
        <w:rPr>
          <w:rFonts w:cs="Gill Sans"/>
          <w:sz w:val="28"/>
          <w:szCs w:val="28"/>
        </w:rPr>
        <w:t xml:space="preserve">comparative </w:t>
      </w:r>
      <w:r w:rsidR="001270C8" w:rsidRPr="00A73D76">
        <w:rPr>
          <w:rFonts w:cs="Gill Sans"/>
          <w:sz w:val="28"/>
          <w:szCs w:val="28"/>
        </w:rPr>
        <w:t xml:space="preserve">study of stratification in higher education, </w:t>
      </w:r>
      <w:r w:rsidR="001270C8">
        <w:rPr>
          <w:rFonts w:cs="Gill Sans"/>
          <w:sz w:val="28"/>
          <w:szCs w:val="28"/>
        </w:rPr>
        <w:t xml:space="preserve">across a range of countries including the UK, </w:t>
      </w:r>
      <w:r w:rsidR="001270C8" w:rsidRPr="00A73D76">
        <w:rPr>
          <w:rFonts w:cs="Gill Sans"/>
          <w:sz w:val="28"/>
          <w:szCs w:val="28"/>
        </w:rPr>
        <w:t xml:space="preserve">as systems expand, ‘qualitative differentiation replaces inequalities in the quantity of the education obtained’. </w:t>
      </w:r>
      <w:r w:rsidR="001270C8">
        <w:rPr>
          <w:rFonts w:cs="Gill Sans"/>
          <w:sz w:val="28"/>
          <w:szCs w:val="28"/>
        </w:rPr>
        <w:t xml:space="preserve">The </w:t>
      </w:r>
      <w:r w:rsidR="008E2909">
        <w:rPr>
          <w:rFonts w:cs="Gill Sans"/>
          <w:sz w:val="28"/>
          <w:szCs w:val="28"/>
        </w:rPr>
        <w:t xml:space="preserve">institutional </w:t>
      </w:r>
      <w:r w:rsidR="001270C8">
        <w:rPr>
          <w:rFonts w:cs="Gill Sans"/>
          <w:sz w:val="28"/>
          <w:szCs w:val="28"/>
        </w:rPr>
        <w:t xml:space="preserve">hierarchy </w:t>
      </w:r>
      <w:r w:rsidR="006B68B9">
        <w:rPr>
          <w:rFonts w:cs="Gill Sans"/>
          <w:sz w:val="28"/>
          <w:szCs w:val="28"/>
        </w:rPr>
        <w:t>becomes</w:t>
      </w:r>
      <w:r w:rsidR="001270C8">
        <w:rPr>
          <w:rFonts w:cs="Gill Sans"/>
          <w:sz w:val="28"/>
          <w:szCs w:val="28"/>
        </w:rPr>
        <w:t xml:space="preserve"> more determining. </w:t>
      </w:r>
      <w:r w:rsidR="00432DD7">
        <w:rPr>
          <w:sz w:val="28"/>
          <w:szCs w:val="28"/>
          <w:lang w:val="en-GB"/>
        </w:rPr>
        <w:t>H</w:t>
      </w:r>
      <w:r>
        <w:rPr>
          <w:sz w:val="28"/>
          <w:szCs w:val="28"/>
          <w:lang w:val="en-GB"/>
        </w:rPr>
        <w:t xml:space="preserve">igh value places shrink as a proportion of </w:t>
      </w:r>
      <w:r w:rsidR="00432DD7">
        <w:rPr>
          <w:sz w:val="28"/>
          <w:szCs w:val="28"/>
          <w:lang w:val="en-GB"/>
        </w:rPr>
        <w:t>all</w:t>
      </w:r>
      <w:r>
        <w:rPr>
          <w:sz w:val="28"/>
          <w:szCs w:val="28"/>
          <w:lang w:val="en-GB"/>
        </w:rPr>
        <w:t xml:space="preserve"> places. </w:t>
      </w:r>
      <w:r w:rsidR="006B68B9">
        <w:rPr>
          <w:sz w:val="28"/>
          <w:szCs w:val="28"/>
          <w:lang w:val="en-GB"/>
        </w:rPr>
        <w:t>When</w:t>
      </w:r>
      <w:r w:rsidR="00432DD7">
        <w:rPr>
          <w:sz w:val="28"/>
          <w:szCs w:val="28"/>
          <w:lang w:val="en-GB"/>
        </w:rPr>
        <w:t xml:space="preserve"> </w:t>
      </w:r>
      <w:r w:rsidR="007F6A34">
        <w:rPr>
          <w:sz w:val="28"/>
          <w:szCs w:val="28"/>
          <w:lang w:val="en-GB"/>
        </w:rPr>
        <w:t xml:space="preserve">social </w:t>
      </w:r>
      <w:r w:rsidR="00432DD7">
        <w:rPr>
          <w:sz w:val="28"/>
          <w:szCs w:val="28"/>
          <w:lang w:val="en-GB"/>
        </w:rPr>
        <w:t xml:space="preserve">competition </w:t>
      </w:r>
      <w:r w:rsidR="007F6A34">
        <w:rPr>
          <w:sz w:val="28"/>
          <w:szCs w:val="28"/>
          <w:lang w:val="en-GB"/>
        </w:rPr>
        <w:t xml:space="preserve">in education </w:t>
      </w:r>
      <w:r w:rsidR="006B68B9">
        <w:rPr>
          <w:sz w:val="28"/>
          <w:szCs w:val="28"/>
          <w:lang w:val="en-GB"/>
        </w:rPr>
        <w:t xml:space="preserve">becomes </w:t>
      </w:r>
      <w:r w:rsidR="00432DD7">
        <w:rPr>
          <w:sz w:val="28"/>
          <w:szCs w:val="28"/>
          <w:lang w:val="en-GB"/>
        </w:rPr>
        <w:t xml:space="preserve">more intense, </w:t>
      </w:r>
      <w:r w:rsidR="006B68B9">
        <w:rPr>
          <w:sz w:val="28"/>
          <w:szCs w:val="28"/>
          <w:lang w:val="en-GB"/>
        </w:rPr>
        <w:t>this favours</w:t>
      </w:r>
      <w:r w:rsidR="00432DD7">
        <w:rPr>
          <w:sz w:val="28"/>
          <w:szCs w:val="28"/>
          <w:lang w:val="en-GB"/>
        </w:rPr>
        <w:t xml:space="preserve"> families with the private means </w:t>
      </w:r>
      <w:r w:rsidR="006B68B9">
        <w:rPr>
          <w:sz w:val="28"/>
          <w:szCs w:val="28"/>
          <w:lang w:val="en-GB"/>
        </w:rPr>
        <w:t xml:space="preserve">and the inside knowledge and experience </w:t>
      </w:r>
      <w:r w:rsidR="00432DD7">
        <w:rPr>
          <w:sz w:val="28"/>
          <w:szCs w:val="28"/>
          <w:lang w:val="en-GB"/>
        </w:rPr>
        <w:t xml:space="preserve">with which to compete. </w:t>
      </w:r>
      <w:r w:rsidR="007F6A34">
        <w:rPr>
          <w:sz w:val="28"/>
          <w:szCs w:val="28"/>
          <w:lang w:val="en-GB"/>
        </w:rPr>
        <w:t>F</w:t>
      </w:r>
      <w:r w:rsidR="00432DD7">
        <w:rPr>
          <w:sz w:val="28"/>
          <w:szCs w:val="28"/>
          <w:lang w:val="en-GB"/>
        </w:rPr>
        <w:t xml:space="preserve">amilies newly participating in tertiary education </w:t>
      </w:r>
      <w:r w:rsidR="007F6A34">
        <w:rPr>
          <w:sz w:val="28"/>
          <w:szCs w:val="28"/>
          <w:lang w:val="en-GB"/>
        </w:rPr>
        <w:t>tend to be</w:t>
      </w:r>
      <w:r w:rsidR="006B68B9">
        <w:rPr>
          <w:sz w:val="28"/>
          <w:szCs w:val="28"/>
          <w:lang w:val="en-GB"/>
        </w:rPr>
        <w:t>come</w:t>
      </w:r>
      <w:r w:rsidR="007F6A34">
        <w:rPr>
          <w:sz w:val="28"/>
          <w:szCs w:val="28"/>
          <w:lang w:val="en-GB"/>
        </w:rPr>
        <w:t xml:space="preserve"> </w:t>
      </w:r>
      <w:r w:rsidR="009867BB">
        <w:rPr>
          <w:sz w:val="28"/>
          <w:szCs w:val="28"/>
          <w:lang w:val="en-GB"/>
        </w:rPr>
        <w:t>concentrate</w:t>
      </w:r>
      <w:r w:rsidR="006B68B9">
        <w:rPr>
          <w:sz w:val="28"/>
          <w:szCs w:val="28"/>
          <w:lang w:val="en-GB"/>
        </w:rPr>
        <w:t>d</w:t>
      </w:r>
      <w:r w:rsidR="00432DD7">
        <w:rPr>
          <w:sz w:val="28"/>
          <w:szCs w:val="28"/>
          <w:lang w:val="en-GB"/>
        </w:rPr>
        <w:t xml:space="preserve"> in the lower status institutions</w:t>
      </w:r>
      <w:r w:rsidR="001270C8">
        <w:rPr>
          <w:sz w:val="28"/>
          <w:szCs w:val="28"/>
          <w:lang w:val="en-GB"/>
        </w:rPr>
        <w:t xml:space="preserve">, </w:t>
      </w:r>
      <w:r w:rsidR="009867BB">
        <w:rPr>
          <w:rFonts w:cs="Gill Sans"/>
          <w:sz w:val="28"/>
          <w:szCs w:val="28"/>
        </w:rPr>
        <w:t xml:space="preserve">where participation alone cannot </w:t>
      </w:r>
      <w:r w:rsidR="001270C8" w:rsidRPr="00A73D76">
        <w:rPr>
          <w:rFonts w:cs="Gill Sans"/>
          <w:sz w:val="28"/>
          <w:szCs w:val="28"/>
        </w:rPr>
        <w:t xml:space="preserve">generate strong </w:t>
      </w:r>
      <w:r w:rsidR="006B68B9">
        <w:rPr>
          <w:rFonts w:cs="Gill Sans"/>
          <w:sz w:val="28"/>
          <w:szCs w:val="28"/>
        </w:rPr>
        <w:t xml:space="preserve">social </w:t>
      </w:r>
      <w:r w:rsidR="001270C8" w:rsidRPr="00A73D76">
        <w:rPr>
          <w:rFonts w:cs="Gill Sans"/>
          <w:sz w:val="28"/>
          <w:szCs w:val="28"/>
        </w:rPr>
        <w:t>outcomes</w:t>
      </w:r>
      <w:r w:rsidR="00432DD7">
        <w:rPr>
          <w:sz w:val="28"/>
          <w:szCs w:val="28"/>
          <w:lang w:val="en-GB"/>
        </w:rPr>
        <w:t>. I</w:t>
      </w:r>
      <w:r w:rsidR="007F6A34">
        <w:rPr>
          <w:sz w:val="28"/>
          <w:szCs w:val="28"/>
          <w:lang w:val="en-GB"/>
        </w:rPr>
        <w:t>n short, i</w:t>
      </w:r>
      <w:r w:rsidR="00432DD7">
        <w:rPr>
          <w:sz w:val="28"/>
          <w:szCs w:val="28"/>
          <w:lang w:val="en-GB"/>
        </w:rPr>
        <w:t xml:space="preserve">t is more difficult </w:t>
      </w:r>
      <w:r w:rsidR="004E372A">
        <w:rPr>
          <w:sz w:val="28"/>
          <w:szCs w:val="28"/>
          <w:lang w:val="en-GB"/>
        </w:rPr>
        <w:t xml:space="preserve">for public policy </w:t>
      </w:r>
      <w:r w:rsidR="00432DD7">
        <w:rPr>
          <w:sz w:val="28"/>
          <w:szCs w:val="28"/>
          <w:lang w:val="en-GB"/>
        </w:rPr>
        <w:t xml:space="preserve">to change the social distribution of opportunities when participation exceeds 50 per cent of the age group, than when the participation rate was 15 per cent. </w:t>
      </w:r>
    </w:p>
    <w:p w14:paraId="2D739B89" w14:textId="77777777" w:rsidR="004E4985" w:rsidRDefault="004E4985" w:rsidP="00F76E4D">
      <w:pPr>
        <w:rPr>
          <w:sz w:val="28"/>
          <w:szCs w:val="28"/>
          <w:lang w:val="en-GB"/>
        </w:rPr>
      </w:pPr>
    </w:p>
    <w:p w14:paraId="4CEE5720" w14:textId="062D9CB2" w:rsidR="00A1212F" w:rsidRPr="00A1212F" w:rsidRDefault="00A1212F" w:rsidP="00F76E4D">
      <w:pPr>
        <w:rPr>
          <w:b/>
          <w:i/>
          <w:sz w:val="28"/>
          <w:szCs w:val="28"/>
          <w:lang w:val="en-GB"/>
        </w:rPr>
      </w:pPr>
      <w:r w:rsidRPr="00A1212F">
        <w:rPr>
          <w:b/>
          <w:i/>
          <w:sz w:val="28"/>
          <w:szCs w:val="28"/>
          <w:lang w:val="en-GB"/>
        </w:rPr>
        <w:t>Higher education system settings can affect social equality/inequality</w:t>
      </w:r>
    </w:p>
    <w:p w14:paraId="4EBC9F92" w14:textId="23E6B5D1" w:rsidR="001270C8" w:rsidRDefault="00720C0D" w:rsidP="00F76E4D">
      <w:pPr>
        <w:rPr>
          <w:sz w:val="28"/>
          <w:szCs w:val="28"/>
          <w:lang w:val="en-GB"/>
        </w:rPr>
      </w:pPr>
      <w:r>
        <w:rPr>
          <w:sz w:val="28"/>
          <w:szCs w:val="28"/>
          <w:lang w:val="en-GB"/>
        </w:rPr>
        <w:t xml:space="preserve">Not impossible, but more difficult. </w:t>
      </w:r>
      <w:r w:rsidR="00A004C1">
        <w:rPr>
          <w:sz w:val="28"/>
          <w:szCs w:val="28"/>
          <w:lang w:val="en-GB"/>
        </w:rPr>
        <w:t xml:space="preserve">Essentially, it </w:t>
      </w:r>
      <w:r>
        <w:rPr>
          <w:sz w:val="28"/>
          <w:szCs w:val="28"/>
          <w:lang w:val="en-GB"/>
        </w:rPr>
        <w:t>mean</w:t>
      </w:r>
      <w:r w:rsidR="00A004C1">
        <w:rPr>
          <w:sz w:val="28"/>
          <w:szCs w:val="28"/>
          <w:lang w:val="en-GB"/>
        </w:rPr>
        <w:t>s</w:t>
      </w:r>
      <w:r>
        <w:rPr>
          <w:sz w:val="28"/>
          <w:szCs w:val="28"/>
          <w:lang w:val="en-GB"/>
        </w:rPr>
        <w:t xml:space="preserve"> either taking </w:t>
      </w:r>
      <w:r w:rsidR="00612FAE">
        <w:rPr>
          <w:sz w:val="28"/>
          <w:szCs w:val="28"/>
          <w:lang w:val="en-GB"/>
        </w:rPr>
        <w:t>privileged</w:t>
      </w:r>
      <w:r>
        <w:rPr>
          <w:sz w:val="28"/>
          <w:szCs w:val="28"/>
          <w:lang w:val="en-GB"/>
        </w:rPr>
        <w:t xml:space="preserve"> </w:t>
      </w:r>
      <w:r w:rsidR="00612FAE">
        <w:rPr>
          <w:sz w:val="28"/>
          <w:szCs w:val="28"/>
          <w:lang w:val="en-GB"/>
        </w:rPr>
        <w:t xml:space="preserve">places </w:t>
      </w:r>
      <w:r>
        <w:rPr>
          <w:sz w:val="28"/>
          <w:szCs w:val="28"/>
          <w:lang w:val="en-GB"/>
        </w:rPr>
        <w:t xml:space="preserve">from </w:t>
      </w:r>
      <w:r w:rsidR="00612FAE">
        <w:rPr>
          <w:sz w:val="28"/>
          <w:szCs w:val="28"/>
          <w:lang w:val="en-GB"/>
        </w:rPr>
        <w:t xml:space="preserve">some </w:t>
      </w:r>
      <w:r>
        <w:rPr>
          <w:sz w:val="28"/>
          <w:szCs w:val="28"/>
          <w:lang w:val="en-GB"/>
        </w:rPr>
        <w:t xml:space="preserve">middle class families—or </w:t>
      </w:r>
      <w:r w:rsidR="00A004C1">
        <w:rPr>
          <w:sz w:val="28"/>
          <w:szCs w:val="28"/>
          <w:lang w:val="en-GB"/>
        </w:rPr>
        <w:t xml:space="preserve">it means </w:t>
      </w:r>
      <w:r>
        <w:rPr>
          <w:sz w:val="28"/>
          <w:szCs w:val="28"/>
          <w:lang w:val="en-GB"/>
        </w:rPr>
        <w:t xml:space="preserve">applying resources selectively to change the university hierarchy itself, so its structure becomes more equal, </w:t>
      </w:r>
      <w:r w:rsidR="00612FAE">
        <w:rPr>
          <w:sz w:val="28"/>
          <w:szCs w:val="28"/>
          <w:lang w:val="en-GB"/>
        </w:rPr>
        <w:t xml:space="preserve">with </w:t>
      </w:r>
      <w:r>
        <w:rPr>
          <w:sz w:val="28"/>
          <w:szCs w:val="28"/>
          <w:lang w:val="en-GB"/>
        </w:rPr>
        <w:t xml:space="preserve">more </w:t>
      </w:r>
      <w:r w:rsidR="007F6A34">
        <w:rPr>
          <w:sz w:val="28"/>
          <w:szCs w:val="28"/>
          <w:lang w:val="en-GB"/>
        </w:rPr>
        <w:t>egalitarian system settings</w:t>
      </w:r>
      <w:r w:rsidR="00612FAE">
        <w:rPr>
          <w:sz w:val="28"/>
          <w:szCs w:val="28"/>
          <w:lang w:val="en-GB"/>
        </w:rPr>
        <w:t>, as in Northwest and Central Europe</w:t>
      </w:r>
      <w:r>
        <w:rPr>
          <w:sz w:val="28"/>
          <w:szCs w:val="28"/>
          <w:lang w:val="en-GB"/>
        </w:rPr>
        <w:t xml:space="preserve">. So </w:t>
      </w:r>
      <w:r w:rsidR="00A004C1">
        <w:rPr>
          <w:sz w:val="28"/>
          <w:szCs w:val="28"/>
          <w:lang w:val="en-GB"/>
        </w:rPr>
        <w:t xml:space="preserve">that </w:t>
      </w:r>
      <w:r>
        <w:rPr>
          <w:sz w:val="28"/>
          <w:szCs w:val="28"/>
          <w:lang w:val="en-GB"/>
        </w:rPr>
        <w:t xml:space="preserve">a student place in Bath Spa University would carry much the same prestige and resources as a student place at the University of Bath </w:t>
      </w:r>
      <w:r w:rsidRPr="00A004C1">
        <w:rPr>
          <w:sz w:val="28"/>
          <w:szCs w:val="28"/>
          <w:lang w:val="en-GB"/>
        </w:rPr>
        <w:t>and</w:t>
      </w:r>
      <w:r>
        <w:rPr>
          <w:sz w:val="28"/>
          <w:szCs w:val="28"/>
          <w:lang w:val="en-GB"/>
        </w:rPr>
        <w:t xml:space="preserve"> a place at the University of Bristol. Needless to say, neither change would be </w:t>
      </w:r>
      <w:r w:rsidR="007F6A34">
        <w:rPr>
          <w:sz w:val="28"/>
          <w:szCs w:val="28"/>
          <w:lang w:val="en-GB"/>
        </w:rPr>
        <w:t xml:space="preserve">at all </w:t>
      </w:r>
      <w:r>
        <w:rPr>
          <w:sz w:val="28"/>
          <w:szCs w:val="28"/>
          <w:lang w:val="en-GB"/>
        </w:rPr>
        <w:t>easy to achieve</w:t>
      </w:r>
      <w:r w:rsidR="00A004C1">
        <w:rPr>
          <w:sz w:val="28"/>
          <w:szCs w:val="28"/>
          <w:lang w:val="en-GB"/>
        </w:rPr>
        <w:t xml:space="preserve"> </w:t>
      </w:r>
      <w:r w:rsidR="00612FAE">
        <w:rPr>
          <w:sz w:val="28"/>
          <w:szCs w:val="28"/>
          <w:lang w:val="en-GB"/>
        </w:rPr>
        <w:t>at scale</w:t>
      </w:r>
      <w:r>
        <w:rPr>
          <w:sz w:val="28"/>
          <w:szCs w:val="28"/>
          <w:lang w:val="en-GB"/>
        </w:rPr>
        <w:t xml:space="preserve">. Both </w:t>
      </w:r>
      <w:r w:rsidR="009539B9">
        <w:rPr>
          <w:sz w:val="28"/>
          <w:szCs w:val="28"/>
          <w:lang w:val="en-GB"/>
        </w:rPr>
        <w:t xml:space="preserve">would </w:t>
      </w:r>
      <w:r>
        <w:rPr>
          <w:sz w:val="28"/>
          <w:szCs w:val="28"/>
          <w:lang w:val="en-GB"/>
        </w:rPr>
        <w:t xml:space="preserve">require a </w:t>
      </w:r>
      <w:r w:rsidR="00A004C1">
        <w:rPr>
          <w:sz w:val="28"/>
          <w:szCs w:val="28"/>
          <w:lang w:val="en-GB"/>
        </w:rPr>
        <w:t xml:space="preserve">government </w:t>
      </w:r>
      <w:r w:rsidR="009539B9">
        <w:rPr>
          <w:sz w:val="28"/>
          <w:szCs w:val="28"/>
          <w:lang w:val="en-GB"/>
        </w:rPr>
        <w:t>sincere about</w:t>
      </w:r>
      <w:r w:rsidR="00A004C1">
        <w:rPr>
          <w:sz w:val="28"/>
          <w:szCs w:val="28"/>
          <w:lang w:val="en-GB"/>
        </w:rPr>
        <w:t xml:space="preserve"> </w:t>
      </w:r>
      <w:r w:rsidR="005B59CD">
        <w:rPr>
          <w:sz w:val="28"/>
          <w:szCs w:val="28"/>
          <w:lang w:val="en-GB"/>
        </w:rPr>
        <w:t xml:space="preserve">reform, </w:t>
      </w:r>
      <w:r w:rsidR="00A004C1">
        <w:rPr>
          <w:sz w:val="28"/>
          <w:szCs w:val="28"/>
          <w:lang w:val="en-GB"/>
        </w:rPr>
        <w:t>a</w:t>
      </w:r>
      <w:r>
        <w:rPr>
          <w:sz w:val="28"/>
          <w:szCs w:val="28"/>
          <w:lang w:val="en-GB"/>
        </w:rPr>
        <w:t xml:space="preserve"> social consensus about </w:t>
      </w:r>
      <w:r w:rsidR="00A004C1">
        <w:rPr>
          <w:sz w:val="28"/>
          <w:szCs w:val="28"/>
          <w:lang w:val="en-GB"/>
        </w:rPr>
        <w:t xml:space="preserve">achieving </w:t>
      </w:r>
      <w:r>
        <w:rPr>
          <w:sz w:val="28"/>
          <w:szCs w:val="28"/>
          <w:lang w:val="en-GB"/>
        </w:rPr>
        <w:t>greater equality</w:t>
      </w:r>
      <w:r w:rsidR="005B59CD">
        <w:rPr>
          <w:sz w:val="28"/>
          <w:szCs w:val="28"/>
          <w:lang w:val="en-GB"/>
        </w:rPr>
        <w:t>, and time</w:t>
      </w:r>
      <w:r>
        <w:rPr>
          <w:sz w:val="28"/>
          <w:szCs w:val="28"/>
          <w:lang w:val="en-GB"/>
        </w:rPr>
        <w:t>.</w:t>
      </w:r>
      <w:r w:rsidR="00A004C1">
        <w:rPr>
          <w:sz w:val="28"/>
          <w:szCs w:val="28"/>
          <w:lang w:val="en-GB"/>
        </w:rPr>
        <w:t xml:space="preserve"> </w:t>
      </w:r>
    </w:p>
    <w:p w14:paraId="5C6479D9" w14:textId="21C4E426" w:rsidR="009867BB" w:rsidRDefault="007F6A34" w:rsidP="00F76E4D">
      <w:pPr>
        <w:widowControl w:val="0"/>
        <w:autoSpaceDE w:val="0"/>
        <w:autoSpaceDN w:val="0"/>
        <w:adjustRightInd w:val="0"/>
        <w:ind w:firstLine="454"/>
        <w:rPr>
          <w:sz w:val="28"/>
          <w:szCs w:val="28"/>
        </w:rPr>
      </w:pPr>
      <w:r>
        <w:rPr>
          <w:sz w:val="28"/>
          <w:szCs w:val="28"/>
        </w:rPr>
        <w:t>University of Oxford</w:t>
      </w:r>
      <w:r w:rsidR="004E372A">
        <w:rPr>
          <w:sz w:val="28"/>
          <w:szCs w:val="28"/>
        </w:rPr>
        <w:t xml:space="preserve"> places will not be redistributed evenly between social classes overnight</w:t>
      </w:r>
      <w:r>
        <w:rPr>
          <w:sz w:val="28"/>
          <w:szCs w:val="28"/>
        </w:rPr>
        <w:t xml:space="preserve">. Alternately, </w:t>
      </w:r>
      <w:r w:rsidR="004E372A">
        <w:rPr>
          <w:sz w:val="28"/>
          <w:szCs w:val="28"/>
        </w:rPr>
        <w:t>Bath Spa and Bristol will n</w:t>
      </w:r>
      <w:r>
        <w:rPr>
          <w:sz w:val="28"/>
          <w:szCs w:val="28"/>
        </w:rPr>
        <w:t>ot</w:t>
      </w:r>
      <w:r w:rsidR="004E372A">
        <w:rPr>
          <w:sz w:val="28"/>
          <w:szCs w:val="28"/>
        </w:rPr>
        <w:t xml:space="preserve"> be made into equivalent choices overnight. How can policy makers make changes that will move </w:t>
      </w:r>
      <w:r>
        <w:rPr>
          <w:sz w:val="28"/>
          <w:szCs w:val="28"/>
        </w:rPr>
        <w:t xml:space="preserve">higher education </w:t>
      </w:r>
      <w:r w:rsidR="006B68B9">
        <w:rPr>
          <w:sz w:val="28"/>
          <w:szCs w:val="28"/>
        </w:rPr>
        <w:t>in the right direction. So that it begins to make</w:t>
      </w:r>
      <w:r>
        <w:rPr>
          <w:sz w:val="28"/>
          <w:szCs w:val="28"/>
        </w:rPr>
        <w:t xml:space="preserve"> society more fair and not less fair?</w:t>
      </w:r>
      <w:r w:rsidR="006B68B9">
        <w:rPr>
          <w:sz w:val="28"/>
          <w:szCs w:val="28"/>
        </w:rPr>
        <w:t xml:space="preserve"> A government </w:t>
      </w:r>
      <w:r w:rsidR="009539B9">
        <w:rPr>
          <w:sz w:val="28"/>
          <w:szCs w:val="28"/>
        </w:rPr>
        <w:t>really</w:t>
      </w:r>
      <w:r w:rsidR="006B68B9">
        <w:rPr>
          <w:sz w:val="28"/>
          <w:szCs w:val="28"/>
        </w:rPr>
        <w:t xml:space="preserve"> committed to improving social mobility through higher education has a tough challenge. Grammar schools will not </w:t>
      </w:r>
      <w:r w:rsidR="009539B9">
        <w:rPr>
          <w:sz w:val="28"/>
          <w:szCs w:val="28"/>
        </w:rPr>
        <w:t>help social mobility overall</w:t>
      </w:r>
      <w:r w:rsidR="006B68B9">
        <w:rPr>
          <w:sz w:val="28"/>
          <w:szCs w:val="28"/>
        </w:rPr>
        <w:t>. They provide more opportunities for a minority of students but push the majority further down, in a more hierarchical system.</w:t>
      </w:r>
    </w:p>
    <w:p w14:paraId="317C34EE" w14:textId="01640D56" w:rsidR="00E560C0" w:rsidRDefault="009E5AC0" w:rsidP="00F76E4D">
      <w:pPr>
        <w:rPr>
          <w:sz w:val="28"/>
          <w:szCs w:val="28"/>
        </w:rPr>
      </w:pPr>
      <w:r>
        <w:rPr>
          <w:sz w:val="28"/>
          <w:szCs w:val="28"/>
        </w:rPr>
        <w:tab/>
        <w:t xml:space="preserve">I will now move to the final theme of the evening: the question about ‘what is a high participation society?’ </w:t>
      </w:r>
      <w:r w:rsidR="009539B9">
        <w:rPr>
          <w:sz w:val="28"/>
          <w:szCs w:val="28"/>
        </w:rPr>
        <w:t xml:space="preserve">What kind of world is it when more than half the population of the world enters tertiary education, and a third have degrees? On present trends, we </w:t>
      </w:r>
      <w:r w:rsidR="00247FD7">
        <w:rPr>
          <w:sz w:val="28"/>
          <w:szCs w:val="28"/>
        </w:rPr>
        <w:t>reach</w:t>
      </w:r>
      <w:r w:rsidR="009539B9">
        <w:rPr>
          <w:sz w:val="28"/>
          <w:szCs w:val="28"/>
        </w:rPr>
        <w:t xml:space="preserve"> that world in </w:t>
      </w:r>
      <w:r w:rsidR="00247FD7">
        <w:rPr>
          <w:sz w:val="28"/>
          <w:szCs w:val="28"/>
        </w:rPr>
        <w:t>the next</w:t>
      </w:r>
      <w:r w:rsidR="009539B9">
        <w:rPr>
          <w:sz w:val="28"/>
          <w:szCs w:val="28"/>
        </w:rPr>
        <w:t xml:space="preserve"> generation.</w:t>
      </w:r>
    </w:p>
    <w:p w14:paraId="4FF82AF6" w14:textId="1AEBE241" w:rsidR="00AE33DA" w:rsidRDefault="00AE33DA" w:rsidP="00F76E4D">
      <w:pPr>
        <w:widowControl w:val="0"/>
        <w:autoSpaceDE w:val="0"/>
        <w:autoSpaceDN w:val="0"/>
        <w:adjustRightInd w:val="0"/>
        <w:rPr>
          <w:bCs/>
          <w:iCs/>
          <w:sz w:val="28"/>
          <w:szCs w:val="28"/>
        </w:rPr>
      </w:pPr>
    </w:p>
    <w:p w14:paraId="2B09F1B1" w14:textId="06C98CC7" w:rsidR="00BD6717" w:rsidRDefault="00BD6717" w:rsidP="00F76E4D">
      <w:pPr>
        <w:widowControl w:val="0"/>
        <w:autoSpaceDE w:val="0"/>
        <w:autoSpaceDN w:val="0"/>
        <w:adjustRightInd w:val="0"/>
        <w:rPr>
          <w:bCs/>
          <w:iCs/>
          <w:sz w:val="28"/>
          <w:szCs w:val="28"/>
        </w:rPr>
      </w:pPr>
      <w:r w:rsidRPr="00BD6717">
        <w:rPr>
          <w:b/>
          <w:bCs/>
          <w:i/>
          <w:iCs/>
          <w:sz w:val="28"/>
          <w:szCs w:val="28"/>
        </w:rPr>
        <w:t xml:space="preserve">Research finds people with tertiary education, on average </w:t>
      </w:r>
      <w:r w:rsidRPr="00BD6717">
        <w:rPr>
          <w:b/>
          <w:bCs/>
          <w:i/>
          <w:iCs/>
          <w:sz w:val="28"/>
          <w:szCs w:val="28"/>
          <w:cs/>
          <w:lang w:bidi="mr-IN"/>
        </w:rPr>
        <w:t>…</w:t>
      </w:r>
    </w:p>
    <w:p w14:paraId="4B3A0E4F" w14:textId="4B835D32" w:rsidR="00E60D50" w:rsidRDefault="00381B6E" w:rsidP="00F76E4D">
      <w:pPr>
        <w:rPr>
          <w:rFonts w:cs="Times New Roman"/>
          <w:sz w:val="28"/>
          <w:szCs w:val="28"/>
          <w:lang w:val="en-GB"/>
        </w:rPr>
      </w:pPr>
      <w:r>
        <w:rPr>
          <w:rFonts w:cs="Times New Roman"/>
          <w:sz w:val="28"/>
          <w:szCs w:val="28"/>
          <w:lang w:val="en-GB"/>
        </w:rPr>
        <w:lastRenderedPageBreak/>
        <w:t xml:space="preserve">We already know something of a world in which half the people enter tertiary education because of two decades of research on the outcomes associated with graduates. There is a useful summary of the research up to 2009 in Walter McMahon’s </w:t>
      </w:r>
      <w:r w:rsidRPr="00381B6E">
        <w:rPr>
          <w:rFonts w:cs="Times New Roman"/>
          <w:i/>
          <w:sz w:val="28"/>
          <w:szCs w:val="28"/>
          <w:lang w:val="en-GB"/>
        </w:rPr>
        <w:t>Higher Learning, Greater Good</w:t>
      </w:r>
      <w:r>
        <w:rPr>
          <w:rFonts w:cs="Times New Roman"/>
          <w:sz w:val="28"/>
          <w:szCs w:val="28"/>
          <w:lang w:val="en-GB"/>
        </w:rPr>
        <w:t xml:space="preserve">. The association between more and better employment options, and being a graduate, diminishes as tertiary education expands and graduate pay falls back towards the new social average. </w:t>
      </w:r>
      <w:r w:rsidR="00322ECD">
        <w:rPr>
          <w:rFonts w:cs="Times New Roman"/>
          <w:sz w:val="28"/>
          <w:szCs w:val="28"/>
          <w:lang w:val="en-GB"/>
        </w:rPr>
        <w:t>However,</w:t>
      </w:r>
      <w:r>
        <w:rPr>
          <w:rFonts w:cs="Times New Roman"/>
          <w:sz w:val="28"/>
          <w:szCs w:val="28"/>
          <w:lang w:val="en-GB"/>
        </w:rPr>
        <w:t xml:space="preserve"> the gain in employability never entirely disappears. This is because all graduates enjoy a generic advantage over non-graduates in communication</w:t>
      </w:r>
      <w:r w:rsidR="008539E5">
        <w:rPr>
          <w:rFonts w:cs="Times New Roman"/>
          <w:sz w:val="28"/>
          <w:szCs w:val="28"/>
          <w:lang w:val="en-GB"/>
        </w:rPr>
        <w:t>s</w:t>
      </w:r>
      <w:r>
        <w:rPr>
          <w:rFonts w:cs="Times New Roman"/>
          <w:sz w:val="28"/>
          <w:szCs w:val="28"/>
          <w:lang w:val="en-GB"/>
        </w:rPr>
        <w:t xml:space="preserve"> and relational skills. Above all, graduates have greater confidence and greater personal agency. This shows itself in several domains. </w:t>
      </w:r>
    </w:p>
    <w:p w14:paraId="1D378F1E" w14:textId="77777777" w:rsidR="00322ECD" w:rsidRDefault="00322ECD" w:rsidP="00F76E4D">
      <w:pPr>
        <w:rPr>
          <w:rFonts w:cs="Times New Roman"/>
          <w:sz w:val="28"/>
          <w:szCs w:val="28"/>
          <w:lang w:val="en-GB"/>
        </w:rPr>
      </w:pPr>
    </w:p>
    <w:p w14:paraId="777A2D77" w14:textId="23E757CA" w:rsidR="00322ECD" w:rsidRDefault="00322ECD" w:rsidP="00F76E4D">
      <w:pPr>
        <w:rPr>
          <w:rFonts w:cs="Times New Roman"/>
          <w:b/>
          <w:bCs/>
          <w:i/>
          <w:iCs/>
          <w:sz w:val="28"/>
          <w:szCs w:val="28"/>
        </w:rPr>
      </w:pPr>
      <w:r w:rsidRPr="00322ECD">
        <w:rPr>
          <w:rFonts w:cs="Times New Roman"/>
          <w:b/>
          <w:bCs/>
          <w:i/>
          <w:iCs/>
          <w:sz w:val="28"/>
          <w:szCs w:val="28"/>
        </w:rPr>
        <w:t>Educational level and ICT and problem solving skills, OECD survey, selected countries</w:t>
      </w:r>
    </w:p>
    <w:p w14:paraId="4CCF517B" w14:textId="73CDEB6C" w:rsidR="00322ECD" w:rsidRDefault="00322ECD" w:rsidP="00F76E4D">
      <w:pPr>
        <w:rPr>
          <w:rFonts w:cs="Times New Roman"/>
          <w:sz w:val="28"/>
          <w:szCs w:val="28"/>
        </w:rPr>
      </w:pPr>
      <w:r w:rsidRPr="00322ECD">
        <w:rPr>
          <w:rFonts w:cs="Times New Roman"/>
          <w:sz w:val="28"/>
          <w:szCs w:val="28"/>
        </w:rPr>
        <w:t xml:space="preserve">This table, taken from the </w:t>
      </w:r>
      <w:r w:rsidR="001341A8">
        <w:rPr>
          <w:rFonts w:cs="Times New Roman"/>
          <w:sz w:val="28"/>
          <w:szCs w:val="28"/>
        </w:rPr>
        <w:t xml:space="preserve">2012 </w:t>
      </w:r>
      <w:r w:rsidRPr="00322ECD">
        <w:rPr>
          <w:rFonts w:cs="Times New Roman"/>
          <w:sz w:val="28"/>
          <w:szCs w:val="28"/>
        </w:rPr>
        <w:t xml:space="preserve">OECD survey of adult skills, show that when comparing </w:t>
      </w:r>
      <w:r>
        <w:rPr>
          <w:rFonts w:cs="Times New Roman"/>
          <w:sz w:val="28"/>
          <w:szCs w:val="28"/>
        </w:rPr>
        <w:t xml:space="preserve">graduates from </w:t>
      </w:r>
      <w:r w:rsidRPr="00322ECD">
        <w:rPr>
          <w:rFonts w:cs="Times New Roman"/>
          <w:sz w:val="28"/>
          <w:szCs w:val="28"/>
        </w:rPr>
        <w:t xml:space="preserve">tertiary </w:t>
      </w:r>
      <w:r>
        <w:rPr>
          <w:rFonts w:cs="Times New Roman"/>
          <w:sz w:val="28"/>
          <w:szCs w:val="28"/>
        </w:rPr>
        <w:t xml:space="preserve">education to </w:t>
      </w:r>
      <w:r w:rsidRPr="00322ECD">
        <w:rPr>
          <w:rFonts w:cs="Times New Roman"/>
          <w:sz w:val="28"/>
          <w:szCs w:val="28"/>
        </w:rPr>
        <w:t xml:space="preserve">graduates </w:t>
      </w:r>
      <w:r>
        <w:rPr>
          <w:rFonts w:cs="Times New Roman"/>
          <w:sz w:val="28"/>
          <w:szCs w:val="28"/>
        </w:rPr>
        <w:t xml:space="preserve">whose highest qualification is </w:t>
      </w:r>
      <w:r w:rsidRPr="00322ECD">
        <w:rPr>
          <w:rFonts w:cs="Times New Roman"/>
          <w:sz w:val="28"/>
          <w:szCs w:val="28"/>
        </w:rPr>
        <w:t>upper secondary education, there is a difference of 11-30 per cent in the proportion of people with ‘</w:t>
      </w:r>
      <w:r w:rsidRPr="00322ECD">
        <w:rPr>
          <w:rFonts w:cs="Times New Roman"/>
          <w:sz w:val="28"/>
          <w:szCs w:val="28"/>
          <w:lang w:val="en-GB"/>
        </w:rPr>
        <w:t>good ICT and problem solving skills’</w:t>
      </w:r>
      <w:r w:rsidRPr="00322ECD">
        <w:rPr>
          <w:rFonts w:cs="Times New Roman"/>
          <w:sz w:val="28"/>
          <w:szCs w:val="28"/>
        </w:rPr>
        <w:t xml:space="preserve"> </w:t>
      </w:r>
      <w:r>
        <w:rPr>
          <w:rFonts w:cs="Times New Roman"/>
          <w:sz w:val="28"/>
          <w:szCs w:val="28"/>
        </w:rPr>
        <w:t xml:space="preserve">in the countries named in the table. In England the difference is 23 per cent. </w:t>
      </w:r>
    </w:p>
    <w:p w14:paraId="3726EB67" w14:textId="2D808843" w:rsidR="00322ECD" w:rsidRDefault="00322ECD" w:rsidP="00F76E4D">
      <w:pPr>
        <w:ind w:firstLine="454"/>
        <w:rPr>
          <w:rFonts w:cs="Times New Roman"/>
          <w:sz w:val="28"/>
          <w:szCs w:val="28"/>
        </w:rPr>
      </w:pPr>
      <w:r>
        <w:rPr>
          <w:rFonts w:cs="Times New Roman"/>
          <w:sz w:val="28"/>
          <w:szCs w:val="28"/>
        </w:rPr>
        <w:t xml:space="preserve">So graduates communicate more freely and this opens the cross-border </w:t>
      </w:r>
      <w:r w:rsidRPr="00322ECD">
        <w:rPr>
          <w:rFonts w:cs="Times New Roman"/>
          <w:sz w:val="28"/>
          <w:szCs w:val="28"/>
        </w:rPr>
        <w:t xml:space="preserve">world to them. Graduates are also more physically mobile across national borders. The OECD’s </w:t>
      </w:r>
      <w:r w:rsidRPr="00322ECD">
        <w:rPr>
          <w:rFonts w:cs="Times New Roman"/>
          <w:i/>
          <w:sz w:val="28"/>
          <w:szCs w:val="28"/>
        </w:rPr>
        <w:t>Perspectives on Global Development 2017: International migration in a shifting world</w:t>
      </w:r>
      <w:r w:rsidRPr="00322ECD">
        <w:rPr>
          <w:rFonts w:cs="Times New Roman"/>
          <w:sz w:val="28"/>
          <w:szCs w:val="28"/>
        </w:rPr>
        <w:t xml:space="preserve"> (2016) contains </w:t>
      </w:r>
      <w:r>
        <w:rPr>
          <w:rFonts w:cs="Times New Roman"/>
          <w:sz w:val="28"/>
          <w:szCs w:val="28"/>
        </w:rPr>
        <w:t xml:space="preserve">data </w:t>
      </w:r>
      <w:r w:rsidRPr="00322ECD">
        <w:rPr>
          <w:rFonts w:cs="Times New Roman"/>
          <w:sz w:val="28"/>
          <w:szCs w:val="28"/>
        </w:rPr>
        <w:t>compar</w:t>
      </w:r>
      <w:r>
        <w:rPr>
          <w:rFonts w:cs="Times New Roman"/>
          <w:sz w:val="28"/>
          <w:szCs w:val="28"/>
        </w:rPr>
        <w:t>ing</w:t>
      </w:r>
      <w:r w:rsidRPr="00322ECD">
        <w:rPr>
          <w:rFonts w:cs="Times New Roman"/>
          <w:sz w:val="28"/>
          <w:szCs w:val="28"/>
        </w:rPr>
        <w:t xml:space="preserve"> the cross-border mobility of people with, and without, university degrees. Among those without degrees the tendency to move across borders is correlated to income. As income rises people had more scope for mobility. The capacity for mobility appears to be economically determined. However, among those with university degrees the pattern</w:t>
      </w:r>
      <w:r>
        <w:rPr>
          <w:rFonts w:cs="Times New Roman"/>
          <w:sz w:val="28"/>
          <w:szCs w:val="28"/>
        </w:rPr>
        <w:t xml:space="preserve"> is different</w:t>
      </w:r>
      <w:r w:rsidRPr="00322ECD">
        <w:rPr>
          <w:rFonts w:cs="Times New Roman"/>
          <w:sz w:val="28"/>
          <w:szCs w:val="28"/>
        </w:rPr>
        <w:t xml:space="preserve">. First, at a given level of income, those with degrees are much more mobile than those without: </w:t>
      </w:r>
      <w:r>
        <w:rPr>
          <w:rFonts w:cs="Times New Roman"/>
          <w:sz w:val="28"/>
          <w:szCs w:val="28"/>
        </w:rPr>
        <w:t xml:space="preserve">in other words, </w:t>
      </w:r>
      <w:r w:rsidRPr="00322ECD">
        <w:rPr>
          <w:rFonts w:cs="Times New Roman"/>
          <w:sz w:val="28"/>
          <w:szCs w:val="28"/>
        </w:rPr>
        <w:t>higher education helps to democratise mobility (provided higher education</w:t>
      </w:r>
      <w:r>
        <w:rPr>
          <w:rFonts w:cs="Times New Roman"/>
          <w:sz w:val="28"/>
          <w:szCs w:val="28"/>
        </w:rPr>
        <w:t xml:space="preserve"> itself is accessed</w:t>
      </w:r>
      <w:r w:rsidRPr="00322ECD">
        <w:rPr>
          <w:rFonts w:cs="Times New Roman"/>
          <w:sz w:val="28"/>
          <w:szCs w:val="28"/>
        </w:rPr>
        <w:t>). Second, for those with degrees, as income rises, above a modest threshold of income there is little change in potential mobility</w:t>
      </w:r>
      <w:r>
        <w:rPr>
          <w:rFonts w:cs="Times New Roman"/>
          <w:sz w:val="28"/>
          <w:szCs w:val="28"/>
        </w:rPr>
        <w:t>. T</w:t>
      </w:r>
      <w:r w:rsidRPr="00322ECD">
        <w:rPr>
          <w:rFonts w:cs="Times New Roman"/>
          <w:sz w:val="28"/>
          <w:szCs w:val="28"/>
        </w:rPr>
        <w:t xml:space="preserve">hat is, the propensity to move becomes income inelastic. Strikingly, this suggests that because higher education helps graduates to achieve greater personal agency, it weakens the limits created by economic determination and class. </w:t>
      </w:r>
      <w:r>
        <w:rPr>
          <w:rFonts w:cs="Times New Roman"/>
          <w:sz w:val="28"/>
          <w:szCs w:val="28"/>
        </w:rPr>
        <w:t>Degree level education</w:t>
      </w:r>
      <w:r w:rsidRPr="00322ECD">
        <w:rPr>
          <w:rFonts w:cs="Times New Roman"/>
          <w:sz w:val="28"/>
          <w:szCs w:val="28"/>
        </w:rPr>
        <w:t xml:space="preserve"> constitutes greater personal agency, freedom, in its own right</w:t>
      </w:r>
      <w:r>
        <w:rPr>
          <w:rFonts w:cs="Times New Roman"/>
          <w:sz w:val="28"/>
          <w:szCs w:val="28"/>
        </w:rPr>
        <w:t>.</w:t>
      </w:r>
    </w:p>
    <w:p w14:paraId="05650F50" w14:textId="77777777" w:rsidR="00FB1663" w:rsidRDefault="00FB1663" w:rsidP="00F76E4D">
      <w:pPr>
        <w:rPr>
          <w:rFonts w:cs="Times New Roman"/>
          <w:sz w:val="28"/>
          <w:szCs w:val="28"/>
        </w:rPr>
      </w:pPr>
    </w:p>
    <w:p w14:paraId="11092856" w14:textId="3DE3C9D8" w:rsidR="00FB1663" w:rsidRPr="00FB1663" w:rsidRDefault="00417E6D" w:rsidP="00F76E4D">
      <w:pPr>
        <w:rPr>
          <w:rFonts w:cs="Times New Roman"/>
          <w:b/>
          <w:i/>
          <w:sz w:val="28"/>
          <w:szCs w:val="28"/>
        </w:rPr>
      </w:pPr>
      <w:r>
        <w:rPr>
          <w:rFonts w:cs="Times New Roman"/>
          <w:b/>
          <w:i/>
          <w:sz w:val="28"/>
          <w:szCs w:val="28"/>
        </w:rPr>
        <w:t>Level of</w:t>
      </w:r>
      <w:r w:rsidR="00FB1663" w:rsidRPr="00FB1663">
        <w:rPr>
          <w:rFonts w:cs="Times New Roman"/>
          <w:b/>
          <w:i/>
          <w:sz w:val="28"/>
          <w:szCs w:val="28"/>
        </w:rPr>
        <w:t xml:space="preserve"> education and interpersonal trust </w:t>
      </w:r>
    </w:p>
    <w:p w14:paraId="048CAFFB" w14:textId="73C77D48" w:rsidR="00FB1663" w:rsidRDefault="001341A8" w:rsidP="00F76E4D">
      <w:pPr>
        <w:rPr>
          <w:rFonts w:cs="Times New Roman"/>
          <w:sz w:val="28"/>
          <w:szCs w:val="28"/>
        </w:rPr>
      </w:pPr>
      <w:r>
        <w:rPr>
          <w:rFonts w:cs="Times New Roman"/>
          <w:sz w:val="28"/>
          <w:szCs w:val="28"/>
        </w:rPr>
        <w:t xml:space="preserve">The 2012 OECD survey of adult skills also reported that people with tertiary education were more likely to trust others, </w:t>
      </w:r>
      <w:r w:rsidR="00FB6D76">
        <w:rPr>
          <w:rFonts w:cs="Times New Roman"/>
          <w:sz w:val="28"/>
          <w:szCs w:val="28"/>
        </w:rPr>
        <w:t xml:space="preserve">a finding that held </w:t>
      </w:r>
      <w:r>
        <w:rPr>
          <w:rFonts w:cs="Times New Roman"/>
          <w:sz w:val="28"/>
          <w:szCs w:val="28"/>
        </w:rPr>
        <w:t xml:space="preserve">after </w:t>
      </w:r>
      <w:r w:rsidR="00FB6D76">
        <w:rPr>
          <w:rFonts w:cs="Times New Roman"/>
          <w:sz w:val="28"/>
          <w:szCs w:val="28"/>
        </w:rPr>
        <w:t xml:space="preserve">statistically </w:t>
      </w:r>
      <w:r>
        <w:rPr>
          <w:rFonts w:cs="Times New Roman"/>
          <w:sz w:val="28"/>
          <w:szCs w:val="28"/>
        </w:rPr>
        <w:t xml:space="preserve">accounting for differences in gender, age and income. In </w:t>
      </w:r>
      <w:r w:rsidR="000A4859">
        <w:rPr>
          <w:rFonts w:cs="Times New Roman"/>
          <w:sz w:val="28"/>
          <w:szCs w:val="28"/>
        </w:rPr>
        <w:t xml:space="preserve">England, only 11 per </w:t>
      </w:r>
      <w:r w:rsidR="000A4859">
        <w:rPr>
          <w:rFonts w:cs="Times New Roman"/>
          <w:sz w:val="28"/>
          <w:szCs w:val="28"/>
        </w:rPr>
        <w:lastRenderedPageBreak/>
        <w:t xml:space="preserve">cent of those with less than upper secondary education reported that they felt able to trust others, but this proportion rose to </w:t>
      </w:r>
      <w:r w:rsidR="00FB6D76">
        <w:rPr>
          <w:rFonts w:cs="Times New Roman"/>
          <w:sz w:val="28"/>
          <w:szCs w:val="28"/>
        </w:rPr>
        <w:t>26</w:t>
      </w:r>
      <w:r w:rsidR="000A4859">
        <w:rPr>
          <w:rFonts w:cs="Times New Roman"/>
          <w:sz w:val="28"/>
          <w:szCs w:val="28"/>
        </w:rPr>
        <w:t xml:space="preserve"> per cent among those with</w:t>
      </w:r>
      <w:r w:rsidR="00FB6D76">
        <w:rPr>
          <w:rFonts w:cs="Times New Roman"/>
          <w:sz w:val="28"/>
          <w:szCs w:val="28"/>
        </w:rPr>
        <w:t xml:space="preserve"> tertiary education. </w:t>
      </w:r>
      <w:r w:rsidR="002D2895">
        <w:rPr>
          <w:rFonts w:cs="Times New Roman"/>
          <w:sz w:val="28"/>
          <w:szCs w:val="28"/>
        </w:rPr>
        <w:t>While the low level of trust in many countries stands out,</w:t>
      </w:r>
      <w:r w:rsidR="00FB6D76">
        <w:rPr>
          <w:rFonts w:cs="Times New Roman"/>
          <w:sz w:val="28"/>
          <w:szCs w:val="28"/>
        </w:rPr>
        <w:t xml:space="preserve"> among tertiary graduates, trust was </w:t>
      </w:r>
      <w:r w:rsidR="002D2895">
        <w:rPr>
          <w:rFonts w:cs="Times New Roman"/>
          <w:sz w:val="28"/>
          <w:szCs w:val="28"/>
        </w:rPr>
        <w:t>highest in</w:t>
      </w:r>
      <w:r w:rsidR="00FB6D76">
        <w:rPr>
          <w:rFonts w:cs="Times New Roman"/>
          <w:sz w:val="28"/>
          <w:szCs w:val="28"/>
        </w:rPr>
        <w:t xml:space="preserve"> Denmark </w:t>
      </w:r>
      <w:r w:rsidR="002D2895">
        <w:rPr>
          <w:rFonts w:cs="Times New Roman"/>
          <w:sz w:val="28"/>
          <w:szCs w:val="28"/>
        </w:rPr>
        <w:t xml:space="preserve">at </w:t>
      </w:r>
      <w:r w:rsidR="00FB6D76">
        <w:rPr>
          <w:rFonts w:cs="Times New Roman"/>
          <w:sz w:val="28"/>
          <w:szCs w:val="28"/>
        </w:rPr>
        <w:t xml:space="preserve">51 per cent, </w:t>
      </w:r>
      <w:r w:rsidR="002D2895">
        <w:rPr>
          <w:rFonts w:cs="Times New Roman"/>
          <w:sz w:val="28"/>
          <w:szCs w:val="28"/>
        </w:rPr>
        <w:t xml:space="preserve">Norway at 49 per cent, Sweden 47 per cent and the </w:t>
      </w:r>
      <w:r w:rsidR="00FB6D76">
        <w:rPr>
          <w:rFonts w:cs="Times New Roman"/>
          <w:sz w:val="28"/>
          <w:szCs w:val="28"/>
        </w:rPr>
        <w:t>Netherlands 47 per cent</w:t>
      </w:r>
      <w:r w:rsidR="002D2895">
        <w:rPr>
          <w:rFonts w:cs="Times New Roman"/>
          <w:sz w:val="28"/>
          <w:szCs w:val="28"/>
        </w:rPr>
        <w:t>. It was higher in</w:t>
      </w:r>
      <w:r w:rsidR="00FB6D76">
        <w:rPr>
          <w:rFonts w:cs="Times New Roman"/>
          <w:sz w:val="28"/>
          <w:szCs w:val="28"/>
        </w:rPr>
        <w:t xml:space="preserve"> Canada and Australia, both at 30 per cent</w:t>
      </w:r>
      <w:r w:rsidR="002D2895">
        <w:rPr>
          <w:rFonts w:cs="Times New Roman"/>
          <w:sz w:val="28"/>
          <w:szCs w:val="28"/>
        </w:rPr>
        <w:t>, than in England</w:t>
      </w:r>
      <w:r w:rsidR="00FB6D76">
        <w:rPr>
          <w:rFonts w:cs="Times New Roman"/>
          <w:sz w:val="28"/>
          <w:szCs w:val="28"/>
        </w:rPr>
        <w:t>.</w:t>
      </w:r>
    </w:p>
    <w:p w14:paraId="7679AA9B" w14:textId="77777777" w:rsidR="00FB1663" w:rsidRDefault="00FB1663" w:rsidP="00F76E4D">
      <w:pPr>
        <w:rPr>
          <w:rFonts w:cs="Times New Roman"/>
          <w:sz w:val="28"/>
          <w:szCs w:val="28"/>
        </w:rPr>
      </w:pPr>
    </w:p>
    <w:p w14:paraId="3492E8CE" w14:textId="77C03F3A" w:rsidR="00FB1663" w:rsidRPr="00FB1663" w:rsidRDefault="00E56CAD" w:rsidP="00F76E4D">
      <w:pPr>
        <w:rPr>
          <w:rFonts w:cs="Times New Roman"/>
          <w:b/>
          <w:i/>
          <w:sz w:val="28"/>
          <w:szCs w:val="28"/>
        </w:rPr>
      </w:pPr>
      <w:r w:rsidRPr="00E56CAD">
        <w:rPr>
          <w:rFonts w:cs="Times New Roman"/>
          <w:b/>
          <w:bCs/>
          <w:i/>
          <w:iCs/>
          <w:sz w:val="28"/>
          <w:szCs w:val="28"/>
        </w:rPr>
        <w:t>Level of education and belief that the person has a say in government</w:t>
      </w:r>
    </w:p>
    <w:p w14:paraId="2146574E" w14:textId="7052CC9E" w:rsidR="00322ECD" w:rsidRDefault="00FB6D76" w:rsidP="00F76E4D">
      <w:pPr>
        <w:rPr>
          <w:rFonts w:cs="Times New Roman"/>
          <w:sz w:val="28"/>
          <w:szCs w:val="28"/>
        </w:rPr>
      </w:pPr>
      <w:r>
        <w:rPr>
          <w:rFonts w:cs="Times New Roman"/>
          <w:sz w:val="28"/>
          <w:szCs w:val="28"/>
        </w:rPr>
        <w:t xml:space="preserve">On the question of having a say in government, the OECD found that while </w:t>
      </w:r>
      <w:r w:rsidR="00E631CC">
        <w:rPr>
          <w:rFonts w:cs="Times New Roman"/>
          <w:sz w:val="28"/>
          <w:szCs w:val="28"/>
        </w:rPr>
        <w:t xml:space="preserve">just </w:t>
      </w:r>
      <w:r>
        <w:rPr>
          <w:rFonts w:cs="Times New Roman"/>
          <w:sz w:val="28"/>
          <w:szCs w:val="28"/>
        </w:rPr>
        <w:t xml:space="preserve">20 per cent of those in England with less than upper secondary education believed they had a say in government, this rose to 39 per cent among tertiary </w:t>
      </w:r>
      <w:r w:rsidR="00E631CC">
        <w:rPr>
          <w:rFonts w:cs="Times New Roman"/>
          <w:sz w:val="28"/>
          <w:szCs w:val="28"/>
        </w:rPr>
        <w:t>graduates</w:t>
      </w:r>
      <w:r w:rsidR="00A704EA">
        <w:rPr>
          <w:rFonts w:cs="Times New Roman"/>
          <w:sz w:val="28"/>
          <w:szCs w:val="28"/>
        </w:rPr>
        <w:t>, again after statistically accounting for differences in gender, age and income</w:t>
      </w:r>
      <w:r>
        <w:rPr>
          <w:rFonts w:cs="Times New Roman"/>
          <w:sz w:val="28"/>
          <w:szCs w:val="28"/>
        </w:rPr>
        <w:t xml:space="preserve">. </w:t>
      </w:r>
      <w:r w:rsidR="008539E5">
        <w:rPr>
          <w:rFonts w:cs="Times New Roman"/>
          <w:sz w:val="28"/>
          <w:szCs w:val="28"/>
        </w:rPr>
        <w:t xml:space="preserve">In </w:t>
      </w:r>
      <w:r w:rsidR="00E631CC">
        <w:rPr>
          <w:rFonts w:cs="Times New Roman"/>
          <w:sz w:val="28"/>
          <w:szCs w:val="28"/>
        </w:rPr>
        <w:t>some</w:t>
      </w:r>
      <w:r w:rsidR="008539E5">
        <w:rPr>
          <w:rFonts w:cs="Times New Roman"/>
          <w:sz w:val="28"/>
          <w:szCs w:val="28"/>
        </w:rPr>
        <w:t xml:space="preserve"> other countries, </w:t>
      </w:r>
      <w:r w:rsidR="00E631CC">
        <w:rPr>
          <w:rFonts w:cs="Times New Roman"/>
          <w:sz w:val="28"/>
          <w:szCs w:val="28"/>
        </w:rPr>
        <w:t>over</w:t>
      </w:r>
      <w:r w:rsidR="008539E5">
        <w:rPr>
          <w:rFonts w:cs="Times New Roman"/>
          <w:sz w:val="28"/>
          <w:szCs w:val="28"/>
        </w:rPr>
        <w:t xml:space="preserve"> half the</w:t>
      </w:r>
      <w:r w:rsidR="00E631CC">
        <w:rPr>
          <w:rFonts w:cs="Times New Roman"/>
          <w:sz w:val="28"/>
          <w:szCs w:val="28"/>
        </w:rPr>
        <w:t xml:space="preserve"> tertiary</w:t>
      </w:r>
      <w:r w:rsidR="008539E5">
        <w:rPr>
          <w:rFonts w:cs="Times New Roman"/>
          <w:sz w:val="28"/>
          <w:szCs w:val="28"/>
        </w:rPr>
        <w:t xml:space="preserve"> graduates believed they had a say in government, including 56 per cent in the US. Again, the common thread in these findings is that graduates have greater relational confidence and personal agency. A high participation society is a more sociable society. Whether it is also </w:t>
      </w:r>
      <w:r w:rsidR="00E631CC">
        <w:rPr>
          <w:rFonts w:cs="Times New Roman"/>
          <w:sz w:val="28"/>
          <w:szCs w:val="28"/>
        </w:rPr>
        <w:t xml:space="preserve">a </w:t>
      </w:r>
      <w:r w:rsidR="008539E5">
        <w:rPr>
          <w:rFonts w:cs="Times New Roman"/>
          <w:sz w:val="28"/>
          <w:szCs w:val="28"/>
        </w:rPr>
        <w:t xml:space="preserve">more equal </w:t>
      </w:r>
      <w:r w:rsidR="00E631CC">
        <w:rPr>
          <w:rFonts w:cs="Times New Roman"/>
          <w:sz w:val="28"/>
          <w:szCs w:val="28"/>
        </w:rPr>
        <w:t xml:space="preserve">society </w:t>
      </w:r>
      <w:r w:rsidR="008539E5">
        <w:rPr>
          <w:rFonts w:cs="Times New Roman"/>
          <w:sz w:val="28"/>
          <w:szCs w:val="28"/>
        </w:rPr>
        <w:t xml:space="preserve">is another question. </w:t>
      </w:r>
    </w:p>
    <w:p w14:paraId="0C0F2221" w14:textId="77777777" w:rsidR="00322ECD" w:rsidRDefault="00322ECD" w:rsidP="00F76E4D">
      <w:pPr>
        <w:rPr>
          <w:rFonts w:cs="Times New Roman"/>
          <w:bCs/>
          <w:iCs/>
          <w:sz w:val="28"/>
          <w:szCs w:val="28"/>
        </w:rPr>
      </w:pPr>
    </w:p>
    <w:p w14:paraId="32900111" w14:textId="4E3242D1" w:rsidR="0008130C" w:rsidRPr="0008130C" w:rsidRDefault="0008130C" w:rsidP="00F76E4D">
      <w:pPr>
        <w:ind w:right="-194"/>
        <w:jc w:val="both"/>
        <w:rPr>
          <w:rFonts w:cs="Times New Roman"/>
          <w:b/>
          <w:i/>
          <w:sz w:val="28"/>
          <w:szCs w:val="28"/>
        </w:rPr>
      </w:pPr>
      <w:r w:rsidRPr="0008130C">
        <w:rPr>
          <w:rFonts w:cs="Times New Roman"/>
          <w:b/>
          <w:i/>
          <w:sz w:val="28"/>
          <w:szCs w:val="28"/>
        </w:rPr>
        <w:t xml:space="preserve">The new politics of </w:t>
      </w:r>
      <w:r w:rsidR="00757545">
        <w:rPr>
          <w:rFonts w:cs="Times New Roman"/>
          <w:b/>
          <w:i/>
          <w:sz w:val="28"/>
          <w:szCs w:val="28"/>
        </w:rPr>
        <w:t>higher educated societies?</w:t>
      </w:r>
    </w:p>
    <w:p w14:paraId="54526F45" w14:textId="5985AB56" w:rsidR="00E631CC" w:rsidRPr="00E631CC" w:rsidRDefault="00E631CC" w:rsidP="00F76E4D">
      <w:pPr>
        <w:ind w:right="-194"/>
        <w:jc w:val="both"/>
        <w:rPr>
          <w:rFonts w:cs="Times New Roman"/>
          <w:sz w:val="28"/>
          <w:szCs w:val="28"/>
        </w:rPr>
      </w:pPr>
      <w:r w:rsidRPr="00E631CC">
        <w:rPr>
          <w:rFonts w:cs="Times New Roman"/>
          <w:sz w:val="28"/>
          <w:szCs w:val="28"/>
        </w:rPr>
        <w:t xml:space="preserve">High participation higher education is not a simple unambiguous good for all. As </w:t>
      </w:r>
      <w:r>
        <w:rPr>
          <w:rFonts w:cs="Times New Roman"/>
          <w:sz w:val="28"/>
          <w:szCs w:val="28"/>
        </w:rPr>
        <w:t>advanced</w:t>
      </w:r>
      <w:r w:rsidRPr="00E631CC">
        <w:rPr>
          <w:rFonts w:cs="Times New Roman"/>
          <w:sz w:val="28"/>
          <w:szCs w:val="28"/>
        </w:rPr>
        <w:t xml:space="preserve"> education and credentials become more widely distributed, the polarity between the higher educated and others</w:t>
      </w:r>
      <w:r>
        <w:rPr>
          <w:rFonts w:cs="Times New Roman"/>
          <w:sz w:val="28"/>
          <w:szCs w:val="28"/>
        </w:rPr>
        <w:t xml:space="preserve">—which, </w:t>
      </w:r>
      <w:r w:rsidRPr="00E631CC">
        <w:rPr>
          <w:rFonts w:cs="Times New Roman"/>
          <w:sz w:val="28"/>
          <w:szCs w:val="28"/>
        </w:rPr>
        <w:t>given the demographics of educational growth, is also a polarity between the young and the old</w:t>
      </w:r>
      <w:r>
        <w:rPr>
          <w:rFonts w:cs="Times New Roman"/>
          <w:sz w:val="28"/>
          <w:szCs w:val="28"/>
        </w:rPr>
        <w:t xml:space="preserve">—because more regressive for </w:t>
      </w:r>
      <w:r w:rsidR="00F76E4D">
        <w:rPr>
          <w:rFonts w:cs="Times New Roman"/>
          <w:sz w:val="28"/>
          <w:szCs w:val="28"/>
        </w:rPr>
        <w:t>the non-graduate</w:t>
      </w:r>
      <w:r>
        <w:rPr>
          <w:rFonts w:cs="Times New Roman"/>
          <w:sz w:val="28"/>
          <w:szCs w:val="28"/>
        </w:rPr>
        <w:t>.</w:t>
      </w:r>
      <w:r w:rsidRPr="00E631CC">
        <w:rPr>
          <w:rFonts w:cs="Times New Roman"/>
          <w:sz w:val="28"/>
          <w:szCs w:val="28"/>
        </w:rPr>
        <w:t xml:space="preserve"> </w:t>
      </w:r>
      <w:r w:rsidR="00F76E4D">
        <w:rPr>
          <w:rFonts w:cs="Times New Roman"/>
          <w:sz w:val="28"/>
          <w:szCs w:val="28"/>
        </w:rPr>
        <w:t>Non-graduates</w:t>
      </w:r>
      <w:r w:rsidRPr="00E631CC">
        <w:rPr>
          <w:rFonts w:cs="Times New Roman"/>
          <w:sz w:val="28"/>
          <w:szCs w:val="28"/>
        </w:rPr>
        <w:t xml:space="preserve"> </w:t>
      </w:r>
      <w:r w:rsidR="00F76E4D">
        <w:rPr>
          <w:rFonts w:cs="Times New Roman"/>
          <w:sz w:val="28"/>
          <w:szCs w:val="28"/>
        </w:rPr>
        <w:t>are</w:t>
      </w:r>
      <w:r w:rsidRPr="00E631CC">
        <w:rPr>
          <w:rFonts w:cs="Times New Roman"/>
          <w:sz w:val="28"/>
          <w:szCs w:val="28"/>
        </w:rPr>
        <w:t xml:space="preserve"> </w:t>
      </w:r>
      <w:r w:rsidR="00F76E4D">
        <w:rPr>
          <w:rFonts w:cs="Times New Roman"/>
          <w:sz w:val="28"/>
          <w:szCs w:val="28"/>
        </w:rPr>
        <w:t>more</w:t>
      </w:r>
      <w:r w:rsidRPr="00E631CC">
        <w:rPr>
          <w:rFonts w:cs="Times New Roman"/>
          <w:sz w:val="28"/>
          <w:szCs w:val="28"/>
        </w:rPr>
        <w:t xml:space="preserve"> disadvantaged</w:t>
      </w:r>
      <w:r w:rsidR="00F76E4D">
        <w:rPr>
          <w:rFonts w:cs="Times New Roman"/>
          <w:sz w:val="28"/>
          <w:szCs w:val="28"/>
        </w:rPr>
        <w:t xml:space="preserve"> than before</w:t>
      </w:r>
      <w:r w:rsidRPr="00E631CC">
        <w:rPr>
          <w:rFonts w:cs="Times New Roman"/>
          <w:sz w:val="28"/>
          <w:szCs w:val="28"/>
        </w:rPr>
        <w:t xml:space="preserve">. </w:t>
      </w:r>
      <w:r>
        <w:rPr>
          <w:rFonts w:cs="Times New Roman"/>
          <w:sz w:val="28"/>
          <w:szCs w:val="28"/>
        </w:rPr>
        <w:t>The</w:t>
      </w:r>
      <w:r w:rsidR="00F76E4D">
        <w:rPr>
          <w:rFonts w:cs="Times New Roman"/>
          <w:sz w:val="28"/>
          <w:szCs w:val="28"/>
        </w:rPr>
        <w:t>y</w:t>
      </w:r>
      <w:r>
        <w:rPr>
          <w:rFonts w:cs="Times New Roman"/>
          <w:sz w:val="28"/>
          <w:szCs w:val="28"/>
        </w:rPr>
        <w:t xml:space="preserve"> lack the</w:t>
      </w:r>
      <w:r w:rsidRPr="00E631CC">
        <w:rPr>
          <w:rFonts w:cs="Times New Roman"/>
          <w:sz w:val="28"/>
          <w:szCs w:val="28"/>
        </w:rPr>
        <w:t xml:space="preserve"> credential</w:t>
      </w:r>
      <w:r>
        <w:rPr>
          <w:rFonts w:cs="Times New Roman"/>
          <w:sz w:val="28"/>
          <w:szCs w:val="28"/>
        </w:rPr>
        <w:t xml:space="preserve"> which is becoming the minimum necessary to gain a range of work, and they </w:t>
      </w:r>
      <w:r w:rsidRPr="00E631CC">
        <w:rPr>
          <w:rFonts w:cs="Times New Roman"/>
          <w:sz w:val="28"/>
          <w:szCs w:val="28"/>
        </w:rPr>
        <w:t xml:space="preserve">lack the augmented personal agency, cultural capital and ease of mobility (economic, social, </w:t>
      </w:r>
      <w:r>
        <w:rPr>
          <w:rFonts w:cs="Times New Roman"/>
          <w:sz w:val="28"/>
          <w:szCs w:val="28"/>
        </w:rPr>
        <w:t xml:space="preserve">and </w:t>
      </w:r>
      <w:r w:rsidRPr="00E631CC">
        <w:rPr>
          <w:rFonts w:cs="Times New Roman"/>
          <w:sz w:val="28"/>
          <w:szCs w:val="28"/>
        </w:rPr>
        <w:t xml:space="preserve">spatial-global) </w:t>
      </w:r>
      <w:r>
        <w:rPr>
          <w:rFonts w:cs="Times New Roman"/>
          <w:sz w:val="28"/>
          <w:szCs w:val="28"/>
        </w:rPr>
        <w:t>that tertiary</w:t>
      </w:r>
      <w:r w:rsidRPr="00E631CC">
        <w:rPr>
          <w:rFonts w:cs="Times New Roman"/>
          <w:sz w:val="28"/>
          <w:szCs w:val="28"/>
        </w:rPr>
        <w:t xml:space="preserve"> education brings. In effect, </w:t>
      </w:r>
      <w:r w:rsidR="00F76E4D">
        <w:rPr>
          <w:rFonts w:cs="Times New Roman"/>
          <w:sz w:val="28"/>
          <w:szCs w:val="28"/>
        </w:rPr>
        <w:t>they</w:t>
      </w:r>
      <w:r w:rsidRPr="00E631CC">
        <w:rPr>
          <w:rFonts w:cs="Times New Roman"/>
          <w:sz w:val="28"/>
          <w:szCs w:val="28"/>
        </w:rPr>
        <w:t xml:space="preserve"> are excluded from the full benefits of citizenship. </w:t>
      </w:r>
      <w:r w:rsidR="00F76E4D">
        <w:rPr>
          <w:rFonts w:cs="Times New Roman"/>
          <w:sz w:val="28"/>
          <w:szCs w:val="28"/>
        </w:rPr>
        <w:t xml:space="preserve">This closure breeds an understandable resentment. And we now know that </w:t>
      </w:r>
      <w:r w:rsidRPr="00E631CC">
        <w:rPr>
          <w:rFonts w:cs="Times New Roman"/>
          <w:sz w:val="28"/>
          <w:szCs w:val="28"/>
        </w:rPr>
        <w:t xml:space="preserve">the polarity between higher educated and those not, </w:t>
      </w:r>
      <w:r w:rsidR="00F76E4D">
        <w:rPr>
          <w:rFonts w:cs="Times New Roman"/>
          <w:sz w:val="28"/>
          <w:szCs w:val="28"/>
        </w:rPr>
        <w:t>and</w:t>
      </w:r>
      <w:r w:rsidRPr="00E631CC">
        <w:rPr>
          <w:rFonts w:cs="Times New Roman"/>
          <w:sz w:val="28"/>
          <w:szCs w:val="28"/>
        </w:rPr>
        <w:t xml:space="preserve"> the resentment, can be mobilized for political purposes. In 2016 this happened in both the </w:t>
      </w:r>
      <w:r w:rsidR="00F76E4D">
        <w:rPr>
          <w:rFonts w:cs="Times New Roman"/>
          <w:sz w:val="28"/>
          <w:szCs w:val="28"/>
        </w:rPr>
        <w:t>US</w:t>
      </w:r>
      <w:r w:rsidRPr="00E631CC">
        <w:rPr>
          <w:rFonts w:cs="Times New Roman"/>
          <w:sz w:val="28"/>
          <w:szCs w:val="28"/>
        </w:rPr>
        <w:t xml:space="preserve"> and the </w:t>
      </w:r>
      <w:r w:rsidR="00F76E4D">
        <w:rPr>
          <w:rFonts w:cs="Times New Roman"/>
          <w:sz w:val="28"/>
          <w:szCs w:val="28"/>
        </w:rPr>
        <w:t>UK</w:t>
      </w:r>
      <w:r w:rsidRPr="00E631CC">
        <w:rPr>
          <w:rFonts w:cs="Times New Roman"/>
          <w:sz w:val="28"/>
          <w:szCs w:val="28"/>
        </w:rPr>
        <w:t xml:space="preserve">. </w:t>
      </w:r>
    </w:p>
    <w:p w14:paraId="79839403" w14:textId="5470B019" w:rsidR="00E631CC" w:rsidRPr="00E631CC" w:rsidRDefault="00E631CC" w:rsidP="00F76E4D">
      <w:pPr>
        <w:ind w:right="-194" w:firstLine="454"/>
        <w:jc w:val="both"/>
        <w:rPr>
          <w:rFonts w:cs="Times New Roman"/>
          <w:sz w:val="28"/>
          <w:szCs w:val="28"/>
        </w:rPr>
      </w:pPr>
      <w:r w:rsidRPr="00E631CC">
        <w:rPr>
          <w:rFonts w:cs="Times New Roman"/>
          <w:sz w:val="28"/>
          <w:szCs w:val="28"/>
        </w:rPr>
        <w:t xml:space="preserve">In both countries, there was a surge of political support for ethno-nationalism of the blood-and-soil kind—strong enough to take the UK out of the European Union in the June 2016 referendum and to propel a white nationalist protectionist in Donald Trump into the White House. While not all of those who supported Brexit and voted for a Republican president shared an ethno-nationalist outlook, there was no ambiguity about </w:t>
      </w:r>
      <w:r w:rsidR="00F76E4D">
        <w:rPr>
          <w:rFonts w:cs="Times New Roman"/>
          <w:sz w:val="28"/>
          <w:szCs w:val="28"/>
        </w:rPr>
        <w:t>where the</w:t>
      </w:r>
      <w:r w:rsidRPr="00E631CC">
        <w:rPr>
          <w:rFonts w:cs="Times New Roman"/>
          <w:sz w:val="28"/>
          <w:szCs w:val="28"/>
        </w:rPr>
        <w:t xml:space="preserve"> dynamism</w:t>
      </w:r>
      <w:r w:rsidR="00F76E4D">
        <w:rPr>
          <w:rFonts w:cs="Times New Roman"/>
          <w:sz w:val="28"/>
          <w:szCs w:val="28"/>
        </w:rPr>
        <w:t xml:space="preserve"> came from</w:t>
      </w:r>
      <w:r w:rsidRPr="00E631CC">
        <w:rPr>
          <w:rFonts w:cs="Times New Roman"/>
          <w:sz w:val="28"/>
          <w:szCs w:val="28"/>
        </w:rPr>
        <w:t xml:space="preserve">. ‘Give us back our country’ </w:t>
      </w:r>
      <w:r w:rsidR="00F76E4D">
        <w:rPr>
          <w:rFonts w:cs="Times New Roman"/>
          <w:sz w:val="28"/>
          <w:szCs w:val="28"/>
        </w:rPr>
        <w:t>and</w:t>
      </w:r>
      <w:r w:rsidRPr="00E631CC">
        <w:rPr>
          <w:rFonts w:cs="Times New Roman"/>
          <w:sz w:val="28"/>
          <w:szCs w:val="28"/>
        </w:rPr>
        <w:t xml:space="preserve"> ‘Make America great again’ </w:t>
      </w:r>
      <w:r w:rsidR="00F76E4D">
        <w:rPr>
          <w:rFonts w:cs="Times New Roman"/>
          <w:sz w:val="28"/>
          <w:szCs w:val="28"/>
        </w:rPr>
        <w:t>were</w:t>
      </w:r>
      <w:r w:rsidRPr="00E631CC">
        <w:rPr>
          <w:rFonts w:cs="Times New Roman"/>
          <w:sz w:val="28"/>
          <w:szCs w:val="28"/>
        </w:rPr>
        <w:t xml:space="preserve"> the signature </w:t>
      </w:r>
      <w:r w:rsidR="00F76E4D">
        <w:rPr>
          <w:rFonts w:cs="Times New Roman"/>
          <w:sz w:val="28"/>
          <w:szCs w:val="28"/>
        </w:rPr>
        <w:t>slogans</w:t>
      </w:r>
      <w:r w:rsidRPr="00E631CC">
        <w:rPr>
          <w:rFonts w:cs="Times New Roman"/>
          <w:sz w:val="28"/>
          <w:szCs w:val="28"/>
        </w:rPr>
        <w:t>. The ‘alt-right’</w:t>
      </w:r>
      <w:r w:rsidR="00F76E4D">
        <w:rPr>
          <w:rFonts w:cs="Times New Roman"/>
          <w:sz w:val="28"/>
          <w:szCs w:val="28"/>
        </w:rPr>
        <w:t xml:space="preserve"> </w:t>
      </w:r>
      <w:r w:rsidRPr="00E631CC">
        <w:rPr>
          <w:rFonts w:cs="Times New Roman"/>
          <w:sz w:val="28"/>
          <w:szCs w:val="28"/>
        </w:rPr>
        <w:t xml:space="preserve">divided the electorate </w:t>
      </w:r>
      <w:r w:rsidR="00F76E4D">
        <w:rPr>
          <w:rFonts w:cs="Times New Roman"/>
          <w:sz w:val="28"/>
          <w:szCs w:val="28"/>
        </w:rPr>
        <w:t>between</w:t>
      </w:r>
      <w:r w:rsidRPr="00E631CC">
        <w:rPr>
          <w:rFonts w:cs="Times New Roman"/>
          <w:sz w:val="28"/>
          <w:szCs w:val="28"/>
        </w:rPr>
        <w:t xml:space="preserve"> singular ethno-national identity, and global openness and plural identity, which was stigmatised as ‘elite’. Breaking with </w:t>
      </w:r>
      <w:r w:rsidRPr="00E631CC">
        <w:rPr>
          <w:rFonts w:cs="Times New Roman"/>
          <w:sz w:val="28"/>
          <w:szCs w:val="28"/>
        </w:rPr>
        <w:lastRenderedPageBreak/>
        <w:t xml:space="preserve">mainstream globalism, the alt-right opposed all forms of global integration and convergence including free trade, migration and migrants themselves. As </w:t>
      </w:r>
      <w:r w:rsidR="00F76E4D">
        <w:rPr>
          <w:rFonts w:cs="Times New Roman"/>
          <w:sz w:val="28"/>
          <w:szCs w:val="28"/>
        </w:rPr>
        <w:t xml:space="preserve">I have </w:t>
      </w:r>
      <w:r w:rsidRPr="00E631CC">
        <w:rPr>
          <w:rFonts w:cs="Times New Roman"/>
          <w:sz w:val="28"/>
          <w:szCs w:val="28"/>
        </w:rPr>
        <w:t>noted, ease with global mobility is associated with higher education. This help</w:t>
      </w:r>
      <w:r w:rsidR="00F76E4D">
        <w:rPr>
          <w:rFonts w:cs="Times New Roman"/>
          <w:sz w:val="28"/>
          <w:szCs w:val="28"/>
        </w:rPr>
        <w:t>s</w:t>
      </w:r>
      <w:r w:rsidRPr="00E631CC">
        <w:rPr>
          <w:rFonts w:cs="Times New Roman"/>
          <w:sz w:val="28"/>
          <w:szCs w:val="28"/>
        </w:rPr>
        <w:t xml:space="preserve"> to explain </w:t>
      </w:r>
      <w:r w:rsidR="00F76E4D">
        <w:rPr>
          <w:rFonts w:cs="Times New Roman"/>
          <w:sz w:val="28"/>
          <w:szCs w:val="28"/>
        </w:rPr>
        <w:t>how the electoral polaris</w:t>
      </w:r>
      <w:r w:rsidRPr="00E631CC">
        <w:rPr>
          <w:rFonts w:cs="Times New Roman"/>
          <w:sz w:val="28"/>
          <w:szCs w:val="28"/>
        </w:rPr>
        <w:t xml:space="preserve">ation </w:t>
      </w:r>
      <w:r w:rsidR="00F76E4D">
        <w:rPr>
          <w:rFonts w:cs="Times New Roman"/>
          <w:sz w:val="28"/>
          <w:szCs w:val="28"/>
        </w:rPr>
        <w:t>divided</w:t>
      </w:r>
      <w:r w:rsidRPr="00E631CC">
        <w:rPr>
          <w:rFonts w:cs="Times New Roman"/>
          <w:sz w:val="28"/>
          <w:szCs w:val="28"/>
        </w:rPr>
        <w:t xml:space="preserve"> the educated and non-educated.</w:t>
      </w:r>
    </w:p>
    <w:p w14:paraId="18B19257" w14:textId="77777777" w:rsidR="0008130C" w:rsidRDefault="0008130C" w:rsidP="0008130C">
      <w:pPr>
        <w:ind w:right="-194"/>
        <w:jc w:val="both"/>
        <w:rPr>
          <w:rFonts w:cs="Times New Roman"/>
          <w:sz w:val="28"/>
          <w:szCs w:val="28"/>
        </w:rPr>
      </w:pPr>
    </w:p>
    <w:p w14:paraId="6F47DA56" w14:textId="77777777" w:rsidR="0008130C" w:rsidRPr="008539E5" w:rsidRDefault="0008130C" w:rsidP="0008130C">
      <w:pPr>
        <w:rPr>
          <w:rFonts w:cs="Times New Roman"/>
          <w:bCs/>
          <w:iCs/>
          <w:sz w:val="28"/>
          <w:szCs w:val="28"/>
          <w:lang w:val="en-GB"/>
        </w:rPr>
      </w:pPr>
      <w:r w:rsidRPr="008539E5">
        <w:rPr>
          <w:rFonts w:cs="Times New Roman"/>
          <w:b/>
          <w:bCs/>
          <w:i/>
          <w:iCs/>
          <w:sz w:val="28"/>
          <w:szCs w:val="28"/>
        </w:rPr>
        <w:t>Brexit and educational level, June 2016</w:t>
      </w:r>
    </w:p>
    <w:p w14:paraId="47D23126" w14:textId="79E92693" w:rsidR="00E631CC" w:rsidRPr="00E631CC" w:rsidRDefault="00E631CC" w:rsidP="0008130C">
      <w:pPr>
        <w:ind w:right="-194"/>
        <w:jc w:val="both"/>
        <w:rPr>
          <w:rFonts w:cs="Times New Roman"/>
          <w:sz w:val="28"/>
          <w:szCs w:val="28"/>
        </w:rPr>
      </w:pPr>
      <w:r w:rsidRPr="00E631CC">
        <w:rPr>
          <w:rFonts w:cs="Times New Roman"/>
          <w:sz w:val="28"/>
          <w:szCs w:val="28"/>
        </w:rPr>
        <w:t>The best overall predictors of how people voted in the US and UK were not their income or class position</w:t>
      </w:r>
      <w:r w:rsidR="00F76E4D">
        <w:rPr>
          <w:rFonts w:cs="Times New Roman"/>
          <w:sz w:val="28"/>
          <w:szCs w:val="28"/>
        </w:rPr>
        <w:t xml:space="preserve">. The predictors were first, </w:t>
      </w:r>
      <w:r w:rsidRPr="00E631CC">
        <w:rPr>
          <w:rFonts w:cs="Times New Roman"/>
          <w:sz w:val="28"/>
          <w:szCs w:val="28"/>
        </w:rPr>
        <w:t>whe</w:t>
      </w:r>
      <w:r w:rsidR="006D61E8">
        <w:rPr>
          <w:rFonts w:cs="Times New Roman"/>
          <w:sz w:val="28"/>
          <w:szCs w:val="28"/>
        </w:rPr>
        <w:t xml:space="preserve">ther they lived in large cities, in which case they </w:t>
      </w:r>
      <w:r w:rsidRPr="00E631CC">
        <w:rPr>
          <w:rFonts w:cs="Times New Roman"/>
          <w:sz w:val="28"/>
          <w:szCs w:val="28"/>
        </w:rPr>
        <w:t>tended to support the EU and Clinton, or small towns and rural areas</w:t>
      </w:r>
      <w:r w:rsidR="006D61E8">
        <w:rPr>
          <w:rFonts w:cs="Times New Roman"/>
          <w:sz w:val="28"/>
          <w:szCs w:val="28"/>
        </w:rPr>
        <w:t>,</w:t>
      </w:r>
      <w:r w:rsidRPr="00E631CC">
        <w:rPr>
          <w:rFonts w:cs="Times New Roman"/>
          <w:sz w:val="28"/>
          <w:szCs w:val="28"/>
        </w:rPr>
        <w:t xml:space="preserve"> </w:t>
      </w:r>
      <w:r w:rsidR="006D61E8">
        <w:rPr>
          <w:rFonts w:cs="Times New Roman"/>
          <w:sz w:val="28"/>
          <w:szCs w:val="28"/>
        </w:rPr>
        <w:t>which</w:t>
      </w:r>
      <w:r w:rsidRPr="00E631CC">
        <w:rPr>
          <w:rFonts w:cs="Times New Roman"/>
          <w:sz w:val="28"/>
          <w:szCs w:val="28"/>
        </w:rPr>
        <w:t xml:space="preserve"> </w:t>
      </w:r>
      <w:r w:rsidR="006D61E8">
        <w:rPr>
          <w:rFonts w:cs="Times New Roman"/>
          <w:sz w:val="28"/>
          <w:szCs w:val="28"/>
        </w:rPr>
        <w:t xml:space="preserve">mostly </w:t>
      </w:r>
      <w:r w:rsidRPr="00E631CC">
        <w:rPr>
          <w:rFonts w:cs="Times New Roman"/>
          <w:sz w:val="28"/>
          <w:szCs w:val="28"/>
        </w:rPr>
        <w:t xml:space="preserve">supported Brexit and Trump; and second, whether they </w:t>
      </w:r>
      <w:r w:rsidR="006D61E8">
        <w:rPr>
          <w:rFonts w:cs="Times New Roman"/>
          <w:sz w:val="28"/>
          <w:szCs w:val="28"/>
        </w:rPr>
        <w:t>ha</w:t>
      </w:r>
      <w:r w:rsidRPr="00E631CC">
        <w:rPr>
          <w:rFonts w:cs="Times New Roman"/>
          <w:sz w:val="28"/>
          <w:szCs w:val="28"/>
        </w:rPr>
        <w:t>d degrees. The</w:t>
      </w:r>
      <w:r w:rsidR="006D61E8">
        <w:rPr>
          <w:rFonts w:cs="Times New Roman"/>
          <w:sz w:val="28"/>
          <w:szCs w:val="28"/>
        </w:rPr>
        <w:t>se</w:t>
      </w:r>
      <w:r w:rsidRPr="00E631CC">
        <w:rPr>
          <w:rFonts w:cs="Times New Roman"/>
          <w:sz w:val="28"/>
          <w:szCs w:val="28"/>
        </w:rPr>
        <w:t xml:space="preserve"> factors are related. Like global connections, degree holders </w:t>
      </w:r>
      <w:r w:rsidR="00F76E4D">
        <w:rPr>
          <w:rFonts w:cs="Times New Roman"/>
          <w:sz w:val="28"/>
          <w:szCs w:val="28"/>
        </w:rPr>
        <w:t xml:space="preserve">tend to </w:t>
      </w:r>
      <w:r w:rsidRPr="00E631CC">
        <w:rPr>
          <w:rFonts w:cs="Times New Roman"/>
          <w:sz w:val="28"/>
          <w:szCs w:val="28"/>
        </w:rPr>
        <w:t xml:space="preserve">concentrate in cities. In the UK, 26 per cent of degree holders supported Brexit, but 78 per cent of people without qualifications. Young people, the most educated generation in UK history, more at ease with mobility and multiple identity, overwhelmingly voted for the UK to remain in the EU. </w:t>
      </w:r>
    </w:p>
    <w:p w14:paraId="2FC02400" w14:textId="77777777" w:rsidR="00F76E4D" w:rsidRDefault="00E631CC" w:rsidP="00F76E4D">
      <w:pPr>
        <w:ind w:firstLine="454"/>
        <w:rPr>
          <w:rFonts w:cs="Times New Roman"/>
          <w:sz w:val="28"/>
          <w:szCs w:val="28"/>
        </w:rPr>
      </w:pPr>
      <w:r w:rsidRPr="00E631CC">
        <w:rPr>
          <w:rFonts w:cs="Times New Roman"/>
          <w:sz w:val="28"/>
          <w:szCs w:val="28"/>
        </w:rPr>
        <w:t xml:space="preserve">The irony is that higher education could not have been mobilized on the wrong side of an elite versus the people duality until it had become partly democratized </w:t>
      </w:r>
      <w:r w:rsidR="00F76E4D">
        <w:rPr>
          <w:rFonts w:cs="Times New Roman"/>
          <w:sz w:val="28"/>
          <w:szCs w:val="28"/>
        </w:rPr>
        <w:t>by</w:t>
      </w:r>
      <w:r w:rsidRPr="00E631CC">
        <w:rPr>
          <w:rFonts w:cs="Times New Roman"/>
          <w:sz w:val="28"/>
          <w:szCs w:val="28"/>
        </w:rPr>
        <w:t xml:space="preserve"> the extension of participation. Trump could not have used level of education as a means of dividing the </w:t>
      </w:r>
      <w:r w:rsidR="00F76E4D">
        <w:rPr>
          <w:rFonts w:cs="Times New Roman"/>
          <w:sz w:val="28"/>
          <w:szCs w:val="28"/>
        </w:rPr>
        <w:t xml:space="preserve">American </w:t>
      </w:r>
      <w:r w:rsidRPr="00E631CC">
        <w:rPr>
          <w:rFonts w:cs="Times New Roman"/>
          <w:sz w:val="28"/>
          <w:szCs w:val="28"/>
        </w:rPr>
        <w:t xml:space="preserve">electorate if only 5 per cent of people went to university and it </w:t>
      </w:r>
      <w:r w:rsidRPr="00E631CC">
        <w:rPr>
          <w:rFonts w:cs="Times New Roman"/>
          <w:i/>
          <w:sz w:val="28"/>
          <w:szCs w:val="28"/>
        </w:rPr>
        <w:t>was</w:t>
      </w:r>
      <w:r w:rsidRPr="00E631CC">
        <w:rPr>
          <w:rFonts w:cs="Times New Roman"/>
          <w:sz w:val="28"/>
          <w:szCs w:val="28"/>
        </w:rPr>
        <w:t xml:space="preserve"> solely an elite affair. Only when participation reached a third or more of all young people, and higher education had become much less elite, could it be used as a binary political weapon. </w:t>
      </w:r>
    </w:p>
    <w:p w14:paraId="5D0D70CD" w14:textId="648A60D7" w:rsidR="008539E5" w:rsidRPr="00E631CC" w:rsidRDefault="00F76E4D" w:rsidP="00F76E4D">
      <w:pPr>
        <w:ind w:firstLine="454"/>
        <w:rPr>
          <w:rFonts w:cs="Times New Roman"/>
          <w:bCs/>
          <w:iCs/>
          <w:sz w:val="28"/>
          <w:szCs w:val="28"/>
        </w:rPr>
      </w:pPr>
      <w:r>
        <w:rPr>
          <w:rFonts w:cs="Times New Roman"/>
          <w:sz w:val="28"/>
          <w:szCs w:val="28"/>
        </w:rPr>
        <w:t xml:space="preserve">This suggests that </w:t>
      </w:r>
      <w:r w:rsidR="00E631CC" w:rsidRPr="00E631CC">
        <w:rPr>
          <w:rFonts w:cs="Times New Roman"/>
          <w:sz w:val="28"/>
          <w:szCs w:val="28"/>
        </w:rPr>
        <w:t xml:space="preserve">the educated/non-educated polarity </w:t>
      </w:r>
      <w:r>
        <w:rPr>
          <w:rFonts w:cs="Times New Roman"/>
          <w:sz w:val="28"/>
          <w:szCs w:val="28"/>
        </w:rPr>
        <w:t>is</w:t>
      </w:r>
      <w:r w:rsidR="00E631CC" w:rsidRPr="00E631CC">
        <w:rPr>
          <w:rFonts w:cs="Times New Roman"/>
          <w:sz w:val="28"/>
          <w:szCs w:val="28"/>
        </w:rPr>
        <w:t xml:space="preserve"> a weapon with diminishing power. </w:t>
      </w:r>
      <w:r>
        <w:rPr>
          <w:rFonts w:cs="Times New Roman"/>
          <w:sz w:val="28"/>
          <w:szCs w:val="28"/>
        </w:rPr>
        <w:t>If</w:t>
      </w:r>
      <w:r w:rsidR="00E631CC" w:rsidRPr="00E631CC">
        <w:rPr>
          <w:rFonts w:cs="Times New Roman"/>
          <w:sz w:val="28"/>
          <w:szCs w:val="28"/>
        </w:rPr>
        <w:t xml:space="preserve"> participation in higher education </w:t>
      </w:r>
      <w:r w:rsidR="006D61E8">
        <w:rPr>
          <w:rFonts w:cs="Times New Roman"/>
          <w:sz w:val="28"/>
          <w:szCs w:val="28"/>
        </w:rPr>
        <w:t>keeps</w:t>
      </w:r>
      <w:r w:rsidR="00E631CC" w:rsidRPr="00E631CC">
        <w:rPr>
          <w:rFonts w:cs="Times New Roman"/>
          <w:sz w:val="28"/>
          <w:szCs w:val="28"/>
        </w:rPr>
        <w:t xml:space="preserve"> expand</w:t>
      </w:r>
      <w:r w:rsidR="006D61E8">
        <w:rPr>
          <w:rFonts w:cs="Times New Roman"/>
          <w:sz w:val="28"/>
          <w:szCs w:val="28"/>
        </w:rPr>
        <w:t>ing</w:t>
      </w:r>
      <w:r>
        <w:rPr>
          <w:rFonts w:cs="Times New Roman"/>
          <w:sz w:val="28"/>
          <w:szCs w:val="28"/>
        </w:rPr>
        <w:t xml:space="preserve"> and we move closer to </w:t>
      </w:r>
      <w:r w:rsidR="006D61E8">
        <w:rPr>
          <w:rFonts w:cs="Times New Roman"/>
          <w:sz w:val="28"/>
          <w:szCs w:val="28"/>
        </w:rPr>
        <w:t>a</w:t>
      </w:r>
      <w:r>
        <w:rPr>
          <w:rFonts w:cs="Times New Roman"/>
          <w:sz w:val="28"/>
          <w:szCs w:val="28"/>
        </w:rPr>
        <w:t xml:space="preserve"> high participation society, </w:t>
      </w:r>
      <w:r w:rsidR="00E631CC" w:rsidRPr="00E631CC">
        <w:rPr>
          <w:rFonts w:cs="Times New Roman"/>
          <w:sz w:val="28"/>
          <w:szCs w:val="28"/>
        </w:rPr>
        <w:t xml:space="preserve">the </w:t>
      </w:r>
      <w:r w:rsidR="006D61E8">
        <w:rPr>
          <w:rFonts w:cs="Times New Roman"/>
          <w:sz w:val="28"/>
          <w:szCs w:val="28"/>
        </w:rPr>
        <w:t xml:space="preserve">potential political base for ethno-nationalism must shrink. People will have more personal confidence and more life options. They will be less threatened by migrants and others who are different. But the warning of Brexit and the Trump campaign is that higher education, and government, need to pay much more attention to those who have </w:t>
      </w:r>
      <w:r w:rsidR="006D61E8" w:rsidRPr="006D61E8">
        <w:rPr>
          <w:rFonts w:cs="Times New Roman"/>
          <w:i/>
          <w:sz w:val="28"/>
          <w:szCs w:val="28"/>
        </w:rPr>
        <w:t>not</w:t>
      </w:r>
      <w:r w:rsidR="006D61E8">
        <w:rPr>
          <w:rFonts w:cs="Times New Roman"/>
          <w:sz w:val="28"/>
          <w:szCs w:val="28"/>
        </w:rPr>
        <w:t xml:space="preserve"> themselves benefitted from university or college. Here again we find the question posed by the stratification of higher education. We are at a fork in the road. Will higher education help to integrate the future high participation society? Or will higher education help to make that society more unequal? </w:t>
      </w:r>
    </w:p>
    <w:p w14:paraId="5A2A12B6" w14:textId="77777777" w:rsidR="00322ECD" w:rsidRDefault="00322ECD" w:rsidP="00F76E4D">
      <w:pPr>
        <w:rPr>
          <w:rFonts w:cs="Times New Roman"/>
          <w:sz w:val="28"/>
          <w:szCs w:val="28"/>
          <w:lang w:val="en-GB"/>
        </w:rPr>
      </w:pPr>
    </w:p>
    <w:p w14:paraId="01635E51" w14:textId="5C26030B" w:rsidR="00F8731E" w:rsidRDefault="00F8731E">
      <w:pPr>
        <w:rPr>
          <w:rFonts w:cs="Times New Roman"/>
          <w:sz w:val="28"/>
          <w:szCs w:val="28"/>
          <w:lang w:val="en-GB"/>
        </w:rPr>
      </w:pPr>
      <w:r>
        <w:rPr>
          <w:rFonts w:cs="Times New Roman"/>
          <w:sz w:val="28"/>
          <w:szCs w:val="28"/>
          <w:lang w:val="en-GB"/>
        </w:rPr>
        <w:br w:type="page"/>
      </w:r>
    </w:p>
    <w:p w14:paraId="394FB0FD" w14:textId="0DC6D1B1" w:rsidR="00F8731E" w:rsidRPr="00F8731E" w:rsidRDefault="00F8731E" w:rsidP="00F76E4D">
      <w:pPr>
        <w:rPr>
          <w:rFonts w:cs="Times New Roman"/>
          <w:b/>
          <w:sz w:val="28"/>
          <w:szCs w:val="28"/>
          <w:lang w:val="en-GB"/>
        </w:rPr>
      </w:pPr>
      <w:r w:rsidRPr="00F8731E">
        <w:rPr>
          <w:rFonts w:cs="Times New Roman"/>
          <w:b/>
          <w:sz w:val="28"/>
          <w:szCs w:val="28"/>
          <w:lang w:val="en-GB"/>
        </w:rPr>
        <w:lastRenderedPageBreak/>
        <w:t xml:space="preserve">References </w:t>
      </w:r>
      <w:r>
        <w:rPr>
          <w:rFonts w:cs="Times New Roman"/>
          <w:b/>
          <w:sz w:val="28"/>
          <w:szCs w:val="28"/>
          <w:lang w:val="en-GB"/>
        </w:rPr>
        <w:t>for material discussed in</w:t>
      </w:r>
      <w:r w:rsidRPr="00F8731E">
        <w:rPr>
          <w:rFonts w:cs="Times New Roman"/>
          <w:b/>
          <w:sz w:val="28"/>
          <w:szCs w:val="28"/>
          <w:lang w:val="en-GB"/>
        </w:rPr>
        <w:t xml:space="preserve"> the paper</w:t>
      </w:r>
    </w:p>
    <w:p w14:paraId="47A01836" w14:textId="77777777" w:rsidR="00F8731E" w:rsidRDefault="00F8731E" w:rsidP="00F76E4D">
      <w:pPr>
        <w:rPr>
          <w:rFonts w:cs="Times New Roman"/>
          <w:sz w:val="28"/>
          <w:szCs w:val="28"/>
          <w:lang w:val="en-GB"/>
        </w:rPr>
      </w:pPr>
    </w:p>
    <w:p w14:paraId="78EF938D" w14:textId="77777777" w:rsidR="00B726C0" w:rsidRPr="00466991" w:rsidRDefault="00B726C0" w:rsidP="00466991">
      <w:pPr>
        <w:jc w:val="both"/>
        <w:rPr>
          <w:rFonts w:cs="Times New Roman"/>
        </w:rPr>
      </w:pPr>
      <w:r w:rsidRPr="00466991">
        <w:rPr>
          <w:rFonts w:cs="Times New Roman"/>
        </w:rPr>
        <w:t xml:space="preserve">Arum, R., Gamoran, A. and Shavit, Y. (2007). More inclusion than diversion: Expansion, differentiation and market structures in higher education. In Y. Shavit, R. Arum and A. Gamoran (eds.), </w:t>
      </w:r>
      <w:r w:rsidRPr="00466991">
        <w:rPr>
          <w:rFonts w:cs="Times New Roman"/>
          <w:i/>
        </w:rPr>
        <w:t>Stratification in Higher Education: A contemporary study</w:t>
      </w:r>
      <w:r w:rsidRPr="00466991">
        <w:rPr>
          <w:rFonts w:cs="Times New Roman"/>
        </w:rPr>
        <w:t xml:space="preserve"> (pp. 1-35). Stanford: Stanford University Press.</w:t>
      </w:r>
    </w:p>
    <w:p w14:paraId="19FC87E7" w14:textId="77777777" w:rsidR="00B726C0" w:rsidRPr="00466991" w:rsidRDefault="00B726C0" w:rsidP="00466991">
      <w:pPr>
        <w:pStyle w:val="Bibliogentry"/>
        <w:ind w:left="0" w:firstLine="0"/>
        <w:rPr>
          <w:rFonts w:asciiTheme="minorHAnsi" w:hAnsiTheme="minorHAnsi" w:cs="Times New Roman"/>
        </w:rPr>
      </w:pPr>
    </w:p>
    <w:p w14:paraId="143A3E39" w14:textId="77777777" w:rsidR="00B726C0" w:rsidRPr="00466991" w:rsidRDefault="00B726C0" w:rsidP="00466991">
      <w:pPr>
        <w:jc w:val="both"/>
        <w:rPr>
          <w:rFonts w:cs="Times New Roman"/>
        </w:rPr>
      </w:pPr>
      <w:r w:rsidRPr="00466991">
        <w:rPr>
          <w:rFonts w:cs="Times New Roman"/>
        </w:rPr>
        <w:t xml:space="preserve">Becker, G. (1964). </w:t>
      </w:r>
      <w:r w:rsidRPr="00466991">
        <w:rPr>
          <w:rFonts w:cs="Times New Roman"/>
          <w:i/>
        </w:rPr>
        <w:t>Human Capital: A theoretical and empirical analysis with special reference to education.</w:t>
      </w:r>
      <w:r w:rsidRPr="00466991">
        <w:rPr>
          <w:rFonts w:cs="Times New Roman"/>
        </w:rPr>
        <w:t xml:space="preserve"> Chicago: University of Chicago Press.</w:t>
      </w:r>
    </w:p>
    <w:p w14:paraId="1971DC50" w14:textId="77777777" w:rsidR="00B726C0" w:rsidRPr="00466991" w:rsidRDefault="00B726C0" w:rsidP="00466991">
      <w:pPr>
        <w:pStyle w:val="Bibliogentry"/>
        <w:ind w:left="0" w:firstLine="0"/>
        <w:rPr>
          <w:rFonts w:asciiTheme="minorHAnsi" w:hAnsiTheme="minorHAnsi" w:cs="Times New Roman"/>
        </w:rPr>
      </w:pPr>
    </w:p>
    <w:p w14:paraId="1955DE83" w14:textId="77777777" w:rsidR="00F829D8" w:rsidRPr="00466991" w:rsidRDefault="00F829D8" w:rsidP="00466991">
      <w:pPr>
        <w:widowControl w:val="0"/>
        <w:autoSpaceDE w:val="0"/>
        <w:autoSpaceDN w:val="0"/>
        <w:adjustRightInd w:val="0"/>
        <w:jc w:val="both"/>
        <w:rPr>
          <w:rFonts w:cs="Times New Roman"/>
        </w:rPr>
      </w:pPr>
      <w:r w:rsidRPr="00466991">
        <w:rPr>
          <w:rFonts w:cs="Times New Roman"/>
        </w:rPr>
        <w:t>Bingley,</w:t>
      </w:r>
      <w:r w:rsidRPr="00466991">
        <w:rPr>
          <w:rFonts w:ascii="MS Mincho" w:eastAsia="MS Mincho" w:hAnsi="MS Mincho" w:cs="MS Mincho"/>
        </w:rPr>
        <w:t> </w:t>
      </w:r>
      <w:r w:rsidRPr="00466991">
        <w:rPr>
          <w:rFonts w:cs="Times New Roman"/>
        </w:rPr>
        <w:t>P., Corak, M.</w:t>
      </w:r>
      <w:r w:rsidRPr="00466991">
        <w:rPr>
          <w:rFonts w:ascii="MS Mincho" w:eastAsia="MS Mincho" w:hAnsi="MS Mincho" w:cs="MS Mincho"/>
        </w:rPr>
        <w:t> </w:t>
      </w:r>
      <w:r w:rsidRPr="00466991">
        <w:rPr>
          <w:rFonts w:cs="Times New Roman"/>
        </w:rPr>
        <w:t xml:space="preserve">and Westergård-Nielsen, N. (2011). </w:t>
      </w:r>
      <w:r w:rsidRPr="00466991">
        <w:rPr>
          <w:rFonts w:cs="Times New Roman"/>
          <w:bCs/>
          <w:i/>
        </w:rPr>
        <w:t>The Intergenerational Transmission of Employers in Canada and Denmark.</w:t>
      </w:r>
      <w:r w:rsidRPr="00466991">
        <w:rPr>
          <w:rFonts w:cs="Times New Roman"/>
          <w:bCs/>
        </w:rPr>
        <w:t xml:space="preserve"> </w:t>
      </w:r>
      <w:r w:rsidRPr="00466991">
        <w:rPr>
          <w:rFonts w:cs="Times New Roman"/>
        </w:rPr>
        <w:t>IZA Discussion Paper No. 5593. Bonn: Institute for the Study of Labor.</w:t>
      </w:r>
    </w:p>
    <w:p w14:paraId="1E4E3900" w14:textId="77777777" w:rsidR="00F829D8" w:rsidRPr="00466991" w:rsidRDefault="00F829D8" w:rsidP="00466991">
      <w:pPr>
        <w:widowControl w:val="0"/>
        <w:autoSpaceDE w:val="0"/>
        <w:autoSpaceDN w:val="0"/>
        <w:adjustRightInd w:val="0"/>
        <w:jc w:val="both"/>
        <w:rPr>
          <w:rFonts w:cs="Times New Roman"/>
        </w:rPr>
      </w:pPr>
    </w:p>
    <w:p w14:paraId="0E460DBA" w14:textId="77777777" w:rsidR="00F829D8" w:rsidRPr="00466991" w:rsidRDefault="00F829D8" w:rsidP="00466991">
      <w:pPr>
        <w:widowControl w:val="0"/>
        <w:autoSpaceDE w:val="0"/>
        <w:autoSpaceDN w:val="0"/>
        <w:adjustRightInd w:val="0"/>
        <w:jc w:val="both"/>
        <w:rPr>
          <w:rFonts w:cs="Times New Roman"/>
        </w:rPr>
      </w:pPr>
      <w:r w:rsidRPr="00466991">
        <w:rPr>
          <w:rFonts w:cs="Times New Roman"/>
        </w:rPr>
        <w:t xml:space="preserve">Boliver, V. (2011). Expansion, differentiation, and the persistence of social class inequalities in British higher education. </w:t>
      </w:r>
      <w:r w:rsidRPr="00466991">
        <w:rPr>
          <w:rFonts w:cs="Times New Roman"/>
          <w:i/>
        </w:rPr>
        <w:t>Higher Education</w:t>
      </w:r>
      <w:r w:rsidRPr="00466991">
        <w:rPr>
          <w:rFonts w:cs="Times New Roman"/>
        </w:rPr>
        <w:t>, 61, pp. 229-242.</w:t>
      </w:r>
    </w:p>
    <w:p w14:paraId="30894CA6" w14:textId="77777777" w:rsidR="00F829D8" w:rsidRPr="00466991" w:rsidRDefault="00F829D8" w:rsidP="00466991">
      <w:pPr>
        <w:pStyle w:val="Bibliogentry"/>
        <w:ind w:left="0" w:firstLine="0"/>
        <w:rPr>
          <w:rFonts w:asciiTheme="minorHAnsi" w:hAnsiTheme="minorHAnsi" w:cs="Times New Roman"/>
        </w:rPr>
      </w:pPr>
    </w:p>
    <w:p w14:paraId="66BC947A" w14:textId="77777777" w:rsidR="00B726C0" w:rsidRPr="00466991" w:rsidRDefault="00B726C0" w:rsidP="00466991">
      <w:pPr>
        <w:pStyle w:val="Bibliogentry"/>
        <w:ind w:left="0" w:firstLine="0"/>
        <w:rPr>
          <w:rFonts w:asciiTheme="minorHAnsi" w:hAnsiTheme="minorHAnsi" w:cs="Times New Roman"/>
          <w:iCs/>
        </w:rPr>
      </w:pPr>
      <w:r w:rsidRPr="00466991">
        <w:rPr>
          <w:rFonts w:asciiTheme="minorHAnsi" w:hAnsiTheme="minorHAnsi" w:cs="Times New Roman"/>
        </w:rPr>
        <w:t xml:space="preserve">Boliver, V. (2013). </w:t>
      </w:r>
      <w:r w:rsidRPr="00466991">
        <w:rPr>
          <w:rFonts w:asciiTheme="minorHAnsi" w:hAnsiTheme="minorHAnsi" w:cs="Times New Roman"/>
          <w:bCs/>
        </w:rPr>
        <w:t xml:space="preserve">How fair is access to more prestigious UK universities? </w:t>
      </w:r>
      <w:r w:rsidRPr="00466991">
        <w:rPr>
          <w:rStyle w:val="Italics"/>
          <w:rFonts w:asciiTheme="minorHAnsi" w:hAnsiTheme="minorHAnsi" w:cs="Times New Roman"/>
        </w:rPr>
        <w:t>British Journal of Sociology</w:t>
      </w:r>
      <w:r w:rsidRPr="00466991">
        <w:rPr>
          <w:rFonts w:asciiTheme="minorHAnsi" w:hAnsiTheme="minorHAnsi" w:cs="Times New Roman"/>
          <w:iCs/>
        </w:rPr>
        <w:t>, 64 (2), pp. 344–364.</w:t>
      </w:r>
    </w:p>
    <w:p w14:paraId="6B990AB9" w14:textId="77777777" w:rsidR="00B726C0" w:rsidRPr="00466991" w:rsidRDefault="00B726C0" w:rsidP="00466991">
      <w:pPr>
        <w:pStyle w:val="Bibliogentry"/>
        <w:ind w:left="0" w:firstLine="0"/>
        <w:rPr>
          <w:rFonts w:asciiTheme="minorHAnsi" w:hAnsiTheme="minorHAnsi" w:cs="Times New Roman"/>
          <w:iCs/>
        </w:rPr>
      </w:pPr>
    </w:p>
    <w:p w14:paraId="4F534064" w14:textId="77777777" w:rsidR="00B726C0" w:rsidRPr="00466991" w:rsidRDefault="00B726C0" w:rsidP="00466991">
      <w:pPr>
        <w:jc w:val="both"/>
        <w:rPr>
          <w:rFonts w:cs="Times New Roman"/>
        </w:rPr>
      </w:pPr>
      <w:r w:rsidRPr="00466991">
        <w:rPr>
          <w:rFonts w:cs="Times New Roman"/>
        </w:rPr>
        <w:t xml:space="preserve">Brown, R. (ed.). (2011). </w:t>
      </w:r>
      <w:r w:rsidRPr="00466991">
        <w:rPr>
          <w:rFonts w:cs="Times New Roman"/>
          <w:i/>
        </w:rPr>
        <w:t>Higher Education and the Market</w:t>
      </w:r>
      <w:r w:rsidRPr="00466991">
        <w:rPr>
          <w:rFonts w:cs="Times New Roman"/>
        </w:rPr>
        <w:t>. New York: Routledge.</w:t>
      </w:r>
    </w:p>
    <w:p w14:paraId="47DA1292" w14:textId="77777777" w:rsidR="00B726C0" w:rsidRPr="00466991" w:rsidRDefault="00B726C0" w:rsidP="00466991">
      <w:pPr>
        <w:pStyle w:val="Bibliogentry"/>
        <w:ind w:left="0" w:firstLine="0"/>
        <w:rPr>
          <w:rFonts w:asciiTheme="minorHAnsi" w:hAnsiTheme="minorHAnsi" w:cs="Times New Roman"/>
        </w:rPr>
      </w:pPr>
    </w:p>
    <w:p w14:paraId="648B9974" w14:textId="77777777" w:rsidR="00F829D8" w:rsidRPr="00466991" w:rsidRDefault="00F829D8" w:rsidP="00466991">
      <w:pPr>
        <w:widowControl w:val="0"/>
        <w:autoSpaceDE w:val="0"/>
        <w:autoSpaceDN w:val="0"/>
        <w:adjustRightInd w:val="0"/>
        <w:jc w:val="both"/>
        <w:rPr>
          <w:rFonts w:cs="Times New Roman"/>
        </w:rPr>
      </w:pPr>
      <w:r w:rsidRPr="00466991">
        <w:rPr>
          <w:rFonts w:cs="Times New Roman"/>
          <w:bCs/>
          <w:color w:val="000000" w:themeColor="text1"/>
        </w:rPr>
        <w:t xml:space="preserve">Callender, C. (2013). </w:t>
      </w:r>
      <w:r w:rsidRPr="00466991">
        <w:rPr>
          <w:rFonts w:cs="Times New Roman"/>
          <w:color w:val="000000" w:themeColor="text1"/>
        </w:rPr>
        <w:t xml:space="preserve">The funding of part-time students. In D. Heller and C. Callender (eds.), </w:t>
      </w:r>
      <w:r w:rsidRPr="00466991">
        <w:rPr>
          <w:rFonts w:cs="Times New Roman"/>
          <w:i/>
          <w:iCs/>
          <w:color w:val="000000" w:themeColor="text1"/>
        </w:rPr>
        <w:t xml:space="preserve">Student Financing of Higher Education: A comparative perspective </w:t>
      </w:r>
      <w:r w:rsidRPr="00466991">
        <w:rPr>
          <w:rFonts w:cs="Times New Roman"/>
          <w:iCs/>
          <w:color w:val="000000" w:themeColor="text1"/>
        </w:rPr>
        <w:t>(</w:t>
      </w:r>
      <w:r w:rsidRPr="00466991">
        <w:rPr>
          <w:rFonts w:cs="Times New Roman"/>
          <w:color w:val="000000" w:themeColor="text1"/>
        </w:rPr>
        <w:t>pp. 115-136)</w:t>
      </w:r>
      <w:r w:rsidRPr="00466991">
        <w:rPr>
          <w:rFonts w:cs="Times New Roman"/>
          <w:i/>
          <w:iCs/>
          <w:color w:val="000000" w:themeColor="text1"/>
        </w:rPr>
        <w:t xml:space="preserve">. </w:t>
      </w:r>
      <w:r w:rsidRPr="00466991">
        <w:rPr>
          <w:rFonts w:cs="Times New Roman"/>
          <w:iCs/>
          <w:color w:val="000000" w:themeColor="text1"/>
        </w:rPr>
        <w:t>London:</w:t>
      </w:r>
      <w:r w:rsidRPr="00466991">
        <w:rPr>
          <w:rFonts w:cs="Times New Roman"/>
          <w:color w:val="000000" w:themeColor="text1"/>
        </w:rPr>
        <w:t xml:space="preserve"> Routledge.</w:t>
      </w:r>
    </w:p>
    <w:p w14:paraId="5A8AF372" w14:textId="77777777" w:rsidR="00F829D8" w:rsidRPr="00466991" w:rsidRDefault="00F829D8" w:rsidP="00466991">
      <w:pPr>
        <w:pStyle w:val="Bibliogentry"/>
        <w:ind w:left="0" w:firstLine="0"/>
        <w:rPr>
          <w:rFonts w:asciiTheme="minorHAnsi" w:hAnsiTheme="minorHAnsi" w:cs="Times New Roman"/>
        </w:rPr>
      </w:pPr>
    </w:p>
    <w:p w14:paraId="35CFA0DA" w14:textId="77777777" w:rsidR="00B726C0" w:rsidRPr="00466991" w:rsidRDefault="00B726C0" w:rsidP="00466991">
      <w:pPr>
        <w:pStyle w:val="Bibliogentry"/>
        <w:ind w:left="0" w:firstLine="0"/>
        <w:rPr>
          <w:rFonts w:asciiTheme="minorHAnsi" w:hAnsiTheme="minorHAnsi" w:cs="Times New Roman"/>
        </w:rPr>
      </w:pPr>
      <w:r w:rsidRPr="00466991">
        <w:rPr>
          <w:rFonts w:asciiTheme="minorHAnsi" w:hAnsiTheme="minorHAnsi" w:cs="Times New Roman"/>
        </w:rPr>
        <w:t>Corak, M.</w:t>
      </w:r>
      <w:r w:rsidRPr="00466991">
        <w:rPr>
          <w:rFonts w:asciiTheme="minorHAnsi" w:eastAsia="MS Gothic" w:hAnsiTheme="minorHAnsi" w:cs="Times New Roman"/>
        </w:rPr>
        <w:t xml:space="preserve"> </w:t>
      </w:r>
      <w:r w:rsidRPr="00466991">
        <w:rPr>
          <w:rFonts w:asciiTheme="minorHAnsi" w:hAnsiTheme="minorHAnsi" w:cs="Times New Roman"/>
        </w:rPr>
        <w:t xml:space="preserve">(2012). </w:t>
      </w:r>
      <w:r w:rsidRPr="00466991">
        <w:rPr>
          <w:rStyle w:val="Italics"/>
          <w:rFonts w:asciiTheme="minorHAnsi" w:hAnsiTheme="minorHAnsi" w:cs="Times New Roman"/>
        </w:rPr>
        <w:t>Inequality from Generation to Generation: The United States in comparison</w:t>
      </w:r>
      <w:r w:rsidRPr="00466991">
        <w:rPr>
          <w:rFonts w:asciiTheme="minorHAnsi" w:hAnsiTheme="minorHAnsi" w:cs="Times New Roman"/>
        </w:rPr>
        <w:t>. Graduate School of Public and International Affairs, University of Ottawa, Ottawa, Canada.</w:t>
      </w:r>
    </w:p>
    <w:p w14:paraId="795A9047" w14:textId="77777777" w:rsidR="00B726C0" w:rsidRPr="00466991" w:rsidRDefault="00B726C0" w:rsidP="00466991">
      <w:pPr>
        <w:pStyle w:val="Bibliogentry"/>
        <w:ind w:left="0" w:firstLine="0"/>
        <w:rPr>
          <w:rFonts w:asciiTheme="minorHAnsi" w:hAnsiTheme="minorHAnsi" w:cs="Times New Roman"/>
        </w:rPr>
      </w:pPr>
    </w:p>
    <w:p w14:paraId="61E736A7" w14:textId="77777777" w:rsidR="00F829D8" w:rsidRPr="00466991" w:rsidRDefault="00F829D8" w:rsidP="00466991">
      <w:pPr>
        <w:widowControl w:val="0"/>
        <w:autoSpaceDE w:val="0"/>
        <w:autoSpaceDN w:val="0"/>
        <w:adjustRightInd w:val="0"/>
        <w:jc w:val="both"/>
        <w:rPr>
          <w:rFonts w:cs="Times New Roman"/>
        </w:rPr>
      </w:pPr>
      <w:r w:rsidRPr="00466991">
        <w:rPr>
          <w:rFonts w:cs="Times New Roman"/>
        </w:rPr>
        <w:t xml:space="preserve">Davies, S. and Zarifa, D. (2012). The stratification of universities: Structural inequality in Canada and the United States. </w:t>
      </w:r>
      <w:r w:rsidRPr="00466991">
        <w:rPr>
          <w:rFonts w:cs="Times New Roman"/>
          <w:i/>
        </w:rPr>
        <w:t>Research in Social Stratification and Mobility</w:t>
      </w:r>
      <w:r w:rsidRPr="00466991">
        <w:rPr>
          <w:rFonts w:cs="Times New Roman"/>
        </w:rPr>
        <w:t>, 30, pp. 143–158.</w:t>
      </w:r>
    </w:p>
    <w:p w14:paraId="7E2885C6" w14:textId="77777777" w:rsidR="00F829D8" w:rsidRPr="00466991" w:rsidRDefault="00F829D8" w:rsidP="00466991">
      <w:pPr>
        <w:widowControl w:val="0"/>
        <w:autoSpaceDE w:val="0"/>
        <w:autoSpaceDN w:val="0"/>
        <w:adjustRightInd w:val="0"/>
        <w:jc w:val="both"/>
        <w:rPr>
          <w:rFonts w:cs="Times New Roman"/>
        </w:rPr>
      </w:pPr>
    </w:p>
    <w:p w14:paraId="0CE087C2" w14:textId="77777777" w:rsidR="00F829D8" w:rsidRPr="00466991" w:rsidRDefault="00F829D8" w:rsidP="00466991">
      <w:pPr>
        <w:widowControl w:val="0"/>
        <w:autoSpaceDE w:val="0"/>
        <w:autoSpaceDN w:val="0"/>
        <w:adjustRightInd w:val="0"/>
        <w:jc w:val="both"/>
        <w:rPr>
          <w:rFonts w:cs="Times New Roman"/>
        </w:rPr>
      </w:pPr>
      <w:r w:rsidRPr="00466991">
        <w:rPr>
          <w:rFonts w:cs="Times New Roman"/>
        </w:rPr>
        <w:t xml:space="preserve">Hoxby, C. (2009). College admissions: The changing selectivity of American colleges. </w:t>
      </w:r>
      <w:r w:rsidRPr="00466991">
        <w:rPr>
          <w:rFonts w:cs="Times New Roman"/>
          <w:i/>
        </w:rPr>
        <w:t>Journal of Economic Perspectives</w:t>
      </w:r>
      <w:r w:rsidRPr="00466991">
        <w:rPr>
          <w:rFonts w:cs="Times New Roman"/>
        </w:rPr>
        <w:t>, 23(4), pp. 95–118.</w:t>
      </w:r>
    </w:p>
    <w:p w14:paraId="512B6363" w14:textId="77777777" w:rsidR="00F829D8" w:rsidRPr="00466991" w:rsidRDefault="00F829D8" w:rsidP="00466991">
      <w:pPr>
        <w:widowControl w:val="0"/>
        <w:autoSpaceDE w:val="0"/>
        <w:autoSpaceDN w:val="0"/>
        <w:adjustRightInd w:val="0"/>
        <w:jc w:val="both"/>
        <w:rPr>
          <w:rFonts w:cs="Times New Roman"/>
        </w:rPr>
      </w:pPr>
    </w:p>
    <w:p w14:paraId="1CC4C976" w14:textId="77777777" w:rsidR="00F829D8" w:rsidRPr="00466991" w:rsidRDefault="00F829D8" w:rsidP="00466991">
      <w:pPr>
        <w:widowControl w:val="0"/>
        <w:autoSpaceDE w:val="0"/>
        <w:autoSpaceDN w:val="0"/>
        <w:adjustRightInd w:val="0"/>
        <w:jc w:val="both"/>
        <w:rPr>
          <w:rFonts w:cs="Times New Roman"/>
        </w:rPr>
      </w:pPr>
      <w:r w:rsidRPr="00466991">
        <w:rPr>
          <w:rFonts w:cs="Times New Roman"/>
        </w:rPr>
        <w:t xml:space="preserve">Hoxby, C. and Avery, C. (2013). </w:t>
      </w:r>
      <w:r w:rsidRPr="00466991">
        <w:rPr>
          <w:rFonts w:cs="Times New Roman"/>
          <w:iCs/>
        </w:rPr>
        <w:t>The missing “one-offs”: The hidden supply of high-achieving, low-income students</w:t>
      </w:r>
      <w:r w:rsidRPr="00466991">
        <w:rPr>
          <w:rFonts w:cs="Times New Roman"/>
        </w:rPr>
        <w:t>.</w:t>
      </w:r>
      <w:r w:rsidRPr="00466991">
        <w:rPr>
          <w:rFonts w:cs="Times New Roman"/>
          <w:iCs/>
        </w:rPr>
        <w:t xml:space="preserve"> </w:t>
      </w:r>
      <w:r w:rsidRPr="00466991">
        <w:rPr>
          <w:rFonts w:cs="Times New Roman"/>
          <w:i/>
          <w:iCs/>
        </w:rPr>
        <w:t>Brookings Papers on Economic Activity,</w:t>
      </w:r>
      <w:r w:rsidRPr="00466991">
        <w:rPr>
          <w:rFonts w:cs="Times New Roman"/>
          <w:iCs/>
        </w:rPr>
        <w:t xml:space="preserve"> </w:t>
      </w:r>
      <w:r w:rsidRPr="00466991">
        <w:rPr>
          <w:rFonts w:cs="Times New Roman"/>
        </w:rPr>
        <w:t>Spring.</w:t>
      </w:r>
    </w:p>
    <w:p w14:paraId="44717F3F" w14:textId="77777777" w:rsidR="00F829D8" w:rsidRPr="00466991" w:rsidRDefault="00F829D8" w:rsidP="00466991">
      <w:pPr>
        <w:widowControl w:val="0"/>
        <w:autoSpaceDE w:val="0"/>
        <w:autoSpaceDN w:val="0"/>
        <w:adjustRightInd w:val="0"/>
        <w:jc w:val="both"/>
        <w:rPr>
          <w:rFonts w:cs="Times New Roman"/>
        </w:rPr>
      </w:pPr>
    </w:p>
    <w:p w14:paraId="4CA07992" w14:textId="77777777" w:rsidR="00B726C0" w:rsidRPr="00466991" w:rsidRDefault="00B726C0" w:rsidP="00466991">
      <w:pPr>
        <w:widowControl w:val="0"/>
        <w:autoSpaceDE w:val="0"/>
        <w:autoSpaceDN w:val="0"/>
        <w:adjustRightInd w:val="0"/>
        <w:jc w:val="both"/>
        <w:rPr>
          <w:rFonts w:cs="Times New Roman"/>
        </w:rPr>
      </w:pPr>
      <w:r w:rsidRPr="00466991">
        <w:rPr>
          <w:rFonts w:cs="Times New Roman"/>
        </w:rPr>
        <w:t xml:space="preserve">King, R., Marginson, S. and Naidoo, R. (eds.) (2011). </w:t>
      </w:r>
      <w:r w:rsidRPr="00466991">
        <w:rPr>
          <w:rFonts w:cs="Times New Roman"/>
          <w:i/>
        </w:rPr>
        <w:t>Handbook of Higher Education and Globalization</w:t>
      </w:r>
      <w:r w:rsidRPr="00466991">
        <w:rPr>
          <w:rFonts w:cs="Times New Roman"/>
        </w:rPr>
        <w:t xml:space="preserve">. Cheltenham: Edward Elgar. </w:t>
      </w:r>
    </w:p>
    <w:p w14:paraId="4364A9CF" w14:textId="77777777" w:rsidR="00B726C0" w:rsidRPr="00466991" w:rsidRDefault="00B726C0" w:rsidP="00466991">
      <w:pPr>
        <w:pStyle w:val="Bodytext0"/>
        <w:ind w:firstLine="0"/>
        <w:jc w:val="both"/>
        <w:rPr>
          <w:rFonts w:asciiTheme="minorHAnsi" w:hAnsiTheme="minorHAnsi" w:cs="Times New Roman"/>
        </w:rPr>
      </w:pPr>
    </w:p>
    <w:p w14:paraId="49E338B5" w14:textId="7971C70A" w:rsidR="00B726C0" w:rsidRPr="00466991" w:rsidRDefault="00B726C0" w:rsidP="00466991">
      <w:pPr>
        <w:jc w:val="both"/>
        <w:rPr>
          <w:rFonts w:cs="Times New Roman"/>
          <w:bCs/>
          <w:iCs/>
        </w:rPr>
      </w:pPr>
      <w:r w:rsidRPr="00466991">
        <w:rPr>
          <w:rFonts w:cs="Times New Roman"/>
          <w:color w:val="000000" w:themeColor="text1"/>
        </w:rPr>
        <w:t xml:space="preserve">Marginson, S. (2016). </w:t>
      </w:r>
      <w:r w:rsidRPr="00466991">
        <w:rPr>
          <w:rFonts w:cs="Times New Roman"/>
          <w:bCs/>
          <w:iCs/>
        </w:rPr>
        <w:t xml:space="preserve">High participation systems of higher education. </w:t>
      </w:r>
      <w:r w:rsidRPr="00466991">
        <w:rPr>
          <w:rFonts w:cs="Times New Roman"/>
          <w:bCs/>
          <w:i/>
          <w:iCs/>
        </w:rPr>
        <w:t>The Journal of Higher Education</w:t>
      </w:r>
      <w:r w:rsidRPr="00466991">
        <w:rPr>
          <w:rFonts w:cs="Times New Roman"/>
          <w:bCs/>
          <w:iCs/>
        </w:rPr>
        <w:t>, 87 (2), pp. 243-270.</w:t>
      </w:r>
    </w:p>
    <w:p w14:paraId="16951B09" w14:textId="77777777" w:rsidR="00B726C0" w:rsidRPr="00466991" w:rsidRDefault="00B726C0" w:rsidP="00466991">
      <w:pPr>
        <w:jc w:val="both"/>
        <w:rPr>
          <w:rFonts w:cs="Times New Roman"/>
          <w:color w:val="000000" w:themeColor="text1"/>
        </w:rPr>
      </w:pPr>
    </w:p>
    <w:p w14:paraId="2D035318" w14:textId="512CB031" w:rsidR="00B726C0" w:rsidRPr="00466991" w:rsidRDefault="00B726C0" w:rsidP="00466991">
      <w:pPr>
        <w:jc w:val="both"/>
        <w:rPr>
          <w:rFonts w:cs="Times New Roman"/>
          <w:color w:val="000000" w:themeColor="text1"/>
        </w:rPr>
      </w:pPr>
      <w:r w:rsidRPr="00466991">
        <w:rPr>
          <w:rFonts w:cs="Times New Roman"/>
          <w:color w:val="000000" w:themeColor="text1"/>
        </w:rPr>
        <w:lastRenderedPageBreak/>
        <w:t xml:space="preserve">Marginson, S. (2016). </w:t>
      </w:r>
      <w:r w:rsidRPr="00466991">
        <w:rPr>
          <w:rFonts w:cs="Times New Roman"/>
        </w:rPr>
        <w:t xml:space="preserve">The worldwide trend to high participation higher education: Dynamics of social stratification in inclusive systems. </w:t>
      </w:r>
      <w:r w:rsidRPr="00466991">
        <w:rPr>
          <w:rFonts w:cs="Times New Roman"/>
          <w:i/>
        </w:rPr>
        <w:t>Higher Education</w:t>
      </w:r>
      <w:r w:rsidR="00F829D8" w:rsidRPr="00466991">
        <w:rPr>
          <w:rFonts w:cs="Times New Roman"/>
          <w:i/>
        </w:rPr>
        <w:t xml:space="preserve">, </w:t>
      </w:r>
      <w:r w:rsidR="00F829D8" w:rsidRPr="00466991">
        <w:t xml:space="preserve">72 (4), pp. 413-435. Open access </w:t>
      </w:r>
      <w:r w:rsidR="00F829D8" w:rsidRPr="00466991">
        <w:rPr>
          <w:color w:val="000000" w:themeColor="text1"/>
        </w:rPr>
        <w:t xml:space="preserve">publication at: </w:t>
      </w:r>
      <w:r w:rsidR="00F829D8" w:rsidRPr="00466991">
        <w:rPr>
          <w:rFonts w:cs="Georgia"/>
          <w:color w:val="000000" w:themeColor="text1"/>
        </w:rPr>
        <w:t>http://rdcu.be/kf7P</w:t>
      </w:r>
      <w:r w:rsidRPr="00466991">
        <w:rPr>
          <w:rFonts w:cs="Times New Roman"/>
        </w:rPr>
        <w:t xml:space="preserve"> </w:t>
      </w:r>
    </w:p>
    <w:p w14:paraId="7397834D" w14:textId="77777777" w:rsidR="00B726C0" w:rsidRPr="00466991" w:rsidRDefault="00B726C0" w:rsidP="00466991">
      <w:pPr>
        <w:pStyle w:val="Bodytext0"/>
        <w:ind w:firstLine="0"/>
        <w:jc w:val="both"/>
        <w:rPr>
          <w:rFonts w:asciiTheme="minorHAnsi" w:hAnsiTheme="minorHAnsi" w:cs="Times New Roman"/>
        </w:rPr>
      </w:pPr>
    </w:p>
    <w:p w14:paraId="65A27B71" w14:textId="25C99F4F" w:rsidR="00B726C0" w:rsidRPr="00466991" w:rsidRDefault="00B726C0" w:rsidP="00466991">
      <w:pPr>
        <w:pStyle w:val="Bodytext0"/>
        <w:ind w:firstLine="0"/>
        <w:jc w:val="both"/>
        <w:rPr>
          <w:rFonts w:asciiTheme="minorHAnsi" w:hAnsiTheme="minorHAnsi" w:cs="Times New Roman"/>
        </w:rPr>
      </w:pPr>
      <w:r w:rsidRPr="00466991">
        <w:rPr>
          <w:rFonts w:asciiTheme="minorHAnsi" w:hAnsiTheme="minorHAnsi" w:cs="Times New Roman"/>
        </w:rPr>
        <w:t xml:space="preserve">Marginson, S. (2016). </w:t>
      </w:r>
      <w:r w:rsidRPr="00466991">
        <w:rPr>
          <w:rStyle w:val="Italics"/>
          <w:rFonts w:asciiTheme="minorHAnsi" w:hAnsiTheme="minorHAnsi" w:cs="Times New Roman"/>
        </w:rPr>
        <w:t>The Dream is Over:</w:t>
      </w:r>
      <w:r w:rsidRPr="00466991">
        <w:rPr>
          <w:rFonts w:asciiTheme="minorHAnsi" w:hAnsiTheme="minorHAnsi" w:cs="Times New Roman"/>
        </w:rPr>
        <w:t xml:space="preserve"> </w:t>
      </w:r>
      <w:r w:rsidRPr="00466991">
        <w:rPr>
          <w:rStyle w:val="Italics"/>
          <w:rFonts w:asciiTheme="minorHAnsi" w:hAnsiTheme="minorHAnsi" w:cs="Times New Roman"/>
        </w:rPr>
        <w:t>The crisis of Clark Kerr’s California idea of higher education.</w:t>
      </w:r>
      <w:r w:rsidRPr="00466991">
        <w:rPr>
          <w:rFonts w:asciiTheme="minorHAnsi" w:hAnsiTheme="minorHAnsi" w:cs="Times New Roman"/>
        </w:rPr>
        <w:t xml:space="preserve"> Berkeley: University of California Press.</w:t>
      </w:r>
    </w:p>
    <w:p w14:paraId="256684C8" w14:textId="77777777" w:rsidR="00B726C0" w:rsidRPr="00466991" w:rsidRDefault="00B726C0" w:rsidP="00466991">
      <w:pPr>
        <w:pStyle w:val="Bodytext0"/>
        <w:ind w:firstLine="0"/>
        <w:jc w:val="both"/>
        <w:rPr>
          <w:rFonts w:asciiTheme="minorHAnsi" w:hAnsiTheme="minorHAnsi" w:cs="Times New Roman"/>
        </w:rPr>
      </w:pPr>
    </w:p>
    <w:p w14:paraId="6900A141" w14:textId="3FA31814" w:rsidR="00B726C0" w:rsidRPr="00466991" w:rsidRDefault="00B726C0" w:rsidP="00466991">
      <w:pPr>
        <w:pStyle w:val="Bodytext0"/>
        <w:ind w:firstLine="0"/>
        <w:jc w:val="both"/>
        <w:rPr>
          <w:rFonts w:asciiTheme="minorHAnsi" w:hAnsiTheme="minorHAnsi" w:cs="Times New Roman"/>
        </w:rPr>
      </w:pPr>
      <w:r w:rsidRPr="00466991">
        <w:rPr>
          <w:rFonts w:asciiTheme="minorHAnsi" w:hAnsiTheme="minorHAnsi" w:cs="Times New Roman"/>
        </w:rPr>
        <w:t xml:space="preserve">Marginson, S. (2016). </w:t>
      </w:r>
      <w:r w:rsidRPr="00466991">
        <w:rPr>
          <w:rFonts w:asciiTheme="minorHAnsi" w:hAnsiTheme="minorHAnsi" w:cs="Times New Roman"/>
          <w:i/>
        </w:rPr>
        <w:t>Higher Education and the Common Good</w:t>
      </w:r>
      <w:r w:rsidRPr="00466991">
        <w:rPr>
          <w:rFonts w:asciiTheme="minorHAnsi" w:hAnsiTheme="minorHAnsi" w:cs="Times New Roman"/>
        </w:rPr>
        <w:t xml:space="preserve">. Melbourne: Melbourne University Publishing. </w:t>
      </w:r>
    </w:p>
    <w:p w14:paraId="58372815" w14:textId="77777777" w:rsidR="00B726C0" w:rsidRPr="00466991" w:rsidRDefault="00B726C0" w:rsidP="00466991">
      <w:pPr>
        <w:pStyle w:val="Bodytext0"/>
        <w:ind w:firstLine="0"/>
        <w:jc w:val="both"/>
        <w:rPr>
          <w:rFonts w:asciiTheme="minorHAnsi" w:hAnsiTheme="minorHAnsi" w:cs="Times New Roman"/>
        </w:rPr>
      </w:pPr>
    </w:p>
    <w:p w14:paraId="2B1DBF12" w14:textId="77777777" w:rsidR="00F829D8" w:rsidRPr="00466991" w:rsidRDefault="00F829D8" w:rsidP="00466991">
      <w:pPr>
        <w:jc w:val="both"/>
        <w:rPr>
          <w:rFonts w:cs="Times New Roman"/>
        </w:rPr>
      </w:pPr>
      <w:r w:rsidRPr="00466991">
        <w:rPr>
          <w:rFonts w:eastAsia="ＭＳ ゴシック" w:cs="Times New Roman"/>
        </w:rPr>
        <w:t xml:space="preserve">McMahon, W. (2009). </w:t>
      </w:r>
      <w:r w:rsidRPr="00466991">
        <w:rPr>
          <w:rFonts w:eastAsia="ＭＳ ゴシック" w:cs="Times New Roman"/>
          <w:i/>
          <w:iCs/>
        </w:rPr>
        <w:t>Higher Learning Greater Good.</w:t>
      </w:r>
      <w:r w:rsidRPr="00466991">
        <w:rPr>
          <w:rFonts w:eastAsia="ＭＳ ゴシック" w:cs="Times New Roman"/>
        </w:rPr>
        <w:t xml:space="preserve"> Baltimore, MD: The Johns Hopkins University Press</w:t>
      </w:r>
      <w:r w:rsidRPr="00466991">
        <w:rPr>
          <w:rFonts w:cs="Times New Roman"/>
        </w:rPr>
        <w:t xml:space="preserve"> </w:t>
      </w:r>
    </w:p>
    <w:p w14:paraId="15D54BA7" w14:textId="77777777" w:rsidR="00F829D8" w:rsidRPr="00466991" w:rsidRDefault="00F829D8" w:rsidP="00466991">
      <w:pPr>
        <w:jc w:val="both"/>
        <w:rPr>
          <w:rFonts w:cs="Times New Roman"/>
        </w:rPr>
      </w:pPr>
    </w:p>
    <w:p w14:paraId="2F37DA66" w14:textId="77777777" w:rsidR="00F829D8" w:rsidRPr="00466991" w:rsidRDefault="00F829D8" w:rsidP="00466991">
      <w:pPr>
        <w:jc w:val="both"/>
        <w:rPr>
          <w:rFonts w:cs="Times New Roman"/>
        </w:rPr>
      </w:pPr>
      <w:r w:rsidRPr="00466991">
        <w:rPr>
          <w:rFonts w:cs="Times New Roman"/>
        </w:rPr>
        <w:t xml:space="preserve">Mettler, S. (2014). </w:t>
      </w:r>
      <w:r w:rsidRPr="00466991">
        <w:rPr>
          <w:rFonts w:cs="Times New Roman"/>
          <w:i/>
        </w:rPr>
        <w:t>Degrees of Inequality: How the politics of higher education sabotaged the American dream.</w:t>
      </w:r>
      <w:r w:rsidRPr="00466991">
        <w:rPr>
          <w:rFonts w:cs="Times New Roman"/>
        </w:rPr>
        <w:t xml:space="preserve"> New York: Basic Books.</w:t>
      </w:r>
    </w:p>
    <w:p w14:paraId="0CC25220" w14:textId="77777777" w:rsidR="00F829D8" w:rsidRPr="00466991" w:rsidRDefault="00F829D8" w:rsidP="00466991">
      <w:pPr>
        <w:rPr>
          <w:rFonts w:cs="Times New Roman"/>
          <w:lang w:val="en-GB"/>
        </w:rPr>
      </w:pPr>
    </w:p>
    <w:p w14:paraId="2EC0F101" w14:textId="2E71111D" w:rsidR="00F829D8" w:rsidRPr="00466991" w:rsidRDefault="00F829D8" w:rsidP="00466991">
      <w:pPr>
        <w:jc w:val="both"/>
        <w:rPr>
          <w:rFonts w:cs="Times New Roman"/>
        </w:rPr>
      </w:pPr>
      <w:r w:rsidRPr="00466991">
        <w:rPr>
          <w:rFonts w:cs="Times New Roman"/>
        </w:rPr>
        <w:t xml:space="preserve">Organisation for Economic Cooperation and Development, OECD (2014). </w:t>
      </w:r>
      <w:r w:rsidRPr="00466991">
        <w:rPr>
          <w:rFonts w:cs="Times New Roman"/>
          <w:i/>
        </w:rPr>
        <w:t>United States: Tackling high inequalities, creating opportunities for all.</w:t>
      </w:r>
      <w:r w:rsidRPr="00466991">
        <w:rPr>
          <w:rFonts w:cs="Times New Roman"/>
        </w:rPr>
        <w:t xml:space="preserve"> Paris: OECD.</w:t>
      </w:r>
    </w:p>
    <w:p w14:paraId="3AEA7440" w14:textId="77777777" w:rsidR="00F829D8" w:rsidRPr="00466991" w:rsidRDefault="00F829D8" w:rsidP="00466991">
      <w:pPr>
        <w:rPr>
          <w:rFonts w:cs="Times New Roman"/>
          <w:lang w:val="en-GB"/>
        </w:rPr>
      </w:pPr>
    </w:p>
    <w:p w14:paraId="5CFAD137" w14:textId="53EA09E9" w:rsidR="00F829D8" w:rsidRPr="00466991" w:rsidRDefault="00F829D8" w:rsidP="00466991">
      <w:pPr>
        <w:rPr>
          <w:rFonts w:cs="Times New Roman"/>
          <w:lang w:val="en-GB"/>
        </w:rPr>
      </w:pPr>
      <w:r w:rsidRPr="00466991">
        <w:rPr>
          <w:rFonts w:cs="Times New Roman"/>
          <w:lang w:val="en-GB"/>
        </w:rPr>
        <w:t xml:space="preserve">Organisation for Economic Cooperation and Development, OECD (2014). </w:t>
      </w:r>
      <w:r w:rsidRPr="00466991">
        <w:rPr>
          <w:rFonts w:cs="Times New Roman"/>
          <w:i/>
          <w:lang w:val="en-GB"/>
        </w:rPr>
        <w:t>Education at a Glance, 2014</w:t>
      </w:r>
      <w:r w:rsidRPr="00466991">
        <w:rPr>
          <w:rFonts w:cs="Times New Roman"/>
          <w:lang w:val="en-GB"/>
        </w:rPr>
        <w:t>. Paris: OECD.</w:t>
      </w:r>
    </w:p>
    <w:p w14:paraId="1D390F89" w14:textId="77777777" w:rsidR="00F829D8" w:rsidRPr="00466991" w:rsidRDefault="00F829D8" w:rsidP="00466991">
      <w:pPr>
        <w:rPr>
          <w:rFonts w:cs="Times New Roman"/>
          <w:lang w:val="en-GB"/>
        </w:rPr>
      </w:pPr>
    </w:p>
    <w:p w14:paraId="64BC95BC" w14:textId="58AF5654" w:rsidR="00F8731E" w:rsidRPr="00466991" w:rsidRDefault="00F8731E" w:rsidP="00466991">
      <w:pPr>
        <w:rPr>
          <w:rFonts w:cs="Times New Roman"/>
          <w:lang w:val="en-GB"/>
        </w:rPr>
      </w:pPr>
      <w:r w:rsidRPr="00466991">
        <w:rPr>
          <w:rFonts w:cs="Times New Roman"/>
          <w:lang w:val="en-GB"/>
        </w:rPr>
        <w:t xml:space="preserve">Organisation for Economic Cooperation and Development, OECD (2015). </w:t>
      </w:r>
      <w:r w:rsidRPr="00466991">
        <w:rPr>
          <w:rFonts w:cs="Times New Roman"/>
          <w:i/>
          <w:lang w:val="en-GB"/>
        </w:rPr>
        <w:t>Education at a Glance, 2015</w:t>
      </w:r>
      <w:r w:rsidRPr="00466991">
        <w:rPr>
          <w:rFonts w:cs="Times New Roman"/>
          <w:lang w:val="en-GB"/>
        </w:rPr>
        <w:t>. Paris: OECD.</w:t>
      </w:r>
    </w:p>
    <w:p w14:paraId="19E95C47" w14:textId="77777777" w:rsidR="00F829D8" w:rsidRPr="00466991" w:rsidRDefault="00F829D8" w:rsidP="00466991">
      <w:pPr>
        <w:rPr>
          <w:rFonts w:cs="Times New Roman"/>
          <w:lang w:val="en-GB"/>
        </w:rPr>
      </w:pPr>
    </w:p>
    <w:p w14:paraId="2885D64D" w14:textId="14EE8774" w:rsidR="00F829D8" w:rsidRPr="00466991" w:rsidRDefault="00F829D8" w:rsidP="00466991">
      <w:pPr>
        <w:jc w:val="both"/>
        <w:rPr>
          <w:rFonts w:cs="Times New Roman"/>
        </w:rPr>
      </w:pPr>
      <w:r w:rsidRPr="00466991">
        <w:rPr>
          <w:rFonts w:cs="Times New Roman"/>
        </w:rPr>
        <w:t>Organisation for Economic Cooperation and Development, OECD (2015). Data on income distribution and poverty, http://stats.oecd.org/Index.aspx?DataSetCode=IDD</w:t>
      </w:r>
    </w:p>
    <w:p w14:paraId="1DAEDF0A" w14:textId="77777777" w:rsidR="00F8731E" w:rsidRPr="00466991" w:rsidRDefault="00F8731E" w:rsidP="00466991">
      <w:pPr>
        <w:rPr>
          <w:rFonts w:cs="Times New Roman"/>
          <w:lang w:val="en-GB"/>
        </w:rPr>
      </w:pPr>
    </w:p>
    <w:p w14:paraId="4D436518" w14:textId="0B28589A" w:rsidR="00B726C0" w:rsidRPr="00466991" w:rsidRDefault="00B726C0" w:rsidP="00466991">
      <w:pPr>
        <w:rPr>
          <w:rFonts w:cs="Times New Roman"/>
          <w:lang w:val="en-GB"/>
        </w:rPr>
      </w:pPr>
      <w:r w:rsidRPr="00466991">
        <w:rPr>
          <w:rFonts w:cs="Times New Roman"/>
          <w:lang w:val="en-GB"/>
        </w:rPr>
        <w:t xml:space="preserve">Organisation for Economic Cooperation and Development, OECD (2016). </w:t>
      </w:r>
      <w:r w:rsidRPr="00466991">
        <w:rPr>
          <w:rFonts w:cs="Times New Roman"/>
          <w:i/>
          <w:lang w:val="en-GB"/>
        </w:rPr>
        <w:t>Education at a Glance, 2016</w:t>
      </w:r>
      <w:r w:rsidRPr="00466991">
        <w:rPr>
          <w:rFonts w:cs="Times New Roman"/>
          <w:lang w:val="en-GB"/>
        </w:rPr>
        <w:t>. Paris: OECD.</w:t>
      </w:r>
    </w:p>
    <w:p w14:paraId="2D8A152C" w14:textId="77777777" w:rsidR="00B726C0" w:rsidRPr="00466991" w:rsidRDefault="00B726C0" w:rsidP="00466991">
      <w:pPr>
        <w:rPr>
          <w:rFonts w:cs="Times New Roman"/>
          <w:lang w:val="en-GB"/>
        </w:rPr>
      </w:pPr>
    </w:p>
    <w:p w14:paraId="7F799E88" w14:textId="4F4DA657" w:rsidR="00F829D8" w:rsidRPr="00466991" w:rsidRDefault="00466991" w:rsidP="00466991">
      <w:pPr>
        <w:jc w:val="both"/>
        <w:rPr>
          <w:rFonts w:cs="Times New Roman"/>
        </w:rPr>
      </w:pPr>
      <w:r>
        <w:rPr>
          <w:rFonts w:cs="Times New Roman"/>
        </w:rPr>
        <w:t>Organis</w:t>
      </w:r>
      <w:r w:rsidR="00F829D8" w:rsidRPr="00466991">
        <w:rPr>
          <w:rFonts w:cs="Times New Roman"/>
        </w:rPr>
        <w:t xml:space="preserve">ation for Economic Cooperation and Development, OECD (2016). </w:t>
      </w:r>
      <w:r w:rsidR="00F829D8" w:rsidRPr="00466991">
        <w:rPr>
          <w:rFonts w:cs="Times New Roman"/>
          <w:i/>
        </w:rPr>
        <w:t>Perspectives on Global Development 2017: International migration in a shifting world</w:t>
      </w:r>
      <w:r w:rsidR="00F829D8" w:rsidRPr="00466991">
        <w:rPr>
          <w:rFonts w:cs="Times New Roman"/>
        </w:rPr>
        <w:t>. Paris: OECD.</w:t>
      </w:r>
    </w:p>
    <w:p w14:paraId="77C3C6B5" w14:textId="77777777" w:rsidR="00F829D8" w:rsidRPr="00466991" w:rsidRDefault="00F829D8" w:rsidP="00466991">
      <w:pPr>
        <w:pStyle w:val="Bodytext0"/>
        <w:ind w:firstLine="0"/>
        <w:jc w:val="both"/>
        <w:rPr>
          <w:rFonts w:asciiTheme="minorHAnsi" w:hAnsiTheme="minorHAnsi" w:cs="Times New Roman"/>
        </w:rPr>
      </w:pPr>
    </w:p>
    <w:p w14:paraId="31317F75" w14:textId="77777777" w:rsidR="00C75D64" w:rsidRPr="00466991" w:rsidRDefault="00C75D64" w:rsidP="00466991">
      <w:pPr>
        <w:widowControl w:val="0"/>
        <w:autoSpaceDE w:val="0"/>
        <w:autoSpaceDN w:val="0"/>
        <w:adjustRightInd w:val="0"/>
      </w:pPr>
      <w:r w:rsidRPr="00466991">
        <w:t>The PELL Institute (2015). Indicators of Higher Education Equity in the United States. Co-published with PennAHEAD, Graduate School of Education, University of Pennsylvania. http://www.pellinstitute.org/downloads/publications-Indicators_of_Higher_Education_Equity_in_the_US_45_Year_Trend_Report.pdf</w:t>
      </w:r>
    </w:p>
    <w:p w14:paraId="52F36B31" w14:textId="77777777" w:rsidR="00C75D64" w:rsidRPr="00466991" w:rsidRDefault="00C75D64" w:rsidP="00466991">
      <w:pPr>
        <w:widowControl w:val="0"/>
        <w:autoSpaceDE w:val="0"/>
        <w:autoSpaceDN w:val="0"/>
        <w:adjustRightInd w:val="0"/>
      </w:pPr>
    </w:p>
    <w:p w14:paraId="37575141" w14:textId="77777777" w:rsidR="00B726C0" w:rsidRPr="00466991" w:rsidRDefault="00B726C0" w:rsidP="00466991">
      <w:pPr>
        <w:pStyle w:val="Bodytext0"/>
        <w:ind w:firstLine="0"/>
        <w:jc w:val="both"/>
        <w:rPr>
          <w:rFonts w:asciiTheme="minorHAnsi" w:hAnsiTheme="minorHAnsi" w:cs="Times New Roman"/>
        </w:rPr>
      </w:pPr>
      <w:r w:rsidRPr="00466991">
        <w:rPr>
          <w:rFonts w:asciiTheme="minorHAnsi" w:hAnsiTheme="minorHAnsi" w:cs="Times New Roman"/>
        </w:rPr>
        <w:t xml:space="preserve">Piketty, T. (2014). </w:t>
      </w:r>
      <w:r w:rsidRPr="00466991">
        <w:rPr>
          <w:rStyle w:val="Italics"/>
          <w:rFonts w:asciiTheme="minorHAnsi" w:hAnsiTheme="minorHAnsi" w:cs="Times New Roman"/>
        </w:rPr>
        <w:t>Capital in the Twenty-First Century</w:t>
      </w:r>
      <w:r w:rsidRPr="00466991">
        <w:rPr>
          <w:rFonts w:asciiTheme="minorHAnsi" w:hAnsiTheme="minorHAnsi" w:cs="Times New Roman"/>
        </w:rPr>
        <w:t>. Trans. A. Goldhammer. Cambridge, MA: Belknap Harvard University Press.</w:t>
      </w:r>
    </w:p>
    <w:p w14:paraId="2BD50AD3" w14:textId="77777777" w:rsidR="00B726C0" w:rsidRPr="00466991" w:rsidRDefault="00B726C0" w:rsidP="00466991">
      <w:pPr>
        <w:pStyle w:val="Bodytext0"/>
        <w:ind w:firstLine="0"/>
        <w:jc w:val="both"/>
        <w:rPr>
          <w:rFonts w:asciiTheme="minorHAnsi" w:hAnsiTheme="minorHAnsi" w:cs="Times New Roman"/>
        </w:rPr>
      </w:pPr>
    </w:p>
    <w:p w14:paraId="21DE59A9" w14:textId="77777777" w:rsidR="00F829D8" w:rsidRPr="00466991" w:rsidRDefault="00F829D8" w:rsidP="00466991">
      <w:pPr>
        <w:widowControl w:val="0"/>
        <w:autoSpaceDE w:val="0"/>
        <w:autoSpaceDN w:val="0"/>
        <w:adjustRightInd w:val="0"/>
        <w:jc w:val="both"/>
        <w:rPr>
          <w:rFonts w:cs="Times New Roman"/>
          <w:color w:val="000000" w:themeColor="text1"/>
        </w:rPr>
      </w:pPr>
      <w:r w:rsidRPr="00466991">
        <w:rPr>
          <w:rFonts w:cs="Times New Roman"/>
          <w:color w:val="000000" w:themeColor="text1"/>
        </w:rPr>
        <w:t xml:space="preserve">Rivera, L. (2015). </w:t>
      </w:r>
      <w:r w:rsidRPr="00466991">
        <w:rPr>
          <w:rFonts w:cs="Times New Roman"/>
          <w:i/>
          <w:color w:val="000000" w:themeColor="text1"/>
        </w:rPr>
        <w:t>Pedigree: How elite students get elite jobs</w:t>
      </w:r>
      <w:r w:rsidRPr="00466991">
        <w:rPr>
          <w:rFonts w:cs="Times New Roman"/>
          <w:color w:val="000000" w:themeColor="text1"/>
        </w:rPr>
        <w:t>. Princeton, NJ: Princeton University Press.</w:t>
      </w:r>
    </w:p>
    <w:p w14:paraId="4CDB7846" w14:textId="77777777" w:rsidR="00F829D8" w:rsidRPr="00466991" w:rsidRDefault="00F829D8" w:rsidP="00466991">
      <w:pPr>
        <w:widowControl w:val="0"/>
        <w:autoSpaceDE w:val="0"/>
        <w:autoSpaceDN w:val="0"/>
        <w:adjustRightInd w:val="0"/>
        <w:jc w:val="both"/>
        <w:rPr>
          <w:rFonts w:cs="Times New Roman"/>
        </w:rPr>
      </w:pPr>
    </w:p>
    <w:p w14:paraId="1435A57F" w14:textId="77777777" w:rsidR="00F829D8" w:rsidRPr="00466991" w:rsidRDefault="00F829D8" w:rsidP="00466991">
      <w:pPr>
        <w:jc w:val="both"/>
        <w:rPr>
          <w:rFonts w:cs="Times New Roman"/>
          <w:color w:val="000000" w:themeColor="text1"/>
        </w:rPr>
      </w:pPr>
      <w:r w:rsidRPr="00466991">
        <w:rPr>
          <w:rFonts w:cs="Times New Roman"/>
          <w:color w:val="000000" w:themeColor="text1"/>
        </w:rPr>
        <w:t>Roksa, J. (2005). Double disadvantage or blessing in disguise? Understanding the relationship between college major and employment sector. Sociology of Education, 78 (3), pp. 207-232.</w:t>
      </w:r>
    </w:p>
    <w:p w14:paraId="691AA917" w14:textId="77777777" w:rsidR="00F829D8" w:rsidRPr="00466991" w:rsidRDefault="00F829D8" w:rsidP="00466991">
      <w:pPr>
        <w:pStyle w:val="Bibliogentry"/>
        <w:ind w:left="0" w:firstLine="0"/>
        <w:rPr>
          <w:rFonts w:asciiTheme="minorHAnsi" w:hAnsiTheme="minorHAnsi" w:cs="Times New Roman"/>
        </w:rPr>
      </w:pPr>
    </w:p>
    <w:p w14:paraId="6A227711" w14:textId="77777777" w:rsidR="00F829D8" w:rsidRPr="00466991" w:rsidRDefault="00F829D8" w:rsidP="00466991">
      <w:pPr>
        <w:widowControl w:val="0"/>
        <w:autoSpaceDE w:val="0"/>
        <w:autoSpaceDN w:val="0"/>
        <w:adjustRightInd w:val="0"/>
        <w:jc w:val="both"/>
        <w:rPr>
          <w:rFonts w:cs="Times New Roman"/>
        </w:rPr>
      </w:pPr>
      <w:r w:rsidRPr="00466991">
        <w:rPr>
          <w:rFonts w:cs="Times New Roman"/>
        </w:rPr>
        <w:t xml:space="preserve">Roksa, J., Grodsky, E., Arum, R., and Gamoran, A. (2007). United States: Changes in higher education and social stratification. In Y. Shavit, R. Arum and A. Gamoran (eds.), </w:t>
      </w:r>
      <w:r w:rsidRPr="00466991">
        <w:rPr>
          <w:rFonts w:cs="Times New Roman"/>
          <w:i/>
        </w:rPr>
        <w:t>Stratification in Higher Education: A contemporary study</w:t>
      </w:r>
      <w:r w:rsidRPr="00466991">
        <w:rPr>
          <w:rFonts w:cs="Times New Roman"/>
        </w:rPr>
        <w:t xml:space="preserve"> (pp. 165-191). Stanford: Stanford University Press.</w:t>
      </w:r>
    </w:p>
    <w:p w14:paraId="473EBCBD" w14:textId="77777777" w:rsidR="00F829D8" w:rsidRPr="00466991" w:rsidRDefault="00F829D8" w:rsidP="00466991">
      <w:pPr>
        <w:jc w:val="both"/>
        <w:rPr>
          <w:rFonts w:cs="Times New Roman"/>
          <w:color w:val="000000" w:themeColor="text1"/>
        </w:rPr>
      </w:pPr>
    </w:p>
    <w:p w14:paraId="715C551E" w14:textId="77777777" w:rsidR="00F829D8" w:rsidRPr="00466991" w:rsidRDefault="00F829D8" w:rsidP="00466991">
      <w:pPr>
        <w:jc w:val="both"/>
        <w:rPr>
          <w:rFonts w:cs="Times New Roman"/>
        </w:rPr>
      </w:pPr>
      <w:r w:rsidRPr="00466991">
        <w:rPr>
          <w:rFonts w:cs="Times New Roman"/>
        </w:rPr>
        <w:t xml:space="preserve">Saez, E., 2013. </w:t>
      </w:r>
      <w:r w:rsidRPr="00466991">
        <w:rPr>
          <w:rFonts w:cs="Times New Roman"/>
          <w:i/>
        </w:rPr>
        <w:t>Striking it Richer. The evolution of top incomes in the United States</w:t>
      </w:r>
      <w:r w:rsidRPr="00466991">
        <w:rPr>
          <w:rFonts w:cs="Times New Roman"/>
        </w:rPr>
        <w:t>. University of California, Berkeley, Department of Economics, Berkeley. http://eml.berkeley.edu//~saez/saez-UStopincomes-2012.pdf</w:t>
      </w:r>
    </w:p>
    <w:p w14:paraId="7E3A5EE6" w14:textId="77777777" w:rsidR="00F829D8" w:rsidRPr="00466991" w:rsidRDefault="00F829D8" w:rsidP="00466991">
      <w:pPr>
        <w:pStyle w:val="Bibliogentry"/>
        <w:ind w:left="0" w:firstLine="0"/>
        <w:rPr>
          <w:rFonts w:asciiTheme="minorHAnsi" w:hAnsiTheme="minorHAnsi" w:cs="Times New Roman"/>
        </w:rPr>
      </w:pPr>
    </w:p>
    <w:p w14:paraId="3E7D1FE9" w14:textId="77777777" w:rsidR="00466991" w:rsidRPr="00466991" w:rsidRDefault="00466991" w:rsidP="00466991">
      <w:pPr>
        <w:spacing w:line="276" w:lineRule="auto"/>
        <w:jc w:val="both"/>
        <w:rPr>
          <w:rFonts w:cs="Times New Roman"/>
        </w:rPr>
      </w:pPr>
      <w:r w:rsidRPr="00466991">
        <w:rPr>
          <w:rFonts w:cs="Times New Roman"/>
        </w:rPr>
        <w:t xml:space="preserve">Swales, K. (2016). </w:t>
      </w:r>
      <w:r w:rsidRPr="00466991">
        <w:rPr>
          <w:rFonts w:cs="Times New Roman"/>
          <w:i/>
        </w:rPr>
        <w:t>Understanding the Leave Vote</w:t>
      </w:r>
      <w:r w:rsidRPr="00466991">
        <w:rPr>
          <w:rFonts w:cs="Times New Roman"/>
        </w:rPr>
        <w:t>. London: NatCen and The UK in a Changing Europe. http://natcen.ac.uk/our-research/research/understanding-the-leave-vote/</w:t>
      </w:r>
    </w:p>
    <w:p w14:paraId="613E1079" w14:textId="77777777" w:rsidR="00466991" w:rsidRPr="00466991" w:rsidRDefault="00466991" w:rsidP="00466991">
      <w:pPr>
        <w:jc w:val="both"/>
        <w:rPr>
          <w:rFonts w:cs="Times New Roman"/>
        </w:rPr>
      </w:pPr>
    </w:p>
    <w:p w14:paraId="072EFE26" w14:textId="77777777" w:rsidR="00F829D8" w:rsidRPr="00466991" w:rsidRDefault="00F829D8" w:rsidP="00466991">
      <w:pPr>
        <w:jc w:val="both"/>
        <w:rPr>
          <w:rFonts w:cs="Times New Roman"/>
        </w:rPr>
      </w:pPr>
      <w:r w:rsidRPr="00466991">
        <w:rPr>
          <w:rFonts w:cs="Times New Roman"/>
        </w:rPr>
        <w:t xml:space="preserve">Teichler, U. (2009). </w:t>
      </w:r>
      <w:r w:rsidRPr="00466991">
        <w:rPr>
          <w:rFonts w:cs="Times New Roman"/>
          <w:i/>
        </w:rPr>
        <w:t>Higher Education and the World of Work: Conceptual frameworks, comparative perspectives, empirical findings</w:t>
      </w:r>
      <w:r w:rsidRPr="00466991">
        <w:rPr>
          <w:rFonts w:cs="Times New Roman"/>
        </w:rPr>
        <w:t>. Rotterdam: Sense Publishers.</w:t>
      </w:r>
    </w:p>
    <w:p w14:paraId="1BC78DD0" w14:textId="77777777" w:rsidR="00F829D8" w:rsidRPr="00466991" w:rsidRDefault="00F829D8" w:rsidP="00466991">
      <w:pPr>
        <w:jc w:val="both"/>
        <w:rPr>
          <w:rFonts w:cs="Times New Roman"/>
        </w:rPr>
      </w:pPr>
    </w:p>
    <w:p w14:paraId="286B8C49" w14:textId="77777777" w:rsidR="00F829D8" w:rsidRPr="00466991" w:rsidRDefault="00F829D8" w:rsidP="00466991">
      <w:pPr>
        <w:jc w:val="both"/>
        <w:rPr>
          <w:rFonts w:cs="Times New Roman"/>
          <w:iCs/>
        </w:rPr>
      </w:pPr>
      <w:r w:rsidRPr="00466991">
        <w:rPr>
          <w:rFonts w:cs="Times New Roman"/>
        </w:rPr>
        <w:t xml:space="preserve">Tholen, G., Brown, P., Power, S. and Allouch, A. (2013). The role of networks and connections in educational elites’ labour market entrance. </w:t>
      </w:r>
      <w:r w:rsidRPr="00466991">
        <w:rPr>
          <w:rFonts w:cs="Times New Roman"/>
          <w:i/>
          <w:iCs/>
        </w:rPr>
        <w:t>Research in Social Stratification and Mobility</w:t>
      </w:r>
      <w:r w:rsidRPr="00466991">
        <w:rPr>
          <w:rFonts w:cs="Times New Roman"/>
          <w:iCs/>
        </w:rPr>
        <w:t>, 34, pp. 142–154.</w:t>
      </w:r>
    </w:p>
    <w:p w14:paraId="40F18923" w14:textId="77777777" w:rsidR="00F829D8" w:rsidRPr="00466991" w:rsidRDefault="00F829D8" w:rsidP="00466991">
      <w:pPr>
        <w:jc w:val="both"/>
        <w:rPr>
          <w:rFonts w:cs="Times New Roman"/>
        </w:rPr>
      </w:pPr>
    </w:p>
    <w:p w14:paraId="01E249D6" w14:textId="77777777" w:rsidR="00F829D8" w:rsidRPr="00466991" w:rsidRDefault="00F829D8" w:rsidP="00466991">
      <w:pPr>
        <w:jc w:val="both"/>
        <w:rPr>
          <w:rFonts w:cs="Times New Roman"/>
        </w:rPr>
      </w:pPr>
      <w:r w:rsidRPr="00466991">
        <w:rPr>
          <w:rFonts w:cs="Times New Roman"/>
        </w:rPr>
        <w:t xml:space="preserve">Triventi, M. (2013). The role of higher education stratification in the reproduction of social inequality in the labor market. </w:t>
      </w:r>
      <w:r w:rsidRPr="00466991">
        <w:rPr>
          <w:rFonts w:cs="Times New Roman"/>
          <w:i/>
        </w:rPr>
        <w:t>Research in Social Stratification and Mobility</w:t>
      </w:r>
      <w:r w:rsidRPr="00466991">
        <w:rPr>
          <w:rFonts w:cs="Times New Roman"/>
        </w:rPr>
        <w:t xml:space="preserve">, </w:t>
      </w:r>
      <w:r w:rsidRPr="00466991">
        <w:rPr>
          <w:rFonts w:cs="Times New Roman"/>
          <w:i/>
        </w:rPr>
        <w:t>32</w:t>
      </w:r>
      <w:r w:rsidRPr="00466991">
        <w:rPr>
          <w:rFonts w:cs="Times New Roman"/>
        </w:rPr>
        <w:t>, pp. 45–63.</w:t>
      </w:r>
    </w:p>
    <w:p w14:paraId="7A409CAD" w14:textId="77777777" w:rsidR="00F829D8" w:rsidRPr="00466991" w:rsidRDefault="00F829D8" w:rsidP="00466991">
      <w:pPr>
        <w:jc w:val="both"/>
        <w:rPr>
          <w:rFonts w:cs="Times New Roman"/>
        </w:rPr>
      </w:pPr>
    </w:p>
    <w:p w14:paraId="61373516" w14:textId="77777777" w:rsidR="00F829D8" w:rsidRPr="00466991" w:rsidRDefault="00F829D8" w:rsidP="00466991">
      <w:pPr>
        <w:jc w:val="both"/>
        <w:rPr>
          <w:rFonts w:cs="Times New Roman"/>
        </w:rPr>
      </w:pPr>
      <w:r w:rsidRPr="00466991">
        <w:rPr>
          <w:rFonts w:cs="Times New Roman"/>
        </w:rPr>
        <w:t xml:space="preserve">Trow, M. (1973). </w:t>
      </w:r>
      <w:r w:rsidRPr="00466991">
        <w:rPr>
          <w:rFonts w:cs="Times New Roman"/>
          <w:i/>
        </w:rPr>
        <w:t>Problems in the Transition from Elite to Mass Higher Education</w:t>
      </w:r>
      <w:r w:rsidRPr="00466991">
        <w:rPr>
          <w:rFonts w:cs="Times New Roman"/>
        </w:rPr>
        <w:t>. Berkeley, CA: Carnegie Commission on Higher Education.</w:t>
      </w:r>
    </w:p>
    <w:p w14:paraId="1DFC7C7D" w14:textId="77777777" w:rsidR="00F829D8" w:rsidRPr="00466991" w:rsidRDefault="00F829D8" w:rsidP="00466991">
      <w:pPr>
        <w:pStyle w:val="Bibliogentry"/>
        <w:ind w:left="0" w:firstLine="0"/>
        <w:rPr>
          <w:rFonts w:asciiTheme="minorHAnsi" w:hAnsiTheme="minorHAnsi" w:cs="Times New Roman"/>
        </w:rPr>
      </w:pPr>
    </w:p>
    <w:p w14:paraId="11EBCC55" w14:textId="77777777" w:rsidR="00F829D8" w:rsidRPr="00466991" w:rsidRDefault="00F829D8" w:rsidP="00466991">
      <w:pPr>
        <w:jc w:val="both"/>
        <w:rPr>
          <w:rFonts w:cs="Times New Roman"/>
        </w:rPr>
      </w:pPr>
      <w:r w:rsidRPr="00466991">
        <w:rPr>
          <w:rFonts w:cs="Times New Roman"/>
        </w:rPr>
        <w:t xml:space="preserve">United Nations (2014). </w:t>
      </w:r>
      <w:r w:rsidRPr="00466991">
        <w:rPr>
          <w:rFonts w:cs="Times New Roman"/>
          <w:bCs/>
          <w:color w:val="313131"/>
        </w:rPr>
        <w:t xml:space="preserve">World’s population increasingly urban with more than half living in urban areas. </w:t>
      </w:r>
      <w:r w:rsidRPr="00466991">
        <w:rPr>
          <w:rFonts w:cs="Times New Roman"/>
        </w:rPr>
        <w:t xml:space="preserve"> </w:t>
      </w:r>
      <w:hyperlink r:id="rId7" w:history="1">
        <w:r w:rsidRPr="00466991">
          <w:rPr>
            <w:rStyle w:val="Hyperlink"/>
            <w:rFonts w:cs="Times New Roman"/>
          </w:rPr>
          <w:t>http://www.un.org/en/development/desa/news/population/world-urbanization-prospects-2014.html</w:t>
        </w:r>
      </w:hyperlink>
      <w:r w:rsidRPr="00466991">
        <w:rPr>
          <w:rFonts w:cs="Times New Roman"/>
        </w:rPr>
        <w:t xml:space="preserve"> </w:t>
      </w:r>
    </w:p>
    <w:p w14:paraId="18AA3641" w14:textId="77777777" w:rsidR="00F829D8" w:rsidRPr="00466991" w:rsidRDefault="00F829D8" w:rsidP="00466991">
      <w:pPr>
        <w:jc w:val="both"/>
        <w:rPr>
          <w:rFonts w:cs="Times New Roman"/>
        </w:rPr>
      </w:pPr>
    </w:p>
    <w:p w14:paraId="1E0A9C2B" w14:textId="77777777" w:rsidR="00F829D8" w:rsidRPr="00466991" w:rsidRDefault="00F829D8" w:rsidP="00466991">
      <w:pPr>
        <w:jc w:val="both"/>
        <w:rPr>
          <w:rFonts w:cs="Times New Roman"/>
        </w:rPr>
      </w:pPr>
      <w:r w:rsidRPr="00466991">
        <w:rPr>
          <w:rFonts w:cs="Times New Roman"/>
        </w:rPr>
        <w:t xml:space="preserve">United Nations Department of Educational and Social Affairs (UNDESA). (2012). </w:t>
      </w:r>
      <w:r w:rsidRPr="00466991">
        <w:rPr>
          <w:rFonts w:cs="Times New Roman"/>
          <w:i/>
        </w:rPr>
        <w:t>World Urbanization Prospects: The 2011 revision</w:t>
      </w:r>
      <w:r w:rsidRPr="00466991">
        <w:rPr>
          <w:rFonts w:cs="Times New Roman"/>
        </w:rPr>
        <w:t>. New York: United Nations.</w:t>
      </w:r>
    </w:p>
    <w:p w14:paraId="1815D572" w14:textId="77777777" w:rsidR="00F829D8" w:rsidRPr="00466991" w:rsidRDefault="00F829D8" w:rsidP="00466991">
      <w:pPr>
        <w:pStyle w:val="Bibliogentry"/>
        <w:ind w:left="0" w:firstLine="0"/>
        <w:rPr>
          <w:rFonts w:asciiTheme="minorHAnsi" w:hAnsiTheme="minorHAnsi" w:cs="Times New Roman"/>
        </w:rPr>
      </w:pPr>
    </w:p>
    <w:p w14:paraId="6439C3D8" w14:textId="77777777" w:rsidR="00B726C0" w:rsidRPr="00466991" w:rsidRDefault="00B726C0" w:rsidP="00466991">
      <w:pPr>
        <w:pStyle w:val="Bibliogentry"/>
        <w:ind w:left="0" w:firstLine="0"/>
        <w:rPr>
          <w:rFonts w:asciiTheme="minorHAnsi" w:hAnsiTheme="minorHAnsi" w:cs="Times New Roman"/>
        </w:rPr>
      </w:pPr>
      <w:r w:rsidRPr="00466991">
        <w:rPr>
          <w:rFonts w:asciiTheme="minorHAnsi" w:hAnsiTheme="minorHAnsi" w:cs="Times New Roman"/>
        </w:rPr>
        <w:t>United Nations Educational, Social and Cultural Organization, UNESCO (2017). UNESCO Institute for Statistics data on education. http://data.uis.unesco.org</w:t>
      </w:r>
    </w:p>
    <w:p w14:paraId="171B32AD" w14:textId="77777777" w:rsidR="00B726C0" w:rsidRPr="00466991" w:rsidRDefault="00B726C0" w:rsidP="00466991">
      <w:pPr>
        <w:pStyle w:val="Bodytext0"/>
        <w:ind w:firstLine="0"/>
        <w:jc w:val="both"/>
        <w:rPr>
          <w:rFonts w:asciiTheme="minorHAnsi" w:hAnsiTheme="minorHAnsi" w:cs="Times New Roman"/>
        </w:rPr>
      </w:pPr>
    </w:p>
    <w:p w14:paraId="778291D7" w14:textId="3C13D3B6" w:rsidR="00F8731E" w:rsidRPr="00466991" w:rsidRDefault="00B726C0" w:rsidP="00466991">
      <w:pPr>
        <w:pStyle w:val="Bodytext0"/>
        <w:ind w:firstLine="0"/>
        <w:jc w:val="both"/>
        <w:rPr>
          <w:rFonts w:asciiTheme="minorHAnsi" w:hAnsiTheme="minorHAnsi" w:cs="Times New Roman"/>
        </w:rPr>
      </w:pPr>
      <w:r w:rsidRPr="00466991">
        <w:rPr>
          <w:rFonts w:asciiTheme="minorHAnsi" w:hAnsiTheme="minorHAnsi" w:cs="Times New Roman"/>
        </w:rPr>
        <w:t>World Bank (2017). Data and statistics. http://data.worldbank.org</w:t>
      </w:r>
    </w:p>
    <w:sectPr w:rsidR="00F8731E" w:rsidRPr="00466991" w:rsidSect="00D700C4">
      <w:headerReference w:type="even" r:id="rId8"/>
      <w:head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ADF7A" w14:textId="77777777" w:rsidR="00394A9E" w:rsidRDefault="00394A9E" w:rsidP="0048450E">
      <w:r>
        <w:separator/>
      </w:r>
    </w:p>
  </w:endnote>
  <w:endnote w:type="continuationSeparator" w:id="0">
    <w:p w14:paraId="416001F3" w14:textId="77777777" w:rsidR="00394A9E" w:rsidRDefault="00394A9E" w:rsidP="0048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Consolas">
    <w:panose1 w:val="020B0609020204030204"/>
    <w:charset w:val="00"/>
    <w:family w:val="auto"/>
    <w:pitch w:val="variable"/>
    <w:sig w:usb0="E10002FF" w:usb1="4000FCFF" w:usb2="00000009" w:usb3="00000000" w:csb0="0000019F" w:csb1="00000000"/>
  </w:font>
  <w:font w:name="Gill Sans">
    <w:panose1 w:val="020B0502020104020203"/>
    <w:charset w:val="00"/>
    <w:family w:val="auto"/>
    <w:pitch w:val="variable"/>
    <w:sig w:usb0="80000267" w:usb1="00000000" w:usb2="00000000" w:usb3="00000000" w:csb0="000001F7" w:csb1="00000000"/>
  </w:font>
  <w:font w:name="MS Gothic">
    <w:panose1 w:val="020B0609070205080204"/>
    <w:charset w:val="80"/>
    <w:family w:val="auto"/>
    <w:pitch w:val="variable"/>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C0D93" w14:textId="77777777" w:rsidR="00394A9E" w:rsidRDefault="00394A9E" w:rsidP="0048450E">
      <w:r>
        <w:separator/>
      </w:r>
    </w:p>
  </w:footnote>
  <w:footnote w:type="continuationSeparator" w:id="0">
    <w:p w14:paraId="1878EF29" w14:textId="77777777" w:rsidR="00394A9E" w:rsidRDefault="00394A9E" w:rsidP="004845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79950" w14:textId="77777777" w:rsidR="00E631CC" w:rsidRDefault="00E631CC" w:rsidP="003E07AC">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CDB1B8" w14:textId="77777777" w:rsidR="00E631CC" w:rsidRDefault="00E631C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FFC2B" w14:textId="77777777" w:rsidR="00E631CC" w:rsidRDefault="00E631CC" w:rsidP="003E07AC">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3C22">
      <w:rPr>
        <w:rStyle w:val="PageNumber"/>
        <w:noProof/>
      </w:rPr>
      <w:t>17</w:t>
    </w:r>
    <w:r>
      <w:rPr>
        <w:rStyle w:val="PageNumber"/>
      </w:rPr>
      <w:fldChar w:fldCharType="end"/>
    </w:r>
  </w:p>
  <w:p w14:paraId="72D9D9A8" w14:textId="77777777" w:rsidR="00E631CC" w:rsidRDefault="00E631C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1E54"/>
    <w:multiLevelType w:val="hybridMultilevel"/>
    <w:tmpl w:val="2390C104"/>
    <w:lvl w:ilvl="0" w:tplc="C9E4A922">
      <w:start w:val="4"/>
      <w:numFmt w:val="decimal"/>
      <w:lvlText w:val="%1."/>
      <w:lvlJc w:val="left"/>
      <w:pPr>
        <w:ind w:left="1146" w:hanging="360"/>
      </w:pPr>
      <w:rPr>
        <w:rFonts w:hint="default"/>
        <w:u w:val="singl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5A37657"/>
    <w:multiLevelType w:val="multilevel"/>
    <w:tmpl w:val="76F28F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C8741F6"/>
    <w:multiLevelType w:val="hybridMultilevel"/>
    <w:tmpl w:val="61CE95B2"/>
    <w:lvl w:ilvl="0" w:tplc="58F6294E">
      <w:start w:val="1"/>
      <w:numFmt w:val="decimal"/>
      <w:lvlText w:val="%1."/>
      <w:lvlJc w:val="left"/>
      <w:pPr>
        <w:tabs>
          <w:tab w:val="num" w:pos="720"/>
        </w:tabs>
        <w:ind w:left="720" w:hanging="360"/>
      </w:pPr>
    </w:lvl>
    <w:lvl w:ilvl="1" w:tplc="0BB45BD4" w:tentative="1">
      <w:start w:val="1"/>
      <w:numFmt w:val="decimal"/>
      <w:lvlText w:val="%2."/>
      <w:lvlJc w:val="left"/>
      <w:pPr>
        <w:tabs>
          <w:tab w:val="num" w:pos="1440"/>
        </w:tabs>
        <w:ind w:left="1440" w:hanging="360"/>
      </w:pPr>
    </w:lvl>
    <w:lvl w:ilvl="2" w:tplc="64ACBA0E" w:tentative="1">
      <w:start w:val="1"/>
      <w:numFmt w:val="decimal"/>
      <w:lvlText w:val="%3."/>
      <w:lvlJc w:val="left"/>
      <w:pPr>
        <w:tabs>
          <w:tab w:val="num" w:pos="2160"/>
        </w:tabs>
        <w:ind w:left="2160" w:hanging="360"/>
      </w:pPr>
    </w:lvl>
    <w:lvl w:ilvl="3" w:tplc="5C348C58" w:tentative="1">
      <w:start w:val="1"/>
      <w:numFmt w:val="decimal"/>
      <w:lvlText w:val="%4."/>
      <w:lvlJc w:val="left"/>
      <w:pPr>
        <w:tabs>
          <w:tab w:val="num" w:pos="2880"/>
        </w:tabs>
        <w:ind w:left="2880" w:hanging="360"/>
      </w:pPr>
    </w:lvl>
    <w:lvl w:ilvl="4" w:tplc="B5EEE1CA" w:tentative="1">
      <w:start w:val="1"/>
      <w:numFmt w:val="decimal"/>
      <w:lvlText w:val="%5."/>
      <w:lvlJc w:val="left"/>
      <w:pPr>
        <w:tabs>
          <w:tab w:val="num" w:pos="3600"/>
        </w:tabs>
        <w:ind w:left="3600" w:hanging="360"/>
      </w:pPr>
    </w:lvl>
    <w:lvl w:ilvl="5" w:tplc="AE0A637A" w:tentative="1">
      <w:start w:val="1"/>
      <w:numFmt w:val="decimal"/>
      <w:lvlText w:val="%6."/>
      <w:lvlJc w:val="left"/>
      <w:pPr>
        <w:tabs>
          <w:tab w:val="num" w:pos="4320"/>
        </w:tabs>
        <w:ind w:left="4320" w:hanging="360"/>
      </w:pPr>
    </w:lvl>
    <w:lvl w:ilvl="6" w:tplc="9B42B088" w:tentative="1">
      <w:start w:val="1"/>
      <w:numFmt w:val="decimal"/>
      <w:lvlText w:val="%7."/>
      <w:lvlJc w:val="left"/>
      <w:pPr>
        <w:tabs>
          <w:tab w:val="num" w:pos="5040"/>
        </w:tabs>
        <w:ind w:left="5040" w:hanging="360"/>
      </w:pPr>
    </w:lvl>
    <w:lvl w:ilvl="7" w:tplc="DE969F88" w:tentative="1">
      <w:start w:val="1"/>
      <w:numFmt w:val="decimal"/>
      <w:lvlText w:val="%8."/>
      <w:lvlJc w:val="left"/>
      <w:pPr>
        <w:tabs>
          <w:tab w:val="num" w:pos="5760"/>
        </w:tabs>
        <w:ind w:left="5760" w:hanging="360"/>
      </w:pPr>
    </w:lvl>
    <w:lvl w:ilvl="8" w:tplc="9FCCE45C" w:tentative="1">
      <w:start w:val="1"/>
      <w:numFmt w:val="decimal"/>
      <w:lvlText w:val="%9."/>
      <w:lvlJc w:val="left"/>
      <w:pPr>
        <w:tabs>
          <w:tab w:val="num" w:pos="6480"/>
        </w:tabs>
        <w:ind w:left="6480" w:hanging="360"/>
      </w:pPr>
    </w:lvl>
  </w:abstractNum>
  <w:abstractNum w:abstractNumId="3">
    <w:nsid w:val="0F933A5D"/>
    <w:multiLevelType w:val="hybridMultilevel"/>
    <w:tmpl w:val="07C8FF7C"/>
    <w:lvl w:ilvl="0" w:tplc="9E34BF7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F564E"/>
    <w:multiLevelType w:val="hybridMultilevel"/>
    <w:tmpl w:val="6512B8BA"/>
    <w:lvl w:ilvl="0" w:tplc="5F7203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03F3B"/>
    <w:multiLevelType w:val="multilevel"/>
    <w:tmpl w:val="661A7F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4F51CD7"/>
    <w:multiLevelType w:val="hybridMultilevel"/>
    <w:tmpl w:val="477A7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5330C"/>
    <w:multiLevelType w:val="multilevel"/>
    <w:tmpl w:val="0540D4A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F1640FA"/>
    <w:multiLevelType w:val="hybridMultilevel"/>
    <w:tmpl w:val="0EF8AA60"/>
    <w:lvl w:ilvl="0" w:tplc="4F168156">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75B5F"/>
    <w:multiLevelType w:val="multilevel"/>
    <w:tmpl w:val="08D2CC4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89F22E6"/>
    <w:multiLevelType w:val="hybridMultilevel"/>
    <w:tmpl w:val="DA44FA02"/>
    <w:lvl w:ilvl="0" w:tplc="203603E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
    <w:nsid w:val="2A4B2ABA"/>
    <w:multiLevelType w:val="multilevel"/>
    <w:tmpl w:val="CC1CFE0A"/>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2">
    <w:nsid w:val="2A8F5F7A"/>
    <w:multiLevelType w:val="hybridMultilevel"/>
    <w:tmpl w:val="F8269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12983"/>
    <w:multiLevelType w:val="hybridMultilevel"/>
    <w:tmpl w:val="0EF8AA60"/>
    <w:lvl w:ilvl="0" w:tplc="4F168156">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324C29"/>
    <w:multiLevelType w:val="multilevel"/>
    <w:tmpl w:val="2506E122"/>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5">
    <w:nsid w:val="34D212BE"/>
    <w:multiLevelType w:val="multilevel"/>
    <w:tmpl w:val="044403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7F97B11"/>
    <w:multiLevelType w:val="multilevel"/>
    <w:tmpl w:val="095A39B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AE34383"/>
    <w:multiLevelType w:val="multilevel"/>
    <w:tmpl w:val="79F42C54"/>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8">
    <w:nsid w:val="3AF624A9"/>
    <w:multiLevelType w:val="multilevel"/>
    <w:tmpl w:val="0540D4A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23645E5"/>
    <w:multiLevelType w:val="multilevel"/>
    <w:tmpl w:val="EF10D32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23B195F"/>
    <w:multiLevelType w:val="multilevel"/>
    <w:tmpl w:val="1F2421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4715DF8"/>
    <w:multiLevelType w:val="hybridMultilevel"/>
    <w:tmpl w:val="0EF8AA60"/>
    <w:lvl w:ilvl="0" w:tplc="4F168156">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666983"/>
    <w:multiLevelType w:val="hybridMultilevel"/>
    <w:tmpl w:val="40A2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D47C0D"/>
    <w:multiLevelType w:val="multilevel"/>
    <w:tmpl w:val="AB8CA820"/>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4">
    <w:nsid w:val="51D64B76"/>
    <w:multiLevelType w:val="multilevel"/>
    <w:tmpl w:val="74A65F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A583250"/>
    <w:multiLevelType w:val="hybridMultilevel"/>
    <w:tmpl w:val="4D1A5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B713EDA"/>
    <w:multiLevelType w:val="hybridMultilevel"/>
    <w:tmpl w:val="0EF8AA60"/>
    <w:lvl w:ilvl="0" w:tplc="4F168156">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0E57CB"/>
    <w:multiLevelType w:val="multilevel"/>
    <w:tmpl w:val="A1CA5DA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D1D6039"/>
    <w:multiLevelType w:val="multilevel"/>
    <w:tmpl w:val="EF10D32E"/>
    <w:lvl w:ilvl="0">
      <w:start w:val="1"/>
      <w:numFmt w:val="decimal"/>
      <w:lvlText w:val="%1."/>
      <w:lvlJc w:val="left"/>
      <w:pPr>
        <w:ind w:left="862"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2302" w:hanging="720"/>
      </w:pPr>
      <w:rPr>
        <w:rFonts w:hint="default"/>
      </w:rPr>
    </w:lvl>
    <w:lvl w:ilvl="4">
      <w:start w:val="1"/>
      <w:numFmt w:val="decimal"/>
      <w:isLgl/>
      <w:lvlText w:val="%1.%2.%3.%4.%5"/>
      <w:lvlJc w:val="left"/>
      <w:pPr>
        <w:ind w:left="3022" w:hanging="1080"/>
      </w:pPr>
      <w:rPr>
        <w:rFonts w:hint="default"/>
      </w:rPr>
    </w:lvl>
    <w:lvl w:ilvl="5">
      <w:start w:val="1"/>
      <w:numFmt w:val="decimal"/>
      <w:isLgl/>
      <w:lvlText w:val="%1.%2.%3.%4.%5.%6"/>
      <w:lvlJc w:val="left"/>
      <w:pPr>
        <w:ind w:left="3382" w:hanging="108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462" w:hanging="1440"/>
      </w:pPr>
      <w:rPr>
        <w:rFonts w:hint="default"/>
      </w:rPr>
    </w:lvl>
    <w:lvl w:ilvl="8">
      <w:start w:val="1"/>
      <w:numFmt w:val="decimal"/>
      <w:isLgl/>
      <w:lvlText w:val="%1.%2.%3.%4.%5.%6.%7.%8.%9"/>
      <w:lvlJc w:val="left"/>
      <w:pPr>
        <w:ind w:left="5182" w:hanging="1800"/>
      </w:pPr>
      <w:rPr>
        <w:rFonts w:hint="default"/>
      </w:rPr>
    </w:lvl>
  </w:abstractNum>
  <w:abstractNum w:abstractNumId="29">
    <w:nsid w:val="60962ACF"/>
    <w:multiLevelType w:val="multilevel"/>
    <w:tmpl w:val="A4C2174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B200A7F"/>
    <w:multiLevelType w:val="multilevel"/>
    <w:tmpl w:val="661A7F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72240D62"/>
    <w:multiLevelType w:val="multilevel"/>
    <w:tmpl w:val="51825E78"/>
    <w:lvl w:ilvl="0">
      <w:start w:val="4"/>
      <w:numFmt w:val="decimal"/>
      <w:lvlText w:val="%1"/>
      <w:lvlJc w:val="left"/>
      <w:pPr>
        <w:ind w:left="360" w:hanging="360"/>
      </w:pPr>
      <w:rPr>
        <w:rFonts w:hint="default"/>
        <w:u w:val="single"/>
      </w:rPr>
    </w:lvl>
    <w:lvl w:ilvl="1">
      <w:start w:val="1"/>
      <w:numFmt w:val="decimal"/>
      <w:lvlText w:val="%1.%2"/>
      <w:lvlJc w:val="left"/>
      <w:pPr>
        <w:ind w:left="1506" w:hanging="360"/>
      </w:pPr>
      <w:rPr>
        <w:rFonts w:hint="default"/>
        <w:u w:val="single"/>
      </w:rPr>
    </w:lvl>
    <w:lvl w:ilvl="2">
      <w:start w:val="1"/>
      <w:numFmt w:val="decimal"/>
      <w:lvlText w:val="%1.%2.%3"/>
      <w:lvlJc w:val="left"/>
      <w:pPr>
        <w:ind w:left="3012" w:hanging="720"/>
      </w:pPr>
      <w:rPr>
        <w:rFonts w:hint="default"/>
        <w:u w:val="single"/>
      </w:rPr>
    </w:lvl>
    <w:lvl w:ilvl="3">
      <w:start w:val="1"/>
      <w:numFmt w:val="decimal"/>
      <w:lvlText w:val="%1.%2.%3.%4"/>
      <w:lvlJc w:val="left"/>
      <w:pPr>
        <w:ind w:left="4158" w:hanging="720"/>
      </w:pPr>
      <w:rPr>
        <w:rFonts w:hint="default"/>
        <w:u w:val="single"/>
      </w:rPr>
    </w:lvl>
    <w:lvl w:ilvl="4">
      <w:start w:val="1"/>
      <w:numFmt w:val="decimal"/>
      <w:lvlText w:val="%1.%2.%3.%4.%5"/>
      <w:lvlJc w:val="left"/>
      <w:pPr>
        <w:ind w:left="5664" w:hanging="1080"/>
      </w:pPr>
      <w:rPr>
        <w:rFonts w:hint="default"/>
        <w:u w:val="single"/>
      </w:rPr>
    </w:lvl>
    <w:lvl w:ilvl="5">
      <w:start w:val="1"/>
      <w:numFmt w:val="decimal"/>
      <w:lvlText w:val="%1.%2.%3.%4.%5.%6"/>
      <w:lvlJc w:val="left"/>
      <w:pPr>
        <w:ind w:left="6810" w:hanging="1080"/>
      </w:pPr>
      <w:rPr>
        <w:rFonts w:hint="default"/>
        <w:u w:val="single"/>
      </w:rPr>
    </w:lvl>
    <w:lvl w:ilvl="6">
      <w:start w:val="1"/>
      <w:numFmt w:val="decimal"/>
      <w:lvlText w:val="%1.%2.%3.%4.%5.%6.%7"/>
      <w:lvlJc w:val="left"/>
      <w:pPr>
        <w:ind w:left="8316" w:hanging="1440"/>
      </w:pPr>
      <w:rPr>
        <w:rFonts w:hint="default"/>
        <w:u w:val="single"/>
      </w:rPr>
    </w:lvl>
    <w:lvl w:ilvl="7">
      <w:start w:val="1"/>
      <w:numFmt w:val="decimal"/>
      <w:lvlText w:val="%1.%2.%3.%4.%5.%6.%7.%8"/>
      <w:lvlJc w:val="left"/>
      <w:pPr>
        <w:ind w:left="9462" w:hanging="1440"/>
      </w:pPr>
      <w:rPr>
        <w:rFonts w:hint="default"/>
        <w:u w:val="single"/>
      </w:rPr>
    </w:lvl>
    <w:lvl w:ilvl="8">
      <w:start w:val="1"/>
      <w:numFmt w:val="decimal"/>
      <w:lvlText w:val="%1.%2.%3.%4.%5.%6.%7.%8.%9"/>
      <w:lvlJc w:val="left"/>
      <w:pPr>
        <w:ind w:left="10968" w:hanging="1800"/>
      </w:pPr>
      <w:rPr>
        <w:rFonts w:hint="default"/>
        <w:u w:val="single"/>
      </w:rPr>
    </w:lvl>
  </w:abstractNum>
  <w:abstractNum w:abstractNumId="32">
    <w:nsid w:val="724D4C64"/>
    <w:multiLevelType w:val="hybridMultilevel"/>
    <w:tmpl w:val="DDBADF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5E2BF0"/>
    <w:multiLevelType w:val="multilevel"/>
    <w:tmpl w:val="661A7F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736F3B5F"/>
    <w:multiLevelType w:val="multilevel"/>
    <w:tmpl w:val="EF04EF16"/>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5">
    <w:nsid w:val="7502118D"/>
    <w:multiLevelType w:val="hybridMultilevel"/>
    <w:tmpl w:val="0EF8AA60"/>
    <w:lvl w:ilvl="0" w:tplc="4F168156">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4463B3"/>
    <w:multiLevelType w:val="multilevel"/>
    <w:tmpl w:val="40464D0A"/>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7">
    <w:nsid w:val="78D010DB"/>
    <w:multiLevelType w:val="multilevel"/>
    <w:tmpl w:val="9A44B82C"/>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8">
    <w:nsid w:val="7B7F7A76"/>
    <w:multiLevelType w:val="hybridMultilevel"/>
    <w:tmpl w:val="F6AAA124"/>
    <w:lvl w:ilvl="0" w:tplc="7960BB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7DE63F3E"/>
    <w:multiLevelType w:val="hybridMultilevel"/>
    <w:tmpl w:val="0EF8AA60"/>
    <w:lvl w:ilvl="0" w:tplc="4F168156">
      <w:start w:val="1"/>
      <w:numFmt w:val="decimal"/>
      <w:lvlText w:val="%1."/>
      <w:lvlJc w:val="left"/>
      <w:pPr>
        <w:ind w:left="644"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nsid w:val="7FF478CB"/>
    <w:multiLevelType w:val="multilevel"/>
    <w:tmpl w:val="A4C2174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28"/>
  </w:num>
  <w:num w:numId="3">
    <w:abstractNumId w:val="35"/>
  </w:num>
  <w:num w:numId="4">
    <w:abstractNumId w:val="30"/>
  </w:num>
  <w:num w:numId="5">
    <w:abstractNumId w:val="25"/>
  </w:num>
  <w:num w:numId="6">
    <w:abstractNumId w:val="19"/>
  </w:num>
  <w:num w:numId="7">
    <w:abstractNumId w:val="10"/>
  </w:num>
  <w:num w:numId="8">
    <w:abstractNumId w:val="33"/>
  </w:num>
  <w:num w:numId="9">
    <w:abstractNumId w:val="22"/>
  </w:num>
  <w:num w:numId="10">
    <w:abstractNumId w:val="15"/>
  </w:num>
  <w:num w:numId="11">
    <w:abstractNumId w:val="32"/>
  </w:num>
  <w:num w:numId="12">
    <w:abstractNumId w:val="4"/>
  </w:num>
  <w:num w:numId="13">
    <w:abstractNumId w:val="24"/>
  </w:num>
  <w:num w:numId="14">
    <w:abstractNumId w:val="3"/>
  </w:num>
  <w:num w:numId="15">
    <w:abstractNumId w:val="20"/>
  </w:num>
  <w:num w:numId="16">
    <w:abstractNumId w:val="18"/>
  </w:num>
  <w:num w:numId="17">
    <w:abstractNumId w:val="14"/>
  </w:num>
  <w:num w:numId="18">
    <w:abstractNumId w:val="27"/>
  </w:num>
  <w:num w:numId="19">
    <w:abstractNumId w:val="1"/>
  </w:num>
  <w:num w:numId="20">
    <w:abstractNumId w:val="9"/>
  </w:num>
  <w:num w:numId="21">
    <w:abstractNumId w:val="16"/>
  </w:num>
  <w:num w:numId="22">
    <w:abstractNumId w:val="40"/>
  </w:num>
  <w:num w:numId="23">
    <w:abstractNumId w:val="29"/>
  </w:num>
  <w:num w:numId="24">
    <w:abstractNumId w:val="38"/>
  </w:num>
  <w:num w:numId="25">
    <w:abstractNumId w:val="6"/>
  </w:num>
  <w:num w:numId="26">
    <w:abstractNumId w:val="34"/>
  </w:num>
  <w:num w:numId="27">
    <w:abstractNumId w:val="36"/>
  </w:num>
  <w:num w:numId="28">
    <w:abstractNumId w:val="7"/>
  </w:num>
  <w:num w:numId="29">
    <w:abstractNumId w:val="37"/>
  </w:num>
  <w:num w:numId="30">
    <w:abstractNumId w:val="0"/>
  </w:num>
  <w:num w:numId="31">
    <w:abstractNumId w:val="31"/>
  </w:num>
  <w:num w:numId="32">
    <w:abstractNumId w:val="11"/>
  </w:num>
  <w:num w:numId="33">
    <w:abstractNumId w:val="39"/>
  </w:num>
  <w:num w:numId="34">
    <w:abstractNumId w:val="23"/>
  </w:num>
  <w:num w:numId="35">
    <w:abstractNumId w:val="17"/>
  </w:num>
  <w:num w:numId="36">
    <w:abstractNumId w:val="26"/>
  </w:num>
  <w:num w:numId="37">
    <w:abstractNumId w:val="13"/>
  </w:num>
  <w:num w:numId="38">
    <w:abstractNumId w:val="8"/>
  </w:num>
  <w:num w:numId="39">
    <w:abstractNumId w:val="21"/>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0E"/>
    <w:rsid w:val="00034277"/>
    <w:rsid w:val="000621E7"/>
    <w:rsid w:val="00067405"/>
    <w:rsid w:val="0008130C"/>
    <w:rsid w:val="000A4859"/>
    <w:rsid w:val="000E1003"/>
    <w:rsid w:val="000E1B4F"/>
    <w:rsid w:val="001270C8"/>
    <w:rsid w:val="001341A8"/>
    <w:rsid w:val="00142363"/>
    <w:rsid w:val="00161C0A"/>
    <w:rsid w:val="0019533B"/>
    <w:rsid w:val="00196A96"/>
    <w:rsid w:val="001C0358"/>
    <w:rsid w:val="001E0BD7"/>
    <w:rsid w:val="00203115"/>
    <w:rsid w:val="00247FD7"/>
    <w:rsid w:val="0025122B"/>
    <w:rsid w:val="002577DF"/>
    <w:rsid w:val="002602BC"/>
    <w:rsid w:val="002A3069"/>
    <w:rsid w:val="002A42BC"/>
    <w:rsid w:val="002D0F46"/>
    <w:rsid w:val="002D2895"/>
    <w:rsid w:val="002E1A35"/>
    <w:rsid w:val="00322ECD"/>
    <w:rsid w:val="00345167"/>
    <w:rsid w:val="00381B6E"/>
    <w:rsid w:val="00394A9E"/>
    <w:rsid w:val="003A48A2"/>
    <w:rsid w:val="003C7CA3"/>
    <w:rsid w:val="003E07AC"/>
    <w:rsid w:val="003E4E3E"/>
    <w:rsid w:val="004133B4"/>
    <w:rsid w:val="00417E6D"/>
    <w:rsid w:val="00427E23"/>
    <w:rsid w:val="00432DD7"/>
    <w:rsid w:val="00466991"/>
    <w:rsid w:val="0048450E"/>
    <w:rsid w:val="00486877"/>
    <w:rsid w:val="0049589E"/>
    <w:rsid w:val="004B4734"/>
    <w:rsid w:val="004E372A"/>
    <w:rsid w:val="004E4985"/>
    <w:rsid w:val="004E71E5"/>
    <w:rsid w:val="00513B1E"/>
    <w:rsid w:val="0052694D"/>
    <w:rsid w:val="00547A13"/>
    <w:rsid w:val="00551C64"/>
    <w:rsid w:val="005618ED"/>
    <w:rsid w:val="00576450"/>
    <w:rsid w:val="00594DA0"/>
    <w:rsid w:val="005A7B16"/>
    <w:rsid w:val="005B59CD"/>
    <w:rsid w:val="005C5B06"/>
    <w:rsid w:val="005D4265"/>
    <w:rsid w:val="005F5B9C"/>
    <w:rsid w:val="00601990"/>
    <w:rsid w:val="00612FAE"/>
    <w:rsid w:val="006525AC"/>
    <w:rsid w:val="00656669"/>
    <w:rsid w:val="00670BEF"/>
    <w:rsid w:val="0067557C"/>
    <w:rsid w:val="00697B97"/>
    <w:rsid w:val="006B4E07"/>
    <w:rsid w:val="006B68B9"/>
    <w:rsid w:val="006D61E8"/>
    <w:rsid w:val="006E1CE8"/>
    <w:rsid w:val="006F1179"/>
    <w:rsid w:val="006F37E7"/>
    <w:rsid w:val="00720C0D"/>
    <w:rsid w:val="00730505"/>
    <w:rsid w:val="007311BE"/>
    <w:rsid w:val="007436B3"/>
    <w:rsid w:val="00754AE4"/>
    <w:rsid w:val="00757545"/>
    <w:rsid w:val="00774073"/>
    <w:rsid w:val="007A1483"/>
    <w:rsid w:val="007A6A54"/>
    <w:rsid w:val="007B04CF"/>
    <w:rsid w:val="007B211D"/>
    <w:rsid w:val="007C46BE"/>
    <w:rsid w:val="007C628F"/>
    <w:rsid w:val="007E38FF"/>
    <w:rsid w:val="007E640D"/>
    <w:rsid w:val="007E761B"/>
    <w:rsid w:val="007F6A34"/>
    <w:rsid w:val="00803AD9"/>
    <w:rsid w:val="008250EF"/>
    <w:rsid w:val="008325A5"/>
    <w:rsid w:val="008326CF"/>
    <w:rsid w:val="008539E5"/>
    <w:rsid w:val="00853C22"/>
    <w:rsid w:val="0086632E"/>
    <w:rsid w:val="00871287"/>
    <w:rsid w:val="00881612"/>
    <w:rsid w:val="008923DC"/>
    <w:rsid w:val="008A52E9"/>
    <w:rsid w:val="008C5114"/>
    <w:rsid w:val="008D50BD"/>
    <w:rsid w:val="008E2909"/>
    <w:rsid w:val="008F6A12"/>
    <w:rsid w:val="0091193C"/>
    <w:rsid w:val="009330F9"/>
    <w:rsid w:val="00934774"/>
    <w:rsid w:val="00936379"/>
    <w:rsid w:val="00937516"/>
    <w:rsid w:val="009539B9"/>
    <w:rsid w:val="009867BB"/>
    <w:rsid w:val="009C44C5"/>
    <w:rsid w:val="009D0DEB"/>
    <w:rsid w:val="009D17D5"/>
    <w:rsid w:val="009E5AC0"/>
    <w:rsid w:val="00A004C1"/>
    <w:rsid w:val="00A05562"/>
    <w:rsid w:val="00A10C2D"/>
    <w:rsid w:val="00A1212F"/>
    <w:rsid w:val="00A249BD"/>
    <w:rsid w:val="00A32ADA"/>
    <w:rsid w:val="00A46C98"/>
    <w:rsid w:val="00A704EA"/>
    <w:rsid w:val="00A73D76"/>
    <w:rsid w:val="00A75A0C"/>
    <w:rsid w:val="00AC1C69"/>
    <w:rsid w:val="00AC3F81"/>
    <w:rsid w:val="00AC4A31"/>
    <w:rsid w:val="00AE33DA"/>
    <w:rsid w:val="00AF0758"/>
    <w:rsid w:val="00AF506A"/>
    <w:rsid w:val="00AF50E3"/>
    <w:rsid w:val="00AF64B4"/>
    <w:rsid w:val="00B06CFE"/>
    <w:rsid w:val="00B46937"/>
    <w:rsid w:val="00B517E8"/>
    <w:rsid w:val="00B603C4"/>
    <w:rsid w:val="00B726C0"/>
    <w:rsid w:val="00B733AD"/>
    <w:rsid w:val="00B850A0"/>
    <w:rsid w:val="00B8512C"/>
    <w:rsid w:val="00B93D77"/>
    <w:rsid w:val="00BA4BF0"/>
    <w:rsid w:val="00BC2916"/>
    <w:rsid w:val="00BD6717"/>
    <w:rsid w:val="00BE090F"/>
    <w:rsid w:val="00BF10AA"/>
    <w:rsid w:val="00BF2A5D"/>
    <w:rsid w:val="00C35074"/>
    <w:rsid w:val="00C478E1"/>
    <w:rsid w:val="00C60E9D"/>
    <w:rsid w:val="00C75D64"/>
    <w:rsid w:val="00C80FE9"/>
    <w:rsid w:val="00C8778F"/>
    <w:rsid w:val="00CD549A"/>
    <w:rsid w:val="00CE38DB"/>
    <w:rsid w:val="00CF58D4"/>
    <w:rsid w:val="00D013B6"/>
    <w:rsid w:val="00D030DD"/>
    <w:rsid w:val="00D4302E"/>
    <w:rsid w:val="00D5387D"/>
    <w:rsid w:val="00D67DE5"/>
    <w:rsid w:val="00D700C4"/>
    <w:rsid w:val="00D72A7D"/>
    <w:rsid w:val="00D7499C"/>
    <w:rsid w:val="00D84D96"/>
    <w:rsid w:val="00DB1322"/>
    <w:rsid w:val="00DF0B6A"/>
    <w:rsid w:val="00DF1B33"/>
    <w:rsid w:val="00E25423"/>
    <w:rsid w:val="00E560C0"/>
    <w:rsid w:val="00E56CAD"/>
    <w:rsid w:val="00E60D50"/>
    <w:rsid w:val="00E631CC"/>
    <w:rsid w:val="00E6608D"/>
    <w:rsid w:val="00E73DB2"/>
    <w:rsid w:val="00E838B9"/>
    <w:rsid w:val="00ED46E3"/>
    <w:rsid w:val="00F20BA3"/>
    <w:rsid w:val="00F25A91"/>
    <w:rsid w:val="00F639B1"/>
    <w:rsid w:val="00F719A0"/>
    <w:rsid w:val="00F76E4D"/>
    <w:rsid w:val="00F80F09"/>
    <w:rsid w:val="00F829D8"/>
    <w:rsid w:val="00F8440F"/>
    <w:rsid w:val="00F8731E"/>
    <w:rsid w:val="00FB05E8"/>
    <w:rsid w:val="00FB1663"/>
    <w:rsid w:val="00FB2094"/>
    <w:rsid w:val="00FB3707"/>
    <w:rsid w:val="00FB41C5"/>
    <w:rsid w:val="00FB6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44F4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9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50E"/>
    <w:pPr>
      <w:ind w:left="720"/>
      <w:contextualSpacing/>
    </w:pPr>
    <w:rPr>
      <w:rFonts w:eastAsiaTheme="minorEastAsia"/>
    </w:rPr>
  </w:style>
  <w:style w:type="table" w:styleId="TableGrid">
    <w:name w:val="Table Grid"/>
    <w:basedOn w:val="TableNormal"/>
    <w:uiPriority w:val="59"/>
    <w:rsid w:val="0048450E"/>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Текст сноски Знак1,Текст сноски Знак Знак,Текст сноски Знак Знак Знак1 Знак,Текст сноски Знак Знак Знак Знак1 Знак,Текст сноски Знак Знак Знак Знак Знак Знак Знак Знак Знак"/>
    <w:basedOn w:val="Normal"/>
    <w:link w:val="FootnoteTextChar"/>
    <w:uiPriority w:val="99"/>
    <w:unhideWhenUsed/>
    <w:rsid w:val="0048450E"/>
  </w:style>
  <w:style w:type="character" w:customStyle="1" w:styleId="FootnoteTextChar">
    <w:name w:val="Footnote Text Char"/>
    <w:aliases w:val="Текст сноски Знак1 Char,Текст сноски Знак Знак Char,Текст сноски Знак Знак Знак1 Знак Char,Текст сноски Знак Знак Знак Знак1 Знак Char,Текст сноски Знак Знак Знак Знак Знак Знак Знак Знак Знак Char"/>
    <w:basedOn w:val="DefaultParagraphFont"/>
    <w:link w:val="FootnoteText"/>
    <w:uiPriority w:val="99"/>
    <w:rsid w:val="0048450E"/>
    <w:rPr>
      <w:lang w:val="en-US"/>
    </w:rPr>
  </w:style>
  <w:style w:type="character" w:styleId="FootnoteReference">
    <w:name w:val="footnote reference"/>
    <w:basedOn w:val="DefaultParagraphFont"/>
    <w:uiPriority w:val="99"/>
    <w:unhideWhenUsed/>
    <w:rsid w:val="0048450E"/>
    <w:rPr>
      <w:vertAlign w:val="superscript"/>
    </w:rPr>
  </w:style>
  <w:style w:type="paragraph" w:styleId="Header">
    <w:name w:val="header"/>
    <w:basedOn w:val="Normal"/>
    <w:link w:val="HeaderChar"/>
    <w:unhideWhenUsed/>
    <w:rsid w:val="0048450E"/>
    <w:pPr>
      <w:tabs>
        <w:tab w:val="center" w:pos="4513"/>
        <w:tab w:val="right" w:pos="9026"/>
      </w:tabs>
    </w:pPr>
  </w:style>
  <w:style w:type="character" w:customStyle="1" w:styleId="HeaderChar">
    <w:name w:val="Header Char"/>
    <w:basedOn w:val="DefaultParagraphFont"/>
    <w:link w:val="Header"/>
    <w:rsid w:val="0048450E"/>
    <w:rPr>
      <w:lang w:val="en-US"/>
    </w:rPr>
  </w:style>
  <w:style w:type="character" w:styleId="EndnoteReference">
    <w:name w:val="endnote reference"/>
    <w:basedOn w:val="DefaultParagraphFont"/>
    <w:uiPriority w:val="99"/>
    <w:unhideWhenUsed/>
    <w:rsid w:val="0048450E"/>
    <w:rPr>
      <w:vertAlign w:val="superscript"/>
    </w:rPr>
  </w:style>
  <w:style w:type="character" w:customStyle="1" w:styleId="DocumentMapChar">
    <w:name w:val="Document Map Char"/>
    <w:basedOn w:val="DefaultParagraphFont"/>
    <w:link w:val="DocumentMap"/>
    <w:uiPriority w:val="99"/>
    <w:semiHidden/>
    <w:rsid w:val="0048450E"/>
    <w:rPr>
      <w:rFonts w:ascii="Times New Roman" w:hAnsi="Times New Roman" w:cs="Times New Roman"/>
    </w:rPr>
  </w:style>
  <w:style w:type="paragraph" w:styleId="DocumentMap">
    <w:name w:val="Document Map"/>
    <w:basedOn w:val="Normal"/>
    <w:link w:val="DocumentMapChar"/>
    <w:uiPriority w:val="99"/>
    <w:semiHidden/>
    <w:unhideWhenUsed/>
    <w:rsid w:val="0048450E"/>
    <w:rPr>
      <w:rFonts w:ascii="Times New Roman" w:hAnsi="Times New Roman" w:cs="Times New Roman"/>
      <w:lang w:val="en-GB"/>
    </w:rPr>
  </w:style>
  <w:style w:type="character" w:customStyle="1" w:styleId="DocumentMapChar1">
    <w:name w:val="Document Map Char1"/>
    <w:basedOn w:val="DefaultParagraphFont"/>
    <w:uiPriority w:val="99"/>
    <w:semiHidden/>
    <w:rsid w:val="0048450E"/>
    <w:rPr>
      <w:rFonts w:ascii="Times New Roman" w:hAnsi="Times New Roman" w:cs="Times New Roman"/>
      <w:lang w:val="en-US"/>
    </w:rPr>
  </w:style>
  <w:style w:type="paragraph" w:styleId="EndnoteText">
    <w:name w:val="endnote text"/>
    <w:basedOn w:val="Normal"/>
    <w:link w:val="EndnoteTextChar"/>
    <w:uiPriority w:val="99"/>
    <w:unhideWhenUsed/>
    <w:rsid w:val="0048450E"/>
  </w:style>
  <w:style w:type="character" w:customStyle="1" w:styleId="EndnoteTextChar">
    <w:name w:val="Endnote Text Char"/>
    <w:basedOn w:val="DefaultParagraphFont"/>
    <w:link w:val="EndnoteText"/>
    <w:uiPriority w:val="99"/>
    <w:rsid w:val="0048450E"/>
    <w:rPr>
      <w:lang w:val="en-US"/>
    </w:rPr>
  </w:style>
  <w:style w:type="paragraph" w:customStyle="1" w:styleId="SenseReference">
    <w:name w:val="SenseReference"/>
    <w:basedOn w:val="Normal"/>
    <w:link w:val="SenseReferenceChar"/>
    <w:rsid w:val="0048450E"/>
    <w:pPr>
      <w:spacing w:line="200" w:lineRule="exact"/>
      <w:ind w:left="227" w:hanging="227"/>
      <w:jc w:val="both"/>
    </w:pPr>
    <w:rPr>
      <w:rFonts w:ascii="Arial" w:eastAsia="Times New Roman" w:hAnsi="Arial" w:cs="Arial"/>
      <w:sz w:val="16"/>
      <w:szCs w:val="16"/>
      <w:lang w:val="en-AU" w:eastAsia="en-GB"/>
    </w:rPr>
  </w:style>
  <w:style w:type="character" w:customStyle="1" w:styleId="SenseReferenceChar">
    <w:name w:val="SenseReference Char"/>
    <w:basedOn w:val="DefaultParagraphFont"/>
    <w:link w:val="SenseReference"/>
    <w:rsid w:val="0048450E"/>
    <w:rPr>
      <w:rFonts w:ascii="Arial" w:eastAsia="Times New Roman" w:hAnsi="Arial" w:cs="Arial"/>
      <w:sz w:val="16"/>
      <w:szCs w:val="16"/>
      <w:lang w:val="en-AU" w:eastAsia="en-GB"/>
    </w:rPr>
  </w:style>
  <w:style w:type="character" w:styleId="Hyperlink">
    <w:name w:val="Hyperlink"/>
    <w:basedOn w:val="DefaultParagraphFont"/>
    <w:uiPriority w:val="99"/>
    <w:unhideWhenUsed/>
    <w:rsid w:val="0048450E"/>
    <w:rPr>
      <w:color w:val="0563C1" w:themeColor="hyperlink"/>
      <w:u w:val="single"/>
    </w:rPr>
  </w:style>
  <w:style w:type="paragraph" w:styleId="Footer">
    <w:name w:val="footer"/>
    <w:basedOn w:val="Normal"/>
    <w:link w:val="FooterChar"/>
    <w:uiPriority w:val="99"/>
    <w:unhideWhenUsed/>
    <w:rsid w:val="0048450E"/>
    <w:pPr>
      <w:tabs>
        <w:tab w:val="center" w:pos="4513"/>
        <w:tab w:val="right" w:pos="9026"/>
      </w:tabs>
    </w:pPr>
  </w:style>
  <w:style w:type="character" w:customStyle="1" w:styleId="FooterChar">
    <w:name w:val="Footer Char"/>
    <w:basedOn w:val="DefaultParagraphFont"/>
    <w:link w:val="Footer"/>
    <w:uiPriority w:val="99"/>
    <w:rsid w:val="0048450E"/>
    <w:rPr>
      <w:lang w:val="en-US"/>
    </w:rPr>
  </w:style>
  <w:style w:type="paragraph" w:styleId="BodyText">
    <w:name w:val="Body Text"/>
    <w:basedOn w:val="Normal"/>
    <w:link w:val="BodyTextChar"/>
    <w:uiPriority w:val="99"/>
    <w:rsid w:val="0048450E"/>
    <w:pPr>
      <w:spacing w:line="360" w:lineRule="auto"/>
    </w:pPr>
    <w:rPr>
      <w:rFonts w:ascii="Times New Roman" w:eastAsia="Times New Roman" w:hAnsi="Times New Roman" w:cs="Times New Roman"/>
      <w:i/>
      <w:iCs/>
      <w:lang w:val="en-GB"/>
    </w:rPr>
  </w:style>
  <w:style w:type="character" w:customStyle="1" w:styleId="BodyTextChar">
    <w:name w:val="Body Text Char"/>
    <w:basedOn w:val="DefaultParagraphFont"/>
    <w:link w:val="BodyText"/>
    <w:uiPriority w:val="99"/>
    <w:rsid w:val="0048450E"/>
    <w:rPr>
      <w:rFonts w:ascii="Times New Roman" w:eastAsia="Times New Roman" w:hAnsi="Times New Roman" w:cs="Times New Roman"/>
      <w:i/>
      <w:iCs/>
    </w:rPr>
  </w:style>
  <w:style w:type="character" w:customStyle="1" w:styleId="BalloonTextChar">
    <w:name w:val="Balloon Text Char"/>
    <w:basedOn w:val="DefaultParagraphFont"/>
    <w:link w:val="BalloonText"/>
    <w:uiPriority w:val="99"/>
    <w:semiHidden/>
    <w:rsid w:val="0048450E"/>
    <w:rPr>
      <w:rFonts w:ascii="Tahoma" w:hAnsi="Tahoma" w:cs="Tahoma"/>
      <w:sz w:val="16"/>
      <w:szCs w:val="16"/>
      <w:lang w:val="en-IE"/>
    </w:rPr>
  </w:style>
  <w:style w:type="paragraph" w:styleId="BalloonText">
    <w:name w:val="Balloon Text"/>
    <w:basedOn w:val="Normal"/>
    <w:link w:val="BalloonTextChar"/>
    <w:uiPriority w:val="99"/>
    <w:semiHidden/>
    <w:unhideWhenUsed/>
    <w:rsid w:val="0048450E"/>
    <w:rPr>
      <w:rFonts w:ascii="Tahoma" w:hAnsi="Tahoma" w:cs="Tahoma"/>
      <w:sz w:val="16"/>
      <w:szCs w:val="16"/>
      <w:lang w:val="en-IE"/>
    </w:rPr>
  </w:style>
  <w:style w:type="paragraph" w:styleId="BodyText2">
    <w:name w:val="Body Text 2"/>
    <w:basedOn w:val="Normal"/>
    <w:link w:val="BodyText2Char"/>
    <w:unhideWhenUsed/>
    <w:rsid w:val="0048450E"/>
    <w:pPr>
      <w:spacing w:after="120" w:line="480" w:lineRule="auto"/>
    </w:pPr>
    <w:rPr>
      <w:sz w:val="22"/>
      <w:szCs w:val="22"/>
      <w:lang w:val="en-IE"/>
    </w:rPr>
  </w:style>
  <w:style w:type="character" w:customStyle="1" w:styleId="BodyText2Char">
    <w:name w:val="Body Text 2 Char"/>
    <w:basedOn w:val="DefaultParagraphFont"/>
    <w:link w:val="BodyText2"/>
    <w:rsid w:val="0048450E"/>
    <w:rPr>
      <w:sz w:val="22"/>
      <w:szCs w:val="22"/>
      <w:lang w:val="en-IE"/>
    </w:rPr>
  </w:style>
  <w:style w:type="paragraph" w:styleId="PlainText">
    <w:name w:val="Plain Text"/>
    <w:basedOn w:val="Normal"/>
    <w:link w:val="PlainTextChar"/>
    <w:rsid w:val="0048450E"/>
    <w:rPr>
      <w:rFonts w:ascii="Courier New" w:eastAsia="Times New Roman" w:hAnsi="Courier New" w:cs="Courier New"/>
      <w:sz w:val="20"/>
      <w:szCs w:val="20"/>
    </w:rPr>
  </w:style>
  <w:style w:type="character" w:customStyle="1" w:styleId="PlainTextChar">
    <w:name w:val="Plain Text Char"/>
    <w:basedOn w:val="DefaultParagraphFont"/>
    <w:link w:val="PlainText"/>
    <w:rsid w:val="0048450E"/>
    <w:rPr>
      <w:rFonts w:ascii="Courier New" w:eastAsia="Times New Roman" w:hAnsi="Courier New" w:cs="Courier New"/>
      <w:sz w:val="20"/>
      <w:szCs w:val="20"/>
      <w:lang w:val="en-US"/>
    </w:rPr>
  </w:style>
  <w:style w:type="character" w:customStyle="1" w:styleId="CommentTextChar">
    <w:name w:val="Comment Text Char"/>
    <w:basedOn w:val="DefaultParagraphFont"/>
    <w:link w:val="CommentText"/>
    <w:uiPriority w:val="99"/>
    <w:semiHidden/>
    <w:rsid w:val="0048450E"/>
    <w:rPr>
      <w:rFonts w:ascii="Cambria" w:eastAsia="MS Mincho" w:hAnsi="Cambria" w:cs="Times New Roman"/>
      <w:lang w:val="en-US"/>
    </w:rPr>
  </w:style>
  <w:style w:type="paragraph" w:styleId="CommentText">
    <w:name w:val="annotation text"/>
    <w:basedOn w:val="Normal"/>
    <w:link w:val="CommentTextChar"/>
    <w:uiPriority w:val="99"/>
    <w:semiHidden/>
    <w:rsid w:val="0048450E"/>
    <w:rPr>
      <w:rFonts w:ascii="Cambria" w:eastAsia="MS Mincho" w:hAnsi="Cambria" w:cs="Times New Roman"/>
    </w:rPr>
  </w:style>
  <w:style w:type="character" w:customStyle="1" w:styleId="st">
    <w:name w:val="st"/>
    <w:uiPriority w:val="99"/>
    <w:rsid w:val="0048450E"/>
  </w:style>
  <w:style w:type="character" w:customStyle="1" w:styleId="CommentSubjectChar">
    <w:name w:val="Comment Subject Char"/>
    <w:basedOn w:val="CommentTextChar"/>
    <w:link w:val="CommentSubject"/>
    <w:uiPriority w:val="99"/>
    <w:semiHidden/>
    <w:rsid w:val="0048450E"/>
    <w:rPr>
      <w:rFonts w:ascii="Cambria" w:eastAsiaTheme="minorEastAsia" w:hAnsi="Cambria"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48450E"/>
    <w:rPr>
      <w:rFonts w:eastAsiaTheme="minorEastAsia"/>
      <w:b/>
      <w:bCs/>
      <w:sz w:val="20"/>
      <w:szCs w:val="20"/>
    </w:rPr>
  </w:style>
  <w:style w:type="character" w:customStyle="1" w:styleId="CommentSubjectChar1">
    <w:name w:val="Comment Subject Char1"/>
    <w:basedOn w:val="CommentTextChar"/>
    <w:uiPriority w:val="99"/>
    <w:semiHidden/>
    <w:rsid w:val="0048450E"/>
    <w:rPr>
      <w:rFonts w:ascii="Cambria" w:eastAsia="MS Mincho" w:hAnsi="Cambria" w:cs="Times New Roman"/>
      <w:b/>
      <w:bCs/>
      <w:sz w:val="20"/>
      <w:szCs w:val="20"/>
      <w:lang w:val="en-US"/>
    </w:rPr>
  </w:style>
  <w:style w:type="character" w:customStyle="1" w:styleId="hps">
    <w:name w:val="hps"/>
    <w:basedOn w:val="DefaultParagraphFont"/>
    <w:rsid w:val="0048450E"/>
  </w:style>
  <w:style w:type="paragraph" w:styleId="NormalWeb">
    <w:name w:val="Normal (Web)"/>
    <w:basedOn w:val="Normal"/>
    <w:uiPriority w:val="99"/>
    <w:unhideWhenUsed/>
    <w:rsid w:val="00E60D50"/>
    <w:pPr>
      <w:spacing w:before="100" w:beforeAutospacing="1" w:after="100" w:afterAutospacing="1"/>
    </w:pPr>
    <w:rPr>
      <w:rFonts w:ascii="Times" w:eastAsiaTheme="minorEastAsia" w:hAnsi="Times" w:cs="Times New Roman"/>
      <w:sz w:val="20"/>
      <w:szCs w:val="20"/>
      <w:lang w:val="en-GB"/>
    </w:rPr>
  </w:style>
  <w:style w:type="character" w:styleId="Strong">
    <w:name w:val="Strong"/>
    <w:basedOn w:val="DefaultParagraphFont"/>
    <w:qFormat/>
    <w:rsid w:val="00E60D50"/>
    <w:rPr>
      <w:b/>
      <w:bCs/>
    </w:rPr>
  </w:style>
  <w:style w:type="character" w:styleId="PageNumber">
    <w:name w:val="page number"/>
    <w:basedOn w:val="DefaultParagraphFont"/>
    <w:uiPriority w:val="99"/>
    <w:semiHidden/>
    <w:unhideWhenUsed/>
    <w:rsid w:val="00D700C4"/>
  </w:style>
  <w:style w:type="paragraph" w:customStyle="1" w:styleId="Bibliogentry">
    <w:name w:val="#Bibliog entry"/>
    <w:basedOn w:val="Normal"/>
    <w:rsid w:val="00B726C0"/>
    <w:pPr>
      <w:ind w:left="284" w:hanging="284"/>
    </w:pPr>
    <w:rPr>
      <w:rFonts w:ascii="Palatino Linotype" w:eastAsia="Times" w:hAnsi="Palatino Linotype" w:cs="Arial"/>
      <w:lang w:val="en-GB"/>
    </w:rPr>
  </w:style>
  <w:style w:type="paragraph" w:customStyle="1" w:styleId="Bodytext0">
    <w:name w:val="#Body text"/>
    <w:basedOn w:val="Normal"/>
    <w:rsid w:val="00B726C0"/>
    <w:pPr>
      <w:ind w:firstLine="567"/>
    </w:pPr>
    <w:rPr>
      <w:rFonts w:ascii="Palatino Linotype" w:eastAsia="Times" w:hAnsi="Palatino Linotype" w:cs="Arial"/>
      <w:lang w:val="en-GB"/>
    </w:rPr>
  </w:style>
  <w:style w:type="paragraph" w:customStyle="1" w:styleId="Tabletitle">
    <w:name w:val="#Table title"/>
    <w:basedOn w:val="Normal"/>
    <w:qFormat/>
    <w:rsid w:val="00B726C0"/>
    <w:pPr>
      <w:spacing w:before="120"/>
    </w:pPr>
    <w:rPr>
      <w:rFonts w:ascii="Tahoma" w:eastAsia="Times New Roman" w:hAnsi="Tahoma" w:cs="Times New Roman"/>
      <w:sz w:val="22"/>
      <w:lang w:val="en-AU"/>
    </w:rPr>
  </w:style>
  <w:style w:type="character" w:customStyle="1" w:styleId="Italics">
    <w:name w:val="#Italics"/>
    <w:uiPriority w:val="1"/>
    <w:qFormat/>
    <w:rsid w:val="00B726C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6508">
      <w:bodyDiv w:val="1"/>
      <w:marLeft w:val="0"/>
      <w:marRight w:val="0"/>
      <w:marTop w:val="0"/>
      <w:marBottom w:val="0"/>
      <w:divBdr>
        <w:top w:val="none" w:sz="0" w:space="0" w:color="auto"/>
        <w:left w:val="none" w:sz="0" w:space="0" w:color="auto"/>
        <w:bottom w:val="none" w:sz="0" w:space="0" w:color="auto"/>
        <w:right w:val="none" w:sz="0" w:space="0" w:color="auto"/>
      </w:divBdr>
      <w:divsChild>
        <w:div w:id="359404519">
          <w:marLeft w:val="806"/>
          <w:marRight w:val="0"/>
          <w:marTop w:val="134"/>
          <w:marBottom w:val="0"/>
          <w:divBdr>
            <w:top w:val="none" w:sz="0" w:space="0" w:color="auto"/>
            <w:left w:val="none" w:sz="0" w:space="0" w:color="auto"/>
            <w:bottom w:val="none" w:sz="0" w:space="0" w:color="auto"/>
            <w:right w:val="none" w:sz="0" w:space="0" w:color="auto"/>
          </w:divBdr>
        </w:div>
      </w:divsChild>
    </w:div>
    <w:div w:id="668800210">
      <w:bodyDiv w:val="1"/>
      <w:marLeft w:val="0"/>
      <w:marRight w:val="0"/>
      <w:marTop w:val="0"/>
      <w:marBottom w:val="0"/>
      <w:divBdr>
        <w:top w:val="none" w:sz="0" w:space="0" w:color="auto"/>
        <w:left w:val="none" w:sz="0" w:space="0" w:color="auto"/>
        <w:bottom w:val="none" w:sz="0" w:space="0" w:color="auto"/>
        <w:right w:val="none" w:sz="0" w:space="0" w:color="auto"/>
      </w:divBdr>
    </w:div>
    <w:div w:id="709690906">
      <w:bodyDiv w:val="1"/>
      <w:marLeft w:val="0"/>
      <w:marRight w:val="0"/>
      <w:marTop w:val="0"/>
      <w:marBottom w:val="0"/>
      <w:divBdr>
        <w:top w:val="none" w:sz="0" w:space="0" w:color="auto"/>
        <w:left w:val="none" w:sz="0" w:space="0" w:color="auto"/>
        <w:bottom w:val="none" w:sz="0" w:space="0" w:color="auto"/>
        <w:right w:val="none" w:sz="0" w:space="0" w:color="auto"/>
      </w:divBdr>
    </w:div>
    <w:div w:id="926303290">
      <w:bodyDiv w:val="1"/>
      <w:marLeft w:val="0"/>
      <w:marRight w:val="0"/>
      <w:marTop w:val="0"/>
      <w:marBottom w:val="0"/>
      <w:divBdr>
        <w:top w:val="none" w:sz="0" w:space="0" w:color="auto"/>
        <w:left w:val="none" w:sz="0" w:space="0" w:color="auto"/>
        <w:bottom w:val="none" w:sz="0" w:space="0" w:color="auto"/>
        <w:right w:val="none" w:sz="0" w:space="0" w:color="auto"/>
      </w:divBdr>
    </w:div>
    <w:div w:id="1430274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n.org/en/development/desa/news/population/world-urbanization-prospects-2014.html"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6786</Words>
  <Characters>38683</Characters>
  <Application>Microsoft Macintosh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Microsoft Office User</cp:lastModifiedBy>
  <cp:revision>2</cp:revision>
  <cp:lastPrinted>2017-05-02T10:55:00Z</cp:lastPrinted>
  <dcterms:created xsi:type="dcterms:W3CDTF">2017-05-02T15:54:00Z</dcterms:created>
  <dcterms:modified xsi:type="dcterms:W3CDTF">2017-05-02T15:54:00Z</dcterms:modified>
</cp:coreProperties>
</file>