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B112B" w14:textId="251DFECF" w:rsidR="0047644C" w:rsidRPr="00F73DAA" w:rsidRDefault="00267E2D" w:rsidP="00267E2D">
      <w:pPr>
        <w:rPr>
          <w:sz w:val="28"/>
          <w:szCs w:val="28"/>
          <w:lang w:val="en-GB"/>
        </w:rPr>
      </w:pPr>
      <w:r w:rsidRPr="00F73DAA">
        <w:rPr>
          <w:b/>
          <w:bCs/>
          <w:sz w:val="28"/>
          <w:szCs w:val="28"/>
          <w:lang w:val="en-GB"/>
        </w:rPr>
        <w:t>Clark Kerr, the Master Plan and public higher education in California today</w:t>
      </w:r>
    </w:p>
    <w:p w14:paraId="7CD018C7" w14:textId="3F3A4695" w:rsidR="0047644C" w:rsidRPr="00F73DAA" w:rsidRDefault="00267E2D" w:rsidP="00267E2D">
      <w:pPr>
        <w:pBdr>
          <w:bottom w:val="single" w:sz="4" w:space="1" w:color="auto"/>
        </w:pBdr>
        <w:rPr>
          <w:sz w:val="28"/>
          <w:szCs w:val="28"/>
          <w:lang w:val="en-GB"/>
        </w:rPr>
      </w:pPr>
      <w:r w:rsidRPr="00F73DAA">
        <w:rPr>
          <w:sz w:val="28"/>
          <w:szCs w:val="28"/>
          <w:lang w:val="en-GB"/>
        </w:rPr>
        <w:t>CGHE seminar 16 November 2016</w:t>
      </w:r>
    </w:p>
    <w:p w14:paraId="7D112DCE" w14:textId="77777777" w:rsidR="00F73DAA" w:rsidRPr="00F73DAA" w:rsidRDefault="00F73DAA" w:rsidP="00267E2D">
      <w:pPr>
        <w:pBdr>
          <w:bottom w:val="single" w:sz="4" w:space="1" w:color="auto"/>
        </w:pBdr>
        <w:rPr>
          <w:lang w:val="en-GB"/>
        </w:rPr>
      </w:pPr>
    </w:p>
    <w:p w14:paraId="2C2D02EA" w14:textId="55D59064" w:rsidR="00F73DAA" w:rsidRPr="00F73DAA" w:rsidRDefault="00F73DAA" w:rsidP="00267E2D">
      <w:pPr>
        <w:pBdr>
          <w:bottom w:val="single" w:sz="4" w:space="1" w:color="auto"/>
        </w:pBdr>
        <w:rPr>
          <w:lang w:val="en-GB"/>
        </w:rPr>
      </w:pPr>
      <w:r w:rsidRPr="00F73DAA">
        <w:rPr>
          <w:lang w:val="en-GB"/>
        </w:rPr>
        <w:t>Simon Marginson</w:t>
      </w:r>
    </w:p>
    <w:p w14:paraId="43335E15" w14:textId="77777777" w:rsidR="0047644C" w:rsidRPr="00F73DAA" w:rsidRDefault="0047644C" w:rsidP="00267E2D">
      <w:pPr>
        <w:pBdr>
          <w:bottom w:val="single" w:sz="4" w:space="1" w:color="auto"/>
        </w:pBdr>
        <w:rPr>
          <w:lang w:val="en-GB"/>
        </w:rPr>
      </w:pPr>
    </w:p>
    <w:p w14:paraId="5890B9C3" w14:textId="77777777" w:rsidR="0047644C" w:rsidRPr="00F73DAA" w:rsidRDefault="0047644C" w:rsidP="00267E2D">
      <w:pPr>
        <w:rPr>
          <w:b/>
          <w:lang w:val="en-GB"/>
        </w:rPr>
      </w:pPr>
    </w:p>
    <w:p w14:paraId="39B2991F" w14:textId="30981FBD" w:rsidR="00267E2D" w:rsidRPr="00F73DAA" w:rsidRDefault="00267E2D" w:rsidP="00267E2D">
      <w:pPr>
        <w:rPr>
          <w:b/>
          <w:lang w:val="en-GB"/>
        </w:rPr>
      </w:pPr>
      <w:r w:rsidRPr="00F73DAA">
        <w:rPr>
          <w:b/>
          <w:lang w:val="en-GB"/>
        </w:rPr>
        <w:t>[Opening slide]</w:t>
      </w:r>
    </w:p>
    <w:p w14:paraId="13A90FAF" w14:textId="77777777" w:rsidR="00267E2D" w:rsidRPr="00F73DAA" w:rsidRDefault="00267E2D" w:rsidP="00267E2D">
      <w:pPr>
        <w:rPr>
          <w:lang w:val="en-GB"/>
        </w:rPr>
      </w:pPr>
    </w:p>
    <w:p w14:paraId="71872DE1" w14:textId="20888C16" w:rsidR="00D71CBF" w:rsidRPr="00F73DAA" w:rsidRDefault="00267E2D" w:rsidP="00267E2D">
      <w:pPr>
        <w:rPr>
          <w:b/>
          <w:lang w:val="en-GB"/>
        </w:rPr>
      </w:pPr>
      <w:r w:rsidRPr="00F73DAA">
        <w:rPr>
          <w:b/>
          <w:iCs/>
          <w:lang w:val="en-GB"/>
        </w:rPr>
        <w:t>The positive role of government in the American 1960s</w:t>
      </w:r>
    </w:p>
    <w:p w14:paraId="4B95843B" w14:textId="4B906EEB" w:rsidR="00514FE0" w:rsidRPr="00F73DAA" w:rsidRDefault="00514FE0" w:rsidP="00267E2D">
      <w:pPr>
        <w:rPr>
          <w:lang w:val="en-GB"/>
        </w:rPr>
      </w:pPr>
      <w:r w:rsidRPr="00F73DAA">
        <w:rPr>
          <w:lang w:val="en-GB"/>
        </w:rPr>
        <w:t>The later 1950s and the 1960s were an extraordinary time</w:t>
      </w:r>
      <w:r w:rsidR="00D71CBF" w:rsidRPr="00F73DAA">
        <w:rPr>
          <w:lang w:val="en-GB"/>
        </w:rPr>
        <w:t xml:space="preserve"> in </w:t>
      </w:r>
      <w:r w:rsidRPr="00F73DAA">
        <w:rPr>
          <w:lang w:val="en-GB"/>
        </w:rPr>
        <w:t xml:space="preserve">the United States. </w:t>
      </w:r>
      <w:r w:rsidR="002917AE" w:rsidRPr="00F73DAA">
        <w:rPr>
          <w:lang w:val="en-GB"/>
        </w:rPr>
        <w:t>T</w:t>
      </w:r>
      <w:r w:rsidR="008471E4" w:rsidRPr="00F73DAA">
        <w:rPr>
          <w:lang w:val="en-GB"/>
        </w:rPr>
        <w:t>h</w:t>
      </w:r>
      <w:r w:rsidR="00D9410D" w:rsidRPr="00F73DAA">
        <w:rPr>
          <w:lang w:val="en-GB"/>
        </w:rPr>
        <w:t xml:space="preserve">e </w:t>
      </w:r>
      <w:r w:rsidR="006B2D68" w:rsidRPr="00F73DAA">
        <w:rPr>
          <w:lang w:val="en-GB"/>
        </w:rPr>
        <w:t>great outpouring</w:t>
      </w:r>
      <w:r w:rsidR="008471E4" w:rsidRPr="00F73DAA">
        <w:rPr>
          <w:lang w:val="en-GB"/>
        </w:rPr>
        <w:t xml:space="preserve"> of </w:t>
      </w:r>
      <w:r w:rsidR="00461E39" w:rsidRPr="00F73DAA">
        <w:rPr>
          <w:lang w:val="en-GB"/>
        </w:rPr>
        <w:t>civil</w:t>
      </w:r>
      <w:r w:rsidR="006B2D68" w:rsidRPr="00F73DAA">
        <w:rPr>
          <w:lang w:val="en-GB"/>
        </w:rPr>
        <w:t xml:space="preserve"> </w:t>
      </w:r>
      <w:r w:rsidR="008471E4" w:rsidRPr="00F73DAA">
        <w:rPr>
          <w:lang w:val="en-GB"/>
        </w:rPr>
        <w:t>energy</w:t>
      </w:r>
      <w:r w:rsidR="002917AE" w:rsidRPr="00F73DAA">
        <w:rPr>
          <w:lang w:val="en-GB"/>
        </w:rPr>
        <w:t xml:space="preserve"> in </w:t>
      </w:r>
      <w:r w:rsidR="00D9410D" w:rsidRPr="00F73DAA">
        <w:rPr>
          <w:lang w:val="en-GB"/>
        </w:rPr>
        <w:t>the second half of the</w:t>
      </w:r>
      <w:r w:rsidR="00267E2D" w:rsidRPr="00F73DAA">
        <w:rPr>
          <w:lang w:val="en-GB"/>
        </w:rPr>
        <w:t xml:space="preserve"> 1960s</w:t>
      </w:r>
      <w:r w:rsidR="006B2D68" w:rsidRPr="00F73DAA">
        <w:rPr>
          <w:lang w:val="en-GB"/>
        </w:rPr>
        <w:t xml:space="preserve">, </w:t>
      </w:r>
      <w:r w:rsidR="00267E2D" w:rsidRPr="00F73DAA">
        <w:rPr>
          <w:lang w:val="en-GB"/>
        </w:rPr>
        <w:t xml:space="preserve">explosive, </w:t>
      </w:r>
      <w:r w:rsidR="006B2D68" w:rsidRPr="00F73DAA">
        <w:rPr>
          <w:lang w:val="en-GB"/>
        </w:rPr>
        <w:t>brilliant and sustained,</w:t>
      </w:r>
      <w:r w:rsidRPr="00F73DAA">
        <w:rPr>
          <w:lang w:val="en-GB"/>
        </w:rPr>
        <w:t xml:space="preserve"> has block</w:t>
      </w:r>
      <w:r w:rsidR="00D9410D" w:rsidRPr="00F73DAA">
        <w:rPr>
          <w:lang w:val="en-GB"/>
        </w:rPr>
        <w:t>ed</w:t>
      </w:r>
      <w:r w:rsidRPr="00F73DAA">
        <w:rPr>
          <w:lang w:val="en-GB"/>
        </w:rPr>
        <w:t xml:space="preserve"> from view the decade before</w:t>
      </w:r>
      <w:r w:rsidR="002917AE" w:rsidRPr="00F73DAA">
        <w:rPr>
          <w:lang w:val="en-GB"/>
        </w:rPr>
        <w:t>,</w:t>
      </w:r>
      <w:r w:rsidRPr="00F73DAA">
        <w:rPr>
          <w:lang w:val="en-GB"/>
        </w:rPr>
        <w:t xml:space="preserve"> </w:t>
      </w:r>
      <w:r w:rsidR="002917AE" w:rsidRPr="00F73DAA">
        <w:rPr>
          <w:lang w:val="en-GB"/>
        </w:rPr>
        <w:t xml:space="preserve">which was </w:t>
      </w:r>
      <w:r w:rsidR="00D35E60" w:rsidRPr="00F73DAA">
        <w:rPr>
          <w:lang w:val="en-GB"/>
        </w:rPr>
        <w:t>marked by</w:t>
      </w:r>
      <w:r w:rsidRPr="00F73DAA">
        <w:rPr>
          <w:lang w:val="en-GB"/>
        </w:rPr>
        <w:t xml:space="preserve"> rising expectations and all-round creativity in many spheres</w:t>
      </w:r>
      <w:r w:rsidR="008471E4" w:rsidRPr="00F73DAA">
        <w:rPr>
          <w:lang w:val="en-GB"/>
        </w:rPr>
        <w:t>, including</w:t>
      </w:r>
      <w:r w:rsidRPr="00F73DAA">
        <w:rPr>
          <w:lang w:val="en-GB"/>
        </w:rPr>
        <w:t xml:space="preserve"> </w:t>
      </w:r>
      <w:r w:rsidR="006B2D68" w:rsidRPr="00F73DAA">
        <w:rPr>
          <w:lang w:val="en-GB"/>
        </w:rPr>
        <w:t>universities</w:t>
      </w:r>
      <w:r w:rsidR="008471E4" w:rsidRPr="00F73DAA">
        <w:rPr>
          <w:lang w:val="en-GB"/>
        </w:rPr>
        <w:t xml:space="preserve">, </w:t>
      </w:r>
      <w:r w:rsidRPr="00F73DAA">
        <w:rPr>
          <w:lang w:val="en-GB"/>
        </w:rPr>
        <w:t>research</w:t>
      </w:r>
      <w:r w:rsidR="002917AE" w:rsidRPr="00F73DAA">
        <w:rPr>
          <w:lang w:val="en-GB"/>
        </w:rPr>
        <w:t xml:space="preserve">, </w:t>
      </w:r>
      <w:r w:rsidRPr="00F73DAA">
        <w:rPr>
          <w:lang w:val="en-GB"/>
        </w:rPr>
        <w:t xml:space="preserve">ideas, and government itself. </w:t>
      </w:r>
      <w:r w:rsidR="0047644C" w:rsidRPr="00F73DAA">
        <w:rPr>
          <w:lang w:val="en-GB"/>
        </w:rPr>
        <w:t xml:space="preserve">Government was </w:t>
      </w:r>
      <w:r w:rsidR="00267E2D" w:rsidRPr="00F73DAA">
        <w:rPr>
          <w:lang w:val="en-GB"/>
        </w:rPr>
        <w:t xml:space="preserve">widely </w:t>
      </w:r>
      <w:r w:rsidR="00D9410D" w:rsidRPr="00F73DAA">
        <w:rPr>
          <w:lang w:val="en-GB"/>
        </w:rPr>
        <w:t>seen</w:t>
      </w:r>
      <w:r w:rsidR="00267E2D" w:rsidRPr="00F73DAA">
        <w:rPr>
          <w:lang w:val="en-GB"/>
        </w:rPr>
        <w:t xml:space="preserve"> as </w:t>
      </w:r>
      <w:r w:rsidR="0047644C" w:rsidRPr="00F73DAA">
        <w:rPr>
          <w:lang w:val="en-GB"/>
        </w:rPr>
        <w:t xml:space="preserve">the site of positive action for the public good, the </w:t>
      </w:r>
      <w:r w:rsidR="00267E2D" w:rsidRPr="00F73DAA">
        <w:rPr>
          <w:lang w:val="en-GB"/>
        </w:rPr>
        <w:t xml:space="preserve">seat of </w:t>
      </w:r>
      <w:r w:rsidR="0047644C" w:rsidRPr="00F73DAA">
        <w:rPr>
          <w:lang w:val="en-GB"/>
        </w:rPr>
        <w:t xml:space="preserve">collective well-being </w:t>
      </w:r>
      <w:r w:rsidR="00267E2D" w:rsidRPr="00F73DAA">
        <w:rPr>
          <w:lang w:val="en-GB"/>
        </w:rPr>
        <w:t xml:space="preserve">even in this, the </w:t>
      </w:r>
      <w:proofErr w:type="gramStart"/>
      <w:r w:rsidR="00267E2D" w:rsidRPr="00F73DAA">
        <w:rPr>
          <w:lang w:val="en-GB"/>
        </w:rPr>
        <w:t>most high</w:t>
      </w:r>
      <w:proofErr w:type="gramEnd"/>
      <w:r w:rsidR="00267E2D" w:rsidRPr="00F73DAA">
        <w:rPr>
          <w:lang w:val="en-GB"/>
        </w:rPr>
        <w:t xml:space="preserve"> capitalist of all societies</w:t>
      </w:r>
      <w:r w:rsidR="0047644C" w:rsidRPr="00F73DAA">
        <w:rPr>
          <w:lang w:val="en-GB"/>
        </w:rPr>
        <w:t>.</w:t>
      </w:r>
      <w:r w:rsidR="00267E2D" w:rsidRPr="00F73DAA">
        <w:rPr>
          <w:lang w:val="en-GB"/>
        </w:rPr>
        <w:t xml:space="preserve"> It was the time of the Space Race, </w:t>
      </w:r>
      <w:r w:rsidR="00D9410D" w:rsidRPr="00F73DAA">
        <w:rPr>
          <w:lang w:val="en-GB"/>
        </w:rPr>
        <w:t xml:space="preserve">and of the </w:t>
      </w:r>
      <w:r w:rsidR="00267E2D" w:rsidRPr="00F73DAA">
        <w:rPr>
          <w:lang w:val="en-GB"/>
        </w:rPr>
        <w:t>civil rights movement</w:t>
      </w:r>
      <w:r w:rsidR="00D9410D" w:rsidRPr="00F73DAA">
        <w:rPr>
          <w:lang w:val="en-GB"/>
        </w:rPr>
        <w:t>,</w:t>
      </w:r>
      <w:r w:rsidR="00267E2D" w:rsidRPr="00F73DAA">
        <w:rPr>
          <w:lang w:val="en-GB"/>
        </w:rPr>
        <w:t xml:space="preserve"> and </w:t>
      </w:r>
      <w:r w:rsidR="00D9410D" w:rsidRPr="00F73DAA">
        <w:rPr>
          <w:lang w:val="en-GB"/>
        </w:rPr>
        <w:t xml:space="preserve">of </w:t>
      </w:r>
      <w:r w:rsidR="00267E2D" w:rsidRPr="00F73DAA">
        <w:rPr>
          <w:lang w:val="en-GB"/>
        </w:rPr>
        <w:t>the birth of the modern public higher education system.</w:t>
      </w:r>
    </w:p>
    <w:p w14:paraId="41FE9FBA" w14:textId="6B795D3F" w:rsidR="000753CF" w:rsidRPr="00F73DAA" w:rsidRDefault="00267E2D" w:rsidP="00267E2D">
      <w:pPr>
        <w:ind w:firstLine="454"/>
        <w:rPr>
          <w:lang w:val="en-GB"/>
        </w:rPr>
      </w:pPr>
      <w:r w:rsidRPr="00F73DAA">
        <w:rPr>
          <w:lang w:val="en-GB"/>
        </w:rPr>
        <w:t xml:space="preserve">Unusual </w:t>
      </w:r>
      <w:r w:rsidR="00514FE0" w:rsidRPr="00F73DAA">
        <w:rPr>
          <w:lang w:val="en-GB"/>
        </w:rPr>
        <w:t xml:space="preserve">circumstances after 1945 opened the way to greater social mobility and a larger role for </w:t>
      </w:r>
      <w:r w:rsidR="00D71CBF" w:rsidRPr="00F73DAA">
        <w:rPr>
          <w:lang w:val="en-GB"/>
        </w:rPr>
        <w:t>social allocation via</w:t>
      </w:r>
      <w:r w:rsidR="00514FE0" w:rsidRPr="00F73DAA">
        <w:rPr>
          <w:lang w:val="en-GB"/>
        </w:rPr>
        <w:t xml:space="preserve"> higher education. </w:t>
      </w:r>
      <w:r w:rsidRPr="00F73DAA">
        <w:rPr>
          <w:lang w:val="en-GB"/>
        </w:rPr>
        <w:t>T</w:t>
      </w:r>
      <w:r w:rsidR="00514FE0" w:rsidRPr="00F73DAA">
        <w:rPr>
          <w:lang w:val="en-GB"/>
        </w:rPr>
        <w:t xml:space="preserve">he </w:t>
      </w:r>
      <w:r w:rsidR="00D9410D" w:rsidRPr="00F73DAA">
        <w:rPr>
          <w:lang w:val="en-GB"/>
        </w:rPr>
        <w:t xml:space="preserve">two </w:t>
      </w:r>
      <w:r w:rsidR="00514FE0" w:rsidRPr="00F73DAA">
        <w:rPr>
          <w:lang w:val="en-GB"/>
        </w:rPr>
        <w:t>world wars and 1930s depression evacuated many of the great fortunes, provid</w:t>
      </w:r>
      <w:r w:rsidRPr="00F73DAA">
        <w:rPr>
          <w:lang w:val="en-GB"/>
        </w:rPr>
        <w:t>ing</w:t>
      </w:r>
      <w:r w:rsidR="00514FE0" w:rsidRPr="00F73DAA">
        <w:rPr>
          <w:lang w:val="en-GB"/>
        </w:rPr>
        <w:t xml:space="preserve"> more space for social mobility. Progressive income tax, capital taxes and inheritance taxes</w:t>
      </w:r>
      <w:r w:rsidRPr="00F73DAA">
        <w:rPr>
          <w:lang w:val="en-GB"/>
        </w:rPr>
        <w:t>,</w:t>
      </w:r>
      <w:r w:rsidR="00514FE0" w:rsidRPr="00F73DAA">
        <w:rPr>
          <w:lang w:val="en-GB"/>
        </w:rPr>
        <w:t xml:space="preserve"> used to mobilize resources for the war effort, continued into the post</w:t>
      </w:r>
      <w:r w:rsidR="000544A3">
        <w:rPr>
          <w:lang w:val="en-GB"/>
        </w:rPr>
        <w:t>-</w:t>
      </w:r>
      <w:r w:rsidR="00514FE0" w:rsidRPr="00F73DAA">
        <w:rPr>
          <w:lang w:val="en-GB"/>
        </w:rPr>
        <w:t xml:space="preserve">war era, reducing inter-generational transfer and </w:t>
      </w:r>
      <w:r w:rsidRPr="00F73DAA">
        <w:rPr>
          <w:lang w:val="en-GB"/>
        </w:rPr>
        <w:t xml:space="preserve">again </w:t>
      </w:r>
      <w:r w:rsidR="00514FE0" w:rsidRPr="00F73DAA">
        <w:rPr>
          <w:lang w:val="en-GB"/>
        </w:rPr>
        <w:t xml:space="preserve">creating more room for </w:t>
      </w:r>
      <w:r w:rsidRPr="00F73DAA">
        <w:rPr>
          <w:lang w:val="en-GB"/>
        </w:rPr>
        <w:t>an expanding</w:t>
      </w:r>
      <w:r w:rsidR="00514FE0" w:rsidRPr="00F73DAA">
        <w:rPr>
          <w:lang w:val="en-GB"/>
        </w:rPr>
        <w:t xml:space="preserve"> middle class.</w:t>
      </w:r>
      <w:r w:rsidR="000753CF" w:rsidRPr="00F73DAA">
        <w:rPr>
          <w:lang w:val="en-GB"/>
        </w:rPr>
        <w:t xml:space="preserve"> Between the 1940s and the 1970s in the US, uniquely in history, savings from labour were the main source of wealth, rather than capital incomes. The long thirty years of economic growth between 1945-1975 drove the expansion of both public and private sector employment and further enlarged the middle class and the meritocratic scope for upward mobility through education and work. This, and research science and technology, brought universities into a central role as pathways to the future.</w:t>
      </w:r>
    </w:p>
    <w:p w14:paraId="17C74D0B" w14:textId="77777777" w:rsidR="000753CF" w:rsidRPr="00F73DAA" w:rsidRDefault="000753CF" w:rsidP="00267E2D">
      <w:pPr>
        <w:ind w:firstLine="454"/>
        <w:rPr>
          <w:lang w:val="en-GB"/>
        </w:rPr>
      </w:pPr>
    </w:p>
    <w:p w14:paraId="24AD2937" w14:textId="3BB47E73" w:rsidR="000753CF" w:rsidRPr="00F73DAA" w:rsidRDefault="000753CF" w:rsidP="00267E2D">
      <w:pPr>
        <w:rPr>
          <w:b/>
          <w:lang w:val="en-GB"/>
        </w:rPr>
      </w:pPr>
      <w:r w:rsidRPr="00F73DAA">
        <w:rPr>
          <w:b/>
          <w:lang w:val="en-GB"/>
        </w:rPr>
        <w:t>[California and Clark Kerr images]</w:t>
      </w:r>
    </w:p>
    <w:p w14:paraId="6EC4D99D" w14:textId="651CF80A" w:rsidR="000753CF" w:rsidRPr="00F73DAA" w:rsidRDefault="000753CF" w:rsidP="000753CF">
      <w:pPr>
        <w:rPr>
          <w:lang w:val="en-GB"/>
        </w:rPr>
      </w:pPr>
      <w:r w:rsidRPr="00F73DAA">
        <w:rPr>
          <w:lang w:val="en-GB"/>
        </w:rPr>
        <w:t xml:space="preserve">At this time the function of public planning was in high esteem, and the need for a higher education plan in late 1950s California was clear—there was rapid growth, there was unregulated sprawl and competition between sectors of education, with no clear division of labour; and the state could finance an expanding system. The central figure was Clark Kerr, Chancellor of UC Berkeley in then President of the University of California from 1958 to 1967. Kerr was the principal architect, instigator, negotiator, advocate and public face of the 1960 California Master Plan for Higher Education, the best known of all blueprints for system organization. He was also author of what is arguably still the best book on research universities, </w:t>
      </w:r>
      <w:r w:rsidRPr="00F73DAA">
        <w:rPr>
          <w:i/>
          <w:lang w:val="en-GB"/>
        </w:rPr>
        <w:t>The Uses of the University</w:t>
      </w:r>
      <w:r w:rsidRPr="00F73DAA">
        <w:rPr>
          <w:lang w:val="en-GB"/>
        </w:rPr>
        <w:t xml:space="preserve"> (1963). </w:t>
      </w:r>
    </w:p>
    <w:p w14:paraId="426FB660" w14:textId="77777777" w:rsidR="000753CF" w:rsidRPr="00F73DAA" w:rsidRDefault="000753CF" w:rsidP="00267E2D">
      <w:pPr>
        <w:rPr>
          <w:lang w:val="en-GB"/>
        </w:rPr>
      </w:pPr>
    </w:p>
    <w:p w14:paraId="1846785F" w14:textId="0B854B3E" w:rsidR="000753CF" w:rsidRPr="00F73DAA" w:rsidRDefault="000753CF" w:rsidP="00267E2D">
      <w:pPr>
        <w:rPr>
          <w:b/>
          <w:lang w:val="en-GB"/>
        </w:rPr>
      </w:pPr>
      <w:r w:rsidRPr="00F73DAA">
        <w:rPr>
          <w:b/>
          <w:lang w:val="en-GB"/>
        </w:rPr>
        <w:t xml:space="preserve">The Master Plan negotiations </w:t>
      </w:r>
    </w:p>
    <w:p w14:paraId="52B46727" w14:textId="141809C2" w:rsidR="000753CF" w:rsidRPr="00F73DAA" w:rsidRDefault="000753CF" w:rsidP="00461216">
      <w:pPr>
        <w:rPr>
          <w:lang w:val="en-GB"/>
        </w:rPr>
      </w:pPr>
      <w:r w:rsidRPr="00F73DAA">
        <w:rPr>
          <w:lang w:val="en-GB"/>
        </w:rPr>
        <w:t xml:space="preserve">The Plan was </w:t>
      </w:r>
      <w:r w:rsidR="00E01D50" w:rsidRPr="00F73DAA">
        <w:rPr>
          <w:lang w:val="en-GB"/>
        </w:rPr>
        <w:t>less</w:t>
      </w:r>
      <w:r w:rsidRPr="00F73DAA">
        <w:rPr>
          <w:lang w:val="en-GB"/>
        </w:rPr>
        <w:t xml:space="preserve"> a system blueprint </w:t>
      </w:r>
      <w:r w:rsidR="00E01D50" w:rsidRPr="00F73DAA">
        <w:rPr>
          <w:lang w:val="en-GB"/>
        </w:rPr>
        <w:t>than</w:t>
      </w:r>
      <w:r w:rsidRPr="00F73DAA">
        <w:rPr>
          <w:lang w:val="en-GB"/>
        </w:rPr>
        <w:t xml:space="preserve"> a hard-negotiated bargain between contending parties</w:t>
      </w:r>
      <w:r w:rsidR="00461216" w:rsidRPr="00F73DAA">
        <w:rPr>
          <w:lang w:val="en-GB"/>
        </w:rPr>
        <w:t>, in which Kerr protect</w:t>
      </w:r>
      <w:r w:rsidR="00E01D50" w:rsidRPr="00F73DAA">
        <w:rPr>
          <w:lang w:val="en-GB"/>
        </w:rPr>
        <w:t>ed</w:t>
      </w:r>
      <w:r w:rsidR="00461216" w:rsidRPr="00F73DAA">
        <w:rPr>
          <w:lang w:val="en-GB"/>
        </w:rPr>
        <w:t xml:space="preserve"> the University of California’s monopoly of research</w:t>
      </w:r>
      <w:r w:rsidR="00E01D50" w:rsidRPr="00F73DAA">
        <w:rPr>
          <w:lang w:val="en-GB"/>
        </w:rPr>
        <w:t xml:space="preserve"> and doctoral education</w:t>
      </w:r>
      <w:r w:rsidR="00461216" w:rsidRPr="00F73DAA">
        <w:rPr>
          <w:lang w:val="en-GB"/>
        </w:rPr>
        <w:t>. T</w:t>
      </w:r>
      <w:r w:rsidRPr="00F73DAA">
        <w:rPr>
          <w:lang w:val="en-GB"/>
        </w:rPr>
        <w:t xml:space="preserve">hough the </w:t>
      </w:r>
      <w:r w:rsidR="00461216" w:rsidRPr="00F73DAA">
        <w:rPr>
          <w:lang w:val="en-GB"/>
        </w:rPr>
        <w:t xml:space="preserve">state </w:t>
      </w:r>
      <w:r w:rsidRPr="00F73DAA">
        <w:rPr>
          <w:lang w:val="en-GB"/>
        </w:rPr>
        <w:t xml:space="preserve">colleges gained coherence and autonomy as a sector, they were unable to secure the </w:t>
      </w:r>
      <w:r w:rsidR="00E01D50" w:rsidRPr="00F73DAA">
        <w:rPr>
          <w:lang w:val="en-GB"/>
        </w:rPr>
        <w:t xml:space="preserve">research </w:t>
      </w:r>
      <w:r w:rsidRPr="00F73DAA">
        <w:rPr>
          <w:lang w:val="en-GB"/>
        </w:rPr>
        <w:t xml:space="preserve">role they wanted. </w:t>
      </w:r>
    </w:p>
    <w:p w14:paraId="4912041A" w14:textId="170A0DF3" w:rsidR="00461216" w:rsidRPr="00F73DAA" w:rsidRDefault="00461216" w:rsidP="00461216">
      <w:pPr>
        <w:rPr>
          <w:lang w:val="en-GB"/>
        </w:rPr>
      </w:pPr>
      <w:r w:rsidRPr="00F73DAA">
        <w:rPr>
          <w:lang w:val="en-GB"/>
        </w:rPr>
        <w:tab/>
        <w:t xml:space="preserve">The hallmark of the Master Plan was that </w:t>
      </w:r>
      <w:r w:rsidR="00E01D50" w:rsidRPr="00F73DAA">
        <w:rPr>
          <w:lang w:val="en-GB"/>
        </w:rPr>
        <w:t xml:space="preserve">in the rhetoric, and at first in the reality </w:t>
      </w:r>
      <w:r w:rsidRPr="00F73DAA">
        <w:rPr>
          <w:lang w:val="en-GB"/>
        </w:rPr>
        <w:t xml:space="preserve">it combined the principles of excellence and access. </w:t>
      </w:r>
      <w:r w:rsidR="00E01D50" w:rsidRPr="00F73DAA">
        <w:rPr>
          <w:lang w:val="en-GB"/>
        </w:rPr>
        <w:t>T</w:t>
      </w:r>
      <w:r w:rsidRPr="00F73DAA">
        <w:rPr>
          <w:lang w:val="en-GB"/>
        </w:rPr>
        <w:t xml:space="preserve">hese </w:t>
      </w:r>
      <w:r w:rsidR="00E01D50" w:rsidRPr="00F73DAA">
        <w:rPr>
          <w:lang w:val="en-GB"/>
        </w:rPr>
        <w:t>were previously</w:t>
      </w:r>
      <w:r w:rsidRPr="00F73DAA">
        <w:rPr>
          <w:lang w:val="en-GB"/>
        </w:rPr>
        <w:t xml:space="preserve"> seen as </w:t>
      </w:r>
      <w:r w:rsidRPr="00F73DAA">
        <w:rPr>
          <w:lang w:val="en-GB"/>
        </w:rPr>
        <w:lastRenderedPageBreak/>
        <w:t xml:space="preserve">opposing principles but Kerr and the Master Planners showed that it was possible to </w:t>
      </w:r>
      <w:r w:rsidR="00E01D50" w:rsidRPr="00F73DAA">
        <w:rPr>
          <w:lang w:val="en-GB"/>
        </w:rPr>
        <w:t>have both within a single system, though at the price of a steep hierarchy</w:t>
      </w:r>
      <w:r w:rsidRPr="00F73DAA">
        <w:rPr>
          <w:lang w:val="en-GB"/>
        </w:rPr>
        <w:t xml:space="preserve">. The Master Plan established a three-tier structure </w:t>
      </w:r>
      <w:r w:rsidR="00E01D50" w:rsidRPr="00F73DAA">
        <w:rPr>
          <w:lang w:val="en-GB"/>
        </w:rPr>
        <w:t>of institutions</w:t>
      </w:r>
      <w:r w:rsidRPr="00F73DAA">
        <w:rPr>
          <w:lang w:val="en-GB"/>
        </w:rPr>
        <w:t>.</w:t>
      </w:r>
    </w:p>
    <w:p w14:paraId="69077B17" w14:textId="77777777" w:rsidR="000753CF" w:rsidRPr="00F73DAA" w:rsidRDefault="000753CF" w:rsidP="00267E2D">
      <w:pPr>
        <w:rPr>
          <w:lang w:val="en-GB"/>
        </w:rPr>
      </w:pPr>
    </w:p>
    <w:p w14:paraId="5F0A00BD" w14:textId="06571040" w:rsidR="000753CF" w:rsidRPr="00F73DAA" w:rsidRDefault="00E01D50" w:rsidP="00267E2D">
      <w:pPr>
        <w:rPr>
          <w:b/>
          <w:lang w:val="en-GB"/>
        </w:rPr>
      </w:pPr>
      <w:r w:rsidRPr="00F73DAA">
        <w:rPr>
          <w:b/>
          <w:lang w:val="en-GB"/>
        </w:rPr>
        <w:t>California</w:t>
      </w:r>
      <w:r w:rsidR="000753CF" w:rsidRPr="00F73DAA">
        <w:rPr>
          <w:b/>
          <w:lang w:val="en-GB"/>
        </w:rPr>
        <w:t xml:space="preserve"> Master Plan </w:t>
      </w:r>
      <w:r w:rsidRPr="00F73DAA">
        <w:rPr>
          <w:b/>
          <w:lang w:val="en-GB"/>
        </w:rPr>
        <w:t>1960</w:t>
      </w:r>
      <w:r w:rsidR="000753CF" w:rsidRPr="00F73DAA">
        <w:rPr>
          <w:b/>
          <w:lang w:val="en-GB"/>
        </w:rPr>
        <w:t xml:space="preserve"> </w:t>
      </w:r>
    </w:p>
    <w:p w14:paraId="076B3365" w14:textId="4DD78606" w:rsidR="000753CF" w:rsidRPr="00F73DAA" w:rsidRDefault="000753CF" w:rsidP="00461216">
      <w:pPr>
        <w:rPr>
          <w:lang w:val="en-GB"/>
        </w:rPr>
      </w:pPr>
      <w:r w:rsidRPr="00F73DAA">
        <w:rPr>
          <w:lang w:val="en-GB"/>
        </w:rPr>
        <w:t xml:space="preserve">The University of California </w:t>
      </w:r>
      <w:r w:rsidR="00E01D50" w:rsidRPr="00F73DAA">
        <w:rPr>
          <w:lang w:val="en-GB"/>
        </w:rPr>
        <w:t xml:space="preserve">campuses </w:t>
      </w:r>
      <w:r w:rsidRPr="00F73DAA">
        <w:rPr>
          <w:lang w:val="en-GB"/>
        </w:rPr>
        <w:t xml:space="preserve">secured </w:t>
      </w:r>
      <w:r w:rsidR="00E01D50" w:rsidRPr="00F73DAA">
        <w:rPr>
          <w:lang w:val="en-GB"/>
        </w:rPr>
        <w:t>their</w:t>
      </w:r>
      <w:r w:rsidRPr="00F73DAA">
        <w:rPr>
          <w:lang w:val="en-GB"/>
        </w:rPr>
        <w:t xml:space="preserve"> role as ‘excellent’ </w:t>
      </w:r>
      <w:r w:rsidR="00E01D50" w:rsidRPr="00F73DAA">
        <w:rPr>
          <w:lang w:val="en-GB"/>
        </w:rPr>
        <w:t xml:space="preserve">not only </w:t>
      </w:r>
      <w:r w:rsidRPr="00F73DAA">
        <w:rPr>
          <w:lang w:val="en-GB"/>
        </w:rPr>
        <w:t xml:space="preserve">by monopolizing research </w:t>
      </w:r>
      <w:r w:rsidR="00E01D50" w:rsidRPr="00F73DAA">
        <w:rPr>
          <w:lang w:val="en-GB"/>
        </w:rPr>
        <w:t>but by</w:t>
      </w:r>
      <w:r w:rsidRPr="00F73DAA">
        <w:rPr>
          <w:lang w:val="en-GB"/>
        </w:rPr>
        <w:t xml:space="preserve"> recruiting from the top 12.5 per cent </w:t>
      </w:r>
      <w:r w:rsidR="00D21CB5" w:rsidRPr="00F73DAA">
        <w:rPr>
          <w:lang w:val="en-GB"/>
        </w:rPr>
        <w:t xml:space="preserve">of </w:t>
      </w:r>
      <w:r w:rsidRPr="00F73DAA">
        <w:rPr>
          <w:lang w:val="en-GB"/>
        </w:rPr>
        <w:t>high school graduate</w:t>
      </w:r>
      <w:r w:rsidR="00D21CB5" w:rsidRPr="00F73DAA">
        <w:rPr>
          <w:lang w:val="en-GB"/>
        </w:rPr>
        <w:t>s</w:t>
      </w:r>
      <w:r w:rsidRPr="00F73DAA">
        <w:rPr>
          <w:lang w:val="en-GB"/>
        </w:rPr>
        <w:t xml:space="preserve">. The UC was separated from the two-year community colleges </w:t>
      </w:r>
      <w:r w:rsidR="00D21CB5" w:rsidRPr="00F73DAA">
        <w:rPr>
          <w:lang w:val="en-GB"/>
        </w:rPr>
        <w:t xml:space="preserve">enrolling most of the students </w:t>
      </w:r>
      <w:r w:rsidRPr="00F73DAA">
        <w:rPr>
          <w:lang w:val="en-GB"/>
        </w:rPr>
        <w:t xml:space="preserve">by the middle sector, the state colleges, </w:t>
      </w:r>
      <w:r w:rsidR="00D21CB5" w:rsidRPr="00F73DAA">
        <w:rPr>
          <w:lang w:val="en-GB"/>
        </w:rPr>
        <w:t>providing</w:t>
      </w:r>
      <w:r w:rsidRPr="00F73DAA">
        <w:rPr>
          <w:lang w:val="en-GB"/>
        </w:rPr>
        <w:t xml:space="preserve"> four-year degrees to the top 33.3 per cent. The downward segmentation of opportunity, with firm barriers </w:t>
      </w:r>
      <w:r w:rsidR="00E01D50" w:rsidRPr="00F73DAA">
        <w:rPr>
          <w:lang w:val="en-GB"/>
        </w:rPr>
        <w:t>against</w:t>
      </w:r>
      <w:r w:rsidRPr="00F73DAA">
        <w:rPr>
          <w:lang w:val="en-GB"/>
        </w:rPr>
        <w:t xml:space="preserve"> upward academic drift by two-year and four-year institutions, was </w:t>
      </w:r>
      <w:r w:rsidR="005F6353" w:rsidRPr="00F73DAA">
        <w:rPr>
          <w:lang w:val="en-GB"/>
        </w:rPr>
        <w:t xml:space="preserve">meant to be </w:t>
      </w:r>
      <w:r w:rsidRPr="00F73DAA">
        <w:rPr>
          <w:lang w:val="en-GB"/>
        </w:rPr>
        <w:t xml:space="preserve">softened by </w:t>
      </w:r>
      <w:r w:rsidR="00D21CB5" w:rsidRPr="00F73DAA">
        <w:rPr>
          <w:lang w:val="en-GB"/>
        </w:rPr>
        <w:t>upward transfer</w:t>
      </w:r>
      <w:r w:rsidRPr="00F73DAA">
        <w:rPr>
          <w:lang w:val="en-GB"/>
        </w:rPr>
        <w:t xml:space="preserve"> between tiers. </w:t>
      </w:r>
    </w:p>
    <w:p w14:paraId="544FBCFC" w14:textId="6AE297C8" w:rsidR="000753CF" w:rsidRPr="00F73DAA" w:rsidRDefault="000753CF" w:rsidP="00D21CB5">
      <w:pPr>
        <w:rPr>
          <w:lang w:val="en-GB"/>
        </w:rPr>
      </w:pPr>
      <w:r w:rsidRPr="00F73DAA">
        <w:rPr>
          <w:lang w:val="en-GB"/>
        </w:rPr>
        <w:tab/>
      </w:r>
      <w:r w:rsidR="00D21CB5" w:rsidRPr="00F73DAA">
        <w:rPr>
          <w:lang w:val="en-GB"/>
        </w:rPr>
        <w:t>T</w:t>
      </w:r>
      <w:r w:rsidRPr="00F73DAA">
        <w:rPr>
          <w:lang w:val="en-GB"/>
        </w:rPr>
        <w:t xml:space="preserve">he revolutionary change </w:t>
      </w:r>
      <w:r w:rsidR="00D21CB5" w:rsidRPr="00F73DAA">
        <w:rPr>
          <w:lang w:val="en-GB"/>
        </w:rPr>
        <w:t xml:space="preserve">for the time </w:t>
      </w:r>
      <w:r w:rsidRPr="00F73DAA">
        <w:rPr>
          <w:lang w:val="en-GB"/>
        </w:rPr>
        <w:t xml:space="preserve">was open access. The Plan ‘guaranteed that there would be a place in college for every high school graduate or person otherwise qualified who chose to attend,’ as Kerr put it. </w:t>
      </w:r>
      <w:r w:rsidR="00D21CB5" w:rsidRPr="00F73DAA">
        <w:rPr>
          <w:lang w:val="en-GB"/>
        </w:rPr>
        <w:t xml:space="preserve">California was the first system to do this. </w:t>
      </w:r>
      <w:r w:rsidRPr="00F73DAA">
        <w:rPr>
          <w:lang w:val="en-GB"/>
        </w:rPr>
        <w:t xml:space="preserve">The Master Plan promised a tripling of the enrolment by 1975. While universal access was attractive, in fiscal terms it was not as lavish as it might appear. For the first 15 years the Master Plan promised to save money by shifting part of the </w:t>
      </w:r>
      <w:r w:rsidR="00D21CB5" w:rsidRPr="00F73DAA">
        <w:rPr>
          <w:lang w:val="en-GB"/>
        </w:rPr>
        <w:t xml:space="preserve">previously </w:t>
      </w:r>
      <w:r w:rsidRPr="00F73DAA">
        <w:rPr>
          <w:lang w:val="en-GB"/>
        </w:rPr>
        <w:t>expected growth from four-year to two-year institutions</w:t>
      </w:r>
      <w:r w:rsidR="00D21CB5" w:rsidRPr="00F73DAA">
        <w:rPr>
          <w:lang w:val="en-GB"/>
        </w:rPr>
        <w:t>.</w:t>
      </w:r>
      <w:r w:rsidRPr="00F73DAA">
        <w:rPr>
          <w:lang w:val="en-GB"/>
        </w:rPr>
        <w:t xml:space="preserve"> </w:t>
      </w:r>
    </w:p>
    <w:p w14:paraId="5358D677" w14:textId="77777777" w:rsidR="000753CF" w:rsidRPr="00F73DAA" w:rsidRDefault="000753CF" w:rsidP="00267E2D">
      <w:pPr>
        <w:rPr>
          <w:lang w:val="en-GB"/>
        </w:rPr>
      </w:pPr>
    </w:p>
    <w:p w14:paraId="122872EB" w14:textId="303D9AD9" w:rsidR="000753CF" w:rsidRPr="00F73DAA" w:rsidRDefault="000753CF" w:rsidP="00267E2D">
      <w:pPr>
        <w:rPr>
          <w:b/>
          <w:lang w:val="en-GB"/>
        </w:rPr>
      </w:pPr>
      <w:r w:rsidRPr="00F73DAA">
        <w:rPr>
          <w:b/>
          <w:lang w:val="en-GB"/>
        </w:rPr>
        <w:t xml:space="preserve">The public mission </w:t>
      </w:r>
    </w:p>
    <w:p w14:paraId="04BEE17A" w14:textId="61E4FA30" w:rsidR="000753CF" w:rsidRPr="00F73DAA" w:rsidRDefault="000753CF" w:rsidP="00267E2D">
      <w:pPr>
        <w:rPr>
          <w:lang w:val="en-GB"/>
        </w:rPr>
      </w:pPr>
      <w:r w:rsidRPr="00F73DAA">
        <w:rPr>
          <w:lang w:val="en-GB"/>
        </w:rPr>
        <w:t xml:space="preserve">The California Master Plan tell us much about the commitment of then Californian society, and perhaps American society, to the collective public good. It was public vision and public dollars that built the California system. If California had left the task of building </w:t>
      </w:r>
      <w:r w:rsidR="00D21CB5" w:rsidRPr="00F73DAA">
        <w:rPr>
          <w:lang w:val="en-GB"/>
        </w:rPr>
        <w:t xml:space="preserve">its higher education system </w:t>
      </w:r>
      <w:r w:rsidRPr="00F73DAA">
        <w:rPr>
          <w:lang w:val="en-GB"/>
        </w:rPr>
        <w:t xml:space="preserve">to the market, </w:t>
      </w:r>
      <w:r w:rsidR="00D21CB5" w:rsidRPr="00F73DAA">
        <w:rPr>
          <w:lang w:val="en-GB"/>
        </w:rPr>
        <w:t>the state</w:t>
      </w:r>
      <w:r w:rsidRPr="00F73DAA">
        <w:rPr>
          <w:lang w:val="en-GB"/>
        </w:rPr>
        <w:t xml:space="preserve"> would still be waiting.  </w:t>
      </w:r>
    </w:p>
    <w:p w14:paraId="037CE0CA" w14:textId="5E81D1D5" w:rsidR="000753CF" w:rsidRPr="00F73DAA" w:rsidRDefault="000753CF" w:rsidP="00267E2D">
      <w:pPr>
        <w:ind w:firstLine="454"/>
        <w:rPr>
          <w:lang w:val="en-GB"/>
        </w:rPr>
      </w:pPr>
      <w:r w:rsidRPr="00F73DAA">
        <w:rPr>
          <w:lang w:val="en-GB"/>
        </w:rPr>
        <w:t xml:space="preserve">The Master Plan was quintessentially public in its commitment to universal access and its systemic character, in </w:t>
      </w:r>
      <w:r w:rsidR="00D21CB5" w:rsidRPr="00F73DAA">
        <w:rPr>
          <w:lang w:val="en-GB"/>
        </w:rPr>
        <w:t>its</w:t>
      </w:r>
      <w:r w:rsidRPr="00F73DAA">
        <w:rPr>
          <w:lang w:val="en-GB"/>
        </w:rPr>
        <w:t xml:space="preserve"> three </w:t>
      </w:r>
      <w:r w:rsidR="00D21CB5" w:rsidRPr="00F73DAA">
        <w:rPr>
          <w:lang w:val="en-GB"/>
        </w:rPr>
        <w:t xml:space="preserve">interdependent </w:t>
      </w:r>
      <w:r w:rsidRPr="00F73DAA">
        <w:rPr>
          <w:lang w:val="en-GB"/>
        </w:rPr>
        <w:t xml:space="preserve">sub-sectors </w:t>
      </w:r>
      <w:r w:rsidR="00D21CB5" w:rsidRPr="00F73DAA">
        <w:rPr>
          <w:lang w:val="en-GB"/>
        </w:rPr>
        <w:t xml:space="preserve">of institutions operating </w:t>
      </w:r>
      <w:r w:rsidRPr="00F73DAA">
        <w:rPr>
          <w:lang w:val="en-GB"/>
        </w:rPr>
        <w:t xml:space="preserve">within </w:t>
      </w:r>
      <w:r w:rsidR="00D21CB5" w:rsidRPr="00F73DAA">
        <w:rPr>
          <w:lang w:val="en-GB"/>
        </w:rPr>
        <w:t>a common</w:t>
      </w:r>
      <w:r w:rsidRPr="00F73DAA">
        <w:rPr>
          <w:lang w:val="en-GB"/>
        </w:rPr>
        <w:t xml:space="preserve"> framework. Institutions competed with each other but within structured limits. It was </w:t>
      </w:r>
      <w:r w:rsidR="00F02FA4" w:rsidRPr="00F73DAA">
        <w:rPr>
          <w:lang w:val="en-GB"/>
        </w:rPr>
        <w:t xml:space="preserve">(and is) </w:t>
      </w:r>
      <w:r w:rsidRPr="00F73DAA">
        <w:rPr>
          <w:lang w:val="en-GB"/>
        </w:rPr>
        <w:t>a major departure from the idea of university as stand-alone firm</w:t>
      </w:r>
      <w:r w:rsidR="00F02FA4" w:rsidRPr="00F73DAA">
        <w:rPr>
          <w:lang w:val="en-GB"/>
        </w:rPr>
        <w:t xml:space="preserve">, </w:t>
      </w:r>
      <w:r w:rsidRPr="00F73DAA">
        <w:rPr>
          <w:lang w:val="en-GB"/>
        </w:rPr>
        <w:t xml:space="preserve">then influential in the American private sector, and more dominant in thinking about higher education today. </w:t>
      </w:r>
    </w:p>
    <w:p w14:paraId="1A3B8608" w14:textId="3602D7D2" w:rsidR="000753CF" w:rsidRPr="00F73DAA" w:rsidRDefault="000753CF" w:rsidP="00267E2D">
      <w:pPr>
        <w:ind w:firstLine="454"/>
        <w:rPr>
          <w:lang w:val="en-GB"/>
        </w:rPr>
      </w:pPr>
      <w:r w:rsidRPr="00F73DAA">
        <w:rPr>
          <w:lang w:val="en-GB"/>
        </w:rPr>
        <w:t xml:space="preserve">The </w:t>
      </w:r>
      <w:r w:rsidR="00F02FA4" w:rsidRPr="00F73DAA">
        <w:rPr>
          <w:lang w:val="en-GB"/>
        </w:rPr>
        <w:t xml:space="preserve">Master </w:t>
      </w:r>
      <w:r w:rsidRPr="00F73DAA">
        <w:rPr>
          <w:lang w:val="en-GB"/>
        </w:rPr>
        <w:t xml:space="preserve">Plan </w:t>
      </w:r>
      <w:r w:rsidR="00F02FA4" w:rsidRPr="00F73DAA">
        <w:rPr>
          <w:lang w:val="en-GB"/>
        </w:rPr>
        <w:t xml:space="preserve">also </w:t>
      </w:r>
      <w:r w:rsidRPr="00F73DAA">
        <w:rPr>
          <w:lang w:val="en-GB"/>
        </w:rPr>
        <w:t xml:space="preserve">sustained the long-term autonomy of </w:t>
      </w:r>
      <w:r w:rsidR="00F02FA4" w:rsidRPr="00F73DAA">
        <w:rPr>
          <w:lang w:val="en-GB"/>
        </w:rPr>
        <w:t xml:space="preserve">public HEIs </w:t>
      </w:r>
      <w:r w:rsidRPr="00F73DAA">
        <w:rPr>
          <w:lang w:val="en-GB"/>
        </w:rPr>
        <w:t xml:space="preserve">in a highly politicized state. </w:t>
      </w:r>
      <w:r w:rsidR="00F02FA4" w:rsidRPr="00F73DAA">
        <w:rPr>
          <w:lang w:val="en-GB"/>
        </w:rPr>
        <w:t>P</w:t>
      </w:r>
      <w:r w:rsidRPr="00F73DAA">
        <w:rPr>
          <w:lang w:val="en-GB"/>
        </w:rPr>
        <w:t xml:space="preserve">rovided all sectors kept to the rules, higher education could more or less regulate itself. The constituent campuses of the University of California were protected by the Office of the President from the direct interference that plagued public universities in other states. Legally, the UC campuses were not owned by the state government, or the people of California, but by the </w:t>
      </w:r>
      <w:r w:rsidR="00F02FA4" w:rsidRPr="00F73DAA">
        <w:rPr>
          <w:lang w:val="en-GB"/>
        </w:rPr>
        <w:t xml:space="preserve">UC </w:t>
      </w:r>
      <w:r w:rsidRPr="00F73DAA">
        <w:rPr>
          <w:lang w:val="en-GB"/>
        </w:rPr>
        <w:t xml:space="preserve">regents, though the funding relationship with the state </w:t>
      </w:r>
      <w:r w:rsidR="00F02FA4" w:rsidRPr="00F73DAA">
        <w:rPr>
          <w:lang w:val="en-GB"/>
        </w:rPr>
        <w:t>ensur</w:t>
      </w:r>
      <w:r w:rsidRPr="00F73DAA">
        <w:rPr>
          <w:lang w:val="en-GB"/>
        </w:rPr>
        <w:t xml:space="preserve">ed continuing ties. The state colleges, later the California State University, were sustained by a new Board of Trustees which ensured that they no longer competed against each other without constraint. </w:t>
      </w:r>
      <w:r w:rsidR="003D7456" w:rsidRPr="00F73DAA">
        <w:rPr>
          <w:lang w:val="en-GB"/>
        </w:rPr>
        <w:t>T</w:t>
      </w:r>
      <w:r w:rsidRPr="00F73DAA">
        <w:rPr>
          <w:lang w:val="en-GB"/>
        </w:rPr>
        <w:t>here was a low-key coordinating council to ensure cooperation between the sectors</w:t>
      </w:r>
      <w:r w:rsidR="003D7456" w:rsidRPr="00F73DAA">
        <w:rPr>
          <w:lang w:val="en-GB"/>
        </w:rPr>
        <w:t>, though it was eventually eliminated in the post 2008 recession cuts</w:t>
      </w:r>
      <w:r w:rsidRPr="00F73DAA">
        <w:rPr>
          <w:lang w:val="en-GB"/>
        </w:rPr>
        <w:t xml:space="preserve">. </w:t>
      </w:r>
    </w:p>
    <w:p w14:paraId="1A38B1FD" w14:textId="142C684D" w:rsidR="000753CF" w:rsidRPr="00F73DAA" w:rsidRDefault="003D7456" w:rsidP="003D7456">
      <w:pPr>
        <w:ind w:firstLine="454"/>
        <w:rPr>
          <w:lang w:val="en-GB"/>
        </w:rPr>
      </w:pPr>
      <w:r w:rsidRPr="00F73DAA">
        <w:rPr>
          <w:lang w:val="en-GB"/>
        </w:rPr>
        <w:t>I</w:t>
      </w:r>
      <w:r w:rsidR="000753CF" w:rsidRPr="00F73DAA">
        <w:rPr>
          <w:lang w:val="en-GB"/>
        </w:rPr>
        <w:t>nstitution</w:t>
      </w:r>
      <w:r w:rsidRPr="00F73DAA">
        <w:rPr>
          <w:lang w:val="en-GB"/>
        </w:rPr>
        <w:t>al autonomy</w:t>
      </w:r>
      <w:r w:rsidR="000753CF" w:rsidRPr="00F73DAA">
        <w:rPr>
          <w:lang w:val="en-GB"/>
        </w:rPr>
        <w:t xml:space="preserve"> did not necessarily contradict the public character of the Master Plan. </w:t>
      </w:r>
      <w:r w:rsidRPr="00F73DAA">
        <w:rPr>
          <w:lang w:val="en-GB"/>
        </w:rPr>
        <w:t>H</w:t>
      </w:r>
      <w:r w:rsidR="000753CF" w:rsidRPr="00F73DAA">
        <w:rPr>
          <w:lang w:val="en-GB"/>
        </w:rPr>
        <w:t xml:space="preserve">igher education was positioned as a kind of public civil society, separate from government. </w:t>
      </w:r>
      <w:r w:rsidRPr="00F73DAA">
        <w:rPr>
          <w:lang w:val="en-GB"/>
        </w:rPr>
        <w:t>P</w:t>
      </w:r>
      <w:r w:rsidR="000753CF" w:rsidRPr="00F73DAA">
        <w:rPr>
          <w:lang w:val="en-GB"/>
        </w:rPr>
        <w:t xml:space="preserve">ublic connectivity </w:t>
      </w:r>
      <w:r w:rsidRPr="00F73DAA">
        <w:rPr>
          <w:lang w:val="en-GB"/>
        </w:rPr>
        <w:t>was ensured by its governing</w:t>
      </w:r>
      <w:r w:rsidR="000753CF" w:rsidRPr="00F73DAA">
        <w:rPr>
          <w:lang w:val="en-GB"/>
        </w:rPr>
        <w:t xml:space="preserve"> boards but </w:t>
      </w:r>
      <w:r w:rsidRPr="00F73DAA">
        <w:rPr>
          <w:lang w:val="en-GB"/>
        </w:rPr>
        <w:t>individual institutions chose</w:t>
      </w:r>
      <w:r w:rsidR="000753CF" w:rsidRPr="00F73DAA">
        <w:rPr>
          <w:lang w:val="en-GB"/>
        </w:rPr>
        <w:t xml:space="preserve"> the ways in which they would be socially responsive. </w:t>
      </w:r>
      <w:r w:rsidRPr="00F73DAA">
        <w:rPr>
          <w:lang w:val="en-GB"/>
        </w:rPr>
        <w:t xml:space="preserve">They were </w:t>
      </w:r>
      <w:r w:rsidR="000753CF" w:rsidRPr="00F73DAA">
        <w:rPr>
          <w:lang w:val="en-GB"/>
        </w:rPr>
        <w:t xml:space="preserve">democratic in purpose, access and transparency, and in the range of social engagement, but closed to electoral contest or political capture. </w:t>
      </w:r>
      <w:r w:rsidRPr="00F73DAA">
        <w:rPr>
          <w:lang w:val="en-GB"/>
        </w:rPr>
        <w:t>Yet they</w:t>
      </w:r>
      <w:r w:rsidR="000753CF" w:rsidRPr="00F73DAA">
        <w:rPr>
          <w:lang w:val="en-GB"/>
        </w:rPr>
        <w:t xml:space="preserve"> could not retreat too far from public responsibility. The trust inherent in the Master Plan rested </w:t>
      </w:r>
      <w:r w:rsidR="000753CF" w:rsidRPr="00F73DAA">
        <w:rPr>
          <w:lang w:val="en-GB"/>
        </w:rPr>
        <w:lastRenderedPageBreak/>
        <w:t>on the</w:t>
      </w:r>
      <w:r w:rsidR="00FE7E3C" w:rsidRPr="00F73DAA">
        <w:rPr>
          <w:lang w:val="en-GB"/>
        </w:rPr>
        <w:t>ir</w:t>
      </w:r>
      <w:r w:rsidR="000753CF" w:rsidRPr="00F73DAA">
        <w:rPr>
          <w:lang w:val="en-GB"/>
        </w:rPr>
        <w:t xml:space="preserve"> capacity to identify and meet emerging social needs, to listen to vocal groups, and also </w:t>
      </w:r>
      <w:r w:rsidR="00FE7E3C" w:rsidRPr="00F73DAA">
        <w:rPr>
          <w:lang w:val="en-GB"/>
        </w:rPr>
        <w:t>to persuade those groups</w:t>
      </w:r>
      <w:r w:rsidR="000753CF" w:rsidRPr="00F73DAA">
        <w:rPr>
          <w:lang w:val="en-GB"/>
        </w:rPr>
        <w:t xml:space="preserve"> that </w:t>
      </w:r>
      <w:r w:rsidR="00FE7E3C" w:rsidRPr="00F73DAA">
        <w:rPr>
          <w:lang w:val="en-GB"/>
        </w:rPr>
        <w:t xml:space="preserve">the Californian way was research excellence plus </w:t>
      </w:r>
      <w:r w:rsidR="000753CF" w:rsidRPr="00F73DAA">
        <w:rPr>
          <w:lang w:val="en-GB"/>
        </w:rPr>
        <w:t>higher education for all. In this gift economy, what the higher education institutions offered to the public, jointly and severally, were the gifts of mass education, meritocracy, discovery</w:t>
      </w:r>
      <w:r w:rsidR="00FE7E3C" w:rsidRPr="00F73DAA">
        <w:rPr>
          <w:lang w:val="en-GB"/>
        </w:rPr>
        <w:t>, professional training</w:t>
      </w:r>
      <w:r w:rsidR="000753CF" w:rsidRPr="00F73DAA">
        <w:rPr>
          <w:lang w:val="en-GB"/>
        </w:rPr>
        <w:t xml:space="preserve"> and intellectual leadership. </w:t>
      </w:r>
    </w:p>
    <w:p w14:paraId="6CBE3382" w14:textId="3619A667" w:rsidR="000753CF" w:rsidRPr="00F73DAA" w:rsidRDefault="000753CF" w:rsidP="00267E2D">
      <w:pPr>
        <w:ind w:firstLine="454"/>
        <w:rPr>
          <w:lang w:val="en-GB"/>
        </w:rPr>
      </w:pPr>
      <w:r w:rsidRPr="00F73DAA">
        <w:rPr>
          <w:lang w:val="en-GB"/>
        </w:rPr>
        <w:t xml:space="preserve">In public non-market production there is no natural limit to the volume and quality of outputs. There are merely opportunity costs, when within a bundle of finite resources one course of action is chosen over another. There are also limits to the imagination, but this is less of a constraint in </w:t>
      </w:r>
      <w:r w:rsidR="00687D19" w:rsidRPr="00F73DAA">
        <w:rPr>
          <w:lang w:val="en-GB"/>
        </w:rPr>
        <w:t>high-</w:t>
      </w:r>
      <w:r w:rsidRPr="00F73DAA">
        <w:rPr>
          <w:lang w:val="en-GB"/>
        </w:rPr>
        <w:t>research universities</w:t>
      </w:r>
      <w:r w:rsidR="00687D19" w:rsidRPr="00F73DAA">
        <w:rPr>
          <w:lang w:val="en-GB"/>
        </w:rPr>
        <w:t>.</w:t>
      </w:r>
      <w:r w:rsidRPr="00F73DAA">
        <w:rPr>
          <w:lang w:val="en-GB"/>
        </w:rPr>
        <w:t xml:space="preserve"> </w:t>
      </w:r>
      <w:r w:rsidR="00687D19" w:rsidRPr="00F73DAA">
        <w:rPr>
          <w:lang w:val="en-GB"/>
        </w:rPr>
        <w:t>The Master Plan gave the</w:t>
      </w:r>
      <w:r w:rsidRPr="00F73DAA">
        <w:rPr>
          <w:lang w:val="en-GB"/>
        </w:rPr>
        <w:t xml:space="preserve"> UC campuses freedom to accumulate resources, and local, national and global power, on a secure basis. In charge of their own destiny, they </w:t>
      </w:r>
      <w:r w:rsidR="00687D19" w:rsidRPr="00F73DAA">
        <w:rPr>
          <w:lang w:val="en-GB"/>
        </w:rPr>
        <w:t>could beco</w:t>
      </w:r>
      <w:r w:rsidRPr="00F73DAA">
        <w:rPr>
          <w:lang w:val="en-GB"/>
        </w:rPr>
        <w:t xml:space="preserve">me distinctive and creative. </w:t>
      </w:r>
      <w:r w:rsidR="000544A3">
        <w:rPr>
          <w:lang w:val="en-GB"/>
        </w:rPr>
        <w:t>Though they were e</w:t>
      </w:r>
      <w:r w:rsidR="00687D19" w:rsidRPr="00F73DAA">
        <w:rPr>
          <w:lang w:val="en-GB"/>
        </w:rPr>
        <w:t xml:space="preserve">arly </w:t>
      </w:r>
      <w:r w:rsidR="000544A3">
        <w:rPr>
          <w:lang w:val="en-GB"/>
        </w:rPr>
        <w:t>to develop as</w:t>
      </w:r>
      <w:r w:rsidR="00687D19" w:rsidRPr="00F73DAA">
        <w:rPr>
          <w:lang w:val="en-GB"/>
        </w:rPr>
        <w:t xml:space="preserve"> corporate universities, they were also much more than stand-alone firms</w:t>
      </w:r>
      <w:r w:rsidR="000544A3">
        <w:rPr>
          <w:lang w:val="en-GB"/>
        </w:rPr>
        <w:t>.</w:t>
      </w:r>
      <w:r w:rsidR="00687D19" w:rsidRPr="00F73DAA">
        <w:rPr>
          <w:lang w:val="en-GB"/>
        </w:rPr>
        <w:t xml:space="preserve"> </w:t>
      </w:r>
      <w:r w:rsidRPr="00F73DAA">
        <w:rPr>
          <w:lang w:val="en-GB"/>
        </w:rPr>
        <w:t>Th</w:t>
      </w:r>
      <w:r w:rsidR="00687D19" w:rsidRPr="00F73DAA">
        <w:rPr>
          <w:lang w:val="en-GB"/>
        </w:rPr>
        <w:t>e Master Plan</w:t>
      </w:r>
      <w:r w:rsidRPr="00F73DAA">
        <w:rPr>
          <w:lang w:val="en-GB"/>
        </w:rPr>
        <w:t xml:space="preserve"> freed </w:t>
      </w:r>
      <w:r w:rsidR="00687D19" w:rsidRPr="00F73DAA">
        <w:rPr>
          <w:lang w:val="en-GB"/>
        </w:rPr>
        <w:t>Kerr’s</w:t>
      </w:r>
      <w:r w:rsidRPr="00F73DAA">
        <w:rPr>
          <w:lang w:val="en-GB"/>
        </w:rPr>
        <w:t xml:space="preserve"> multiversity to do public good, and to be itself, while holding it at the pinnacle of the higher education system. </w:t>
      </w:r>
    </w:p>
    <w:p w14:paraId="672FBCD0" w14:textId="77777777" w:rsidR="000753CF" w:rsidRPr="00F73DAA" w:rsidRDefault="000753CF" w:rsidP="00267E2D">
      <w:pPr>
        <w:rPr>
          <w:lang w:val="en-GB"/>
        </w:rPr>
      </w:pPr>
    </w:p>
    <w:p w14:paraId="2D6B6A0E" w14:textId="77777777" w:rsidR="000753CF" w:rsidRPr="00F73DAA" w:rsidRDefault="000753CF" w:rsidP="00267E2D">
      <w:pPr>
        <w:rPr>
          <w:b/>
          <w:lang w:val="en-GB"/>
        </w:rPr>
      </w:pPr>
      <w:r w:rsidRPr="00F73DAA">
        <w:rPr>
          <w:b/>
          <w:lang w:val="en-GB"/>
        </w:rPr>
        <w:t>The excellence objective</w:t>
      </w:r>
    </w:p>
    <w:p w14:paraId="16A25C61" w14:textId="5942A0DB" w:rsidR="000753CF" w:rsidRPr="00F73DAA" w:rsidRDefault="000753CF" w:rsidP="00267E2D">
      <w:pPr>
        <w:rPr>
          <w:lang w:val="en-GB"/>
        </w:rPr>
      </w:pPr>
      <w:r w:rsidRPr="00F73DAA">
        <w:rPr>
          <w:lang w:val="en-GB"/>
        </w:rPr>
        <w:t>How then did the different components of the California Master Plan fare after 1960?</w:t>
      </w:r>
    </w:p>
    <w:p w14:paraId="318797C6" w14:textId="527514F9" w:rsidR="000753CF" w:rsidRPr="00F73DAA" w:rsidRDefault="00687D19" w:rsidP="00267E2D">
      <w:pPr>
        <w:ind w:firstLine="454"/>
        <w:rPr>
          <w:lang w:val="en-GB"/>
        </w:rPr>
      </w:pPr>
      <w:r w:rsidRPr="00F73DAA">
        <w:rPr>
          <w:lang w:val="en-GB"/>
        </w:rPr>
        <w:t>T</w:t>
      </w:r>
      <w:r w:rsidR="000753CF" w:rsidRPr="00F73DAA">
        <w:rPr>
          <w:lang w:val="en-GB"/>
        </w:rPr>
        <w:t xml:space="preserve">he political, fiscal and social conditions are now very different to 1960. There is continuing commitment to some aspects of the vision but not others. </w:t>
      </w:r>
      <w:r w:rsidRPr="00F73DAA">
        <w:rPr>
          <w:lang w:val="en-GB"/>
        </w:rPr>
        <w:t>T</w:t>
      </w:r>
      <w:r w:rsidR="000753CF" w:rsidRPr="00F73DAA">
        <w:rPr>
          <w:lang w:val="en-GB"/>
        </w:rPr>
        <w:t xml:space="preserve">he division of labour between the three sub-sectors has </w:t>
      </w:r>
      <w:r w:rsidRPr="00F73DAA">
        <w:rPr>
          <w:lang w:val="en-GB"/>
        </w:rPr>
        <w:t>been very</w:t>
      </w:r>
      <w:r w:rsidR="000753CF" w:rsidRPr="00F73DAA">
        <w:rPr>
          <w:lang w:val="en-GB"/>
        </w:rPr>
        <w:t xml:space="preserve"> stable, </w:t>
      </w:r>
      <w:r w:rsidRPr="00F73DAA">
        <w:rPr>
          <w:lang w:val="en-GB"/>
        </w:rPr>
        <w:t>with no</w:t>
      </w:r>
      <w:r w:rsidR="000753CF" w:rsidRPr="00F73DAA">
        <w:rPr>
          <w:lang w:val="en-GB"/>
        </w:rPr>
        <w:t xml:space="preserve"> upward ‘academic drift’ from the lower tiers</w:t>
      </w:r>
      <w:r w:rsidRPr="00F73DAA">
        <w:rPr>
          <w:lang w:val="en-GB"/>
        </w:rPr>
        <w:t xml:space="preserve">, but </w:t>
      </w:r>
      <w:r w:rsidR="000753CF" w:rsidRPr="00F73DAA">
        <w:rPr>
          <w:lang w:val="en-GB"/>
        </w:rPr>
        <w:t xml:space="preserve">the </w:t>
      </w:r>
      <w:r w:rsidRPr="00F73DAA">
        <w:rPr>
          <w:lang w:val="en-GB"/>
        </w:rPr>
        <w:t xml:space="preserve">research </w:t>
      </w:r>
      <w:r w:rsidR="000753CF" w:rsidRPr="00F73DAA">
        <w:rPr>
          <w:lang w:val="en-GB"/>
        </w:rPr>
        <w:t xml:space="preserve">multiversity has travelled better than the overall system design. </w:t>
      </w:r>
      <w:r w:rsidRPr="00F73DAA">
        <w:rPr>
          <w:lang w:val="en-GB"/>
        </w:rPr>
        <w:t>E</w:t>
      </w:r>
      <w:r w:rsidR="000753CF" w:rsidRPr="00F73DAA">
        <w:rPr>
          <w:lang w:val="en-GB"/>
        </w:rPr>
        <w:t xml:space="preserve">xcellence has been realized more completely than access. </w:t>
      </w:r>
    </w:p>
    <w:p w14:paraId="6FC6FD2F" w14:textId="0F2B852E" w:rsidR="000753CF" w:rsidRPr="00F73DAA" w:rsidRDefault="000753CF" w:rsidP="00267E2D">
      <w:pPr>
        <w:ind w:firstLine="454"/>
        <w:rPr>
          <w:lang w:val="en-GB"/>
        </w:rPr>
      </w:pPr>
      <w:r w:rsidRPr="00F73DAA">
        <w:rPr>
          <w:lang w:val="en-GB"/>
        </w:rPr>
        <w:t xml:space="preserve">In the Shanghai Academic Ranking of World Universities (ARWU), focused solely on research, seven UC campuses were in the world top 60 in 2016. UC Berkeley was third behind Harvard and Stanford Universities, and ahead of the University of Cambridge in the UK, Princeton, Oxford and Caltech. UC Los Angeles was twelfth and San Diego fourteenth followed by </w:t>
      </w:r>
      <w:r w:rsidR="00986A96" w:rsidRPr="00F73DAA">
        <w:rPr>
          <w:lang w:val="en-GB"/>
        </w:rPr>
        <w:t xml:space="preserve">the medical campus </w:t>
      </w:r>
      <w:r w:rsidRPr="00F73DAA">
        <w:rPr>
          <w:lang w:val="en-GB"/>
        </w:rPr>
        <w:t>San Francisco (21)</w:t>
      </w:r>
      <w:r w:rsidR="00986A96" w:rsidRPr="00F73DAA">
        <w:rPr>
          <w:lang w:val="en-GB"/>
        </w:rPr>
        <w:t xml:space="preserve">. </w:t>
      </w:r>
    </w:p>
    <w:p w14:paraId="72E54E74" w14:textId="32D8D2F7" w:rsidR="00986A96" w:rsidRPr="00F73DAA" w:rsidRDefault="000753CF" w:rsidP="00267E2D">
      <w:pPr>
        <w:ind w:firstLine="454"/>
        <w:rPr>
          <w:lang w:val="en-GB"/>
        </w:rPr>
      </w:pPr>
      <w:r w:rsidRPr="00F73DAA">
        <w:rPr>
          <w:lang w:val="en-GB"/>
        </w:rPr>
        <w:t xml:space="preserve">The University of Leiden </w:t>
      </w:r>
      <w:r w:rsidR="00986A96" w:rsidRPr="00F73DAA">
        <w:rPr>
          <w:lang w:val="en-GB"/>
        </w:rPr>
        <w:t>ranking</w:t>
      </w:r>
      <w:r w:rsidRPr="00F73DAA">
        <w:rPr>
          <w:lang w:val="en-GB"/>
        </w:rPr>
        <w:t xml:space="preserve"> lists </w:t>
      </w:r>
      <w:r w:rsidR="00986A96" w:rsidRPr="00F73DAA">
        <w:rPr>
          <w:lang w:val="en-GB"/>
        </w:rPr>
        <w:t>each university’s</w:t>
      </w:r>
      <w:r w:rsidRPr="00F73DAA">
        <w:rPr>
          <w:lang w:val="en-GB"/>
        </w:rPr>
        <w:t xml:space="preserve"> number of journal paper</w:t>
      </w:r>
      <w:r w:rsidR="00986A96" w:rsidRPr="00F73DAA">
        <w:rPr>
          <w:lang w:val="en-GB"/>
        </w:rPr>
        <w:t>s</w:t>
      </w:r>
      <w:r w:rsidRPr="00F73DAA">
        <w:rPr>
          <w:lang w:val="en-GB"/>
        </w:rPr>
        <w:t xml:space="preserve"> in the top 10 per cent of their field by citation rate. In the 2011-2014</w:t>
      </w:r>
      <w:r w:rsidR="00986A96" w:rsidRPr="00F73DAA">
        <w:rPr>
          <w:lang w:val="en-GB"/>
        </w:rPr>
        <w:t xml:space="preserve"> period</w:t>
      </w:r>
      <w:r w:rsidRPr="00F73DAA">
        <w:rPr>
          <w:lang w:val="en-GB"/>
        </w:rPr>
        <w:t xml:space="preserve">, </w:t>
      </w:r>
      <w:r w:rsidR="00986A96" w:rsidRPr="00F73DAA">
        <w:rPr>
          <w:lang w:val="en-GB"/>
        </w:rPr>
        <w:t>almost 21</w:t>
      </w:r>
      <w:r w:rsidRPr="00F73DAA">
        <w:rPr>
          <w:lang w:val="en-GB"/>
        </w:rPr>
        <w:t xml:space="preserve"> per cent of Berkeley papers were high citation papers</w:t>
      </w:r>
      <w:r w:rsidR="00986A96" w:rsidRPr="00F73DAA">
        <w:rPr>
          <w:lang w:val="en-GB"/>
        </w:rPr>
        <w:t>, and t</w:t>
      </w:r>
      <w:r w:rsidRPr="00F73DAA">
        <w:rPr>
          <w:lang w:val="en-GB"/>
        </w:rPr>
        <w:t xml:space="preserve">here were 2669 such papers, behind only Harvard, Stanford, and the much larger </w:t>
      </w:r>
      <w:r w:rsidR="00986A96" w:rsidRPr="00F73DAA">
        <w:rPr>
          <w:lang w:val="en-GB"/>
        </w:rPr>
        <w:t xml:space="preserve">Michigan and also </w:t>
      </w:r>
      <w:r w:rsidRPr="00F73DAA">
        <w:rPr>
          <w:lang w:val="en-GB"/>
        </w:rPr>
        <w:t xml:space="preserve">Toronto in Canada. Berkeley did this without a medical school and research in clinical medicine. The nearby medical school to Berkeley is UC San Francisco, which had 1990 high citation papers in 2011-14. Together Berkeley and San Francisco </w:t>
      </w:r>
      <w:r w:rsidR="00986A96" w:rsidRPr="00F73DAA">
        <w:rPr>
          <w:lang w:val="en-GB"/>
        </w:rPr>
        <w:t>produced</w:t>
      </w:r>
      <w:r w:rsidRPr="00F73DAA">
        <w:rPr>
          <w:lang w:val="en-GB"/>
        </w:rPr>
        <w:t xml:space="preserve"> 4659 such papers, 45 per cent more than local rival Stanford</w:t>
      </w:r>
      <w:r w:rsidR="00986A96" w:rsidRPr="00F73DAA">
        <w:rPr>
          <w:lang w:val="en-GB"/>
        </w:rPr>
        <w:t xml:space="preserve"> and two thirds of Harvard</w:t>
      </w:r>
      <w:r w:rsidRPr="00F73DAA">
        <w:rPr>
          <w:lang w:val="en-GB"/>
        </w:rPr>
        <w:t xml:space="preserve">. </w:t>
      </w:r>
    </w:p>
    <w:p w14:paraId="2656530A" w14:textId="77777777" w:rsidR="00986A96" w:rsidRPr="00F73DAA" w:rsidRDefault="00986A96" w:rsidP="00986A96">
      <w:pPr>
        <w:rPr>
          <w:lang w:val="en-GB"/>
        </w:rPr>
      </w:pPr>
    </w:p>
    <w:p w14:paraId="2E6DC8DA" w14:textId="77777777" w:rsidR="00986A96" w:rsidRPr="00F73DAA" w:rsidRDefault="00986A96" w:rsidP="00986A96">
      <w:pPr>
        <w:rPr>
          <w:b/>
          <w:bCs/>
          <w:iCs/>
          <w:lang w:val="en-GB"/>
        </w:rPr>
      </w:pPr>
      <w:r w:rsidRPr="00F73DAA">
        <w:rPr>
          <w:b/>
          <w:bCs/>
          <w:iCs/>
          <w:lang w:val="en-GB"/>
        </w:rPr>
        <w:t xml:space="preserve">High citation papers, in top 10% of their research field, in mathematics and physical sciences, 2011-14 (Leiden data) </w:t>
      </w:r>
    </w:p>
    <w:p w14:paraId="3FEBF194" w14:textId="79B03C0A" w:rsidR="000753CF" w:rsidRPr="00F73DAA" w:rsidRDefault="000753CF" w:rsidP="00986A96">
      <w:pPr>
        <w:rPr>
          <w:lang w:val="en-GB"/>
        </w:rPr>
      </w:pPr>
      <w:r w:rsidRPr="00F73DAA">
        <w:rPr>
          <w:lang w:val="en-GB"/>
        </w:rPr>
        <w:t xml:space="preserve">In </w:t>
      </w:r>
      <w:r w:rsidR="00986A96" w:rsidRPr="00F73DAA">
        <w:rPr>
          <w:lang w:val="en-GB"/>
        </w:rPr>
        <w:t xml:space="preserve">the </w:t>
      </w:r>
      <w:r w:rsidRPr="00F73DAA">
        <w:rPr>
          <w:lang w:val="en-GB"/>
        </w:rPr>
        <w:t xml:space="preserve">Leiden field-specific measures, UC Berkeley was world </w:t>
      </w:r>
      <w:r w:rsidR="00986A96" w:rsidRPr="00F73DAA">
        <w:rPr>
          <w:lang w:val="en-GB"/>
        </w:rPr>
        <w:t xml:space="preserve">number one </w:t>
      </w:r>
      <w:r w:rsidRPr="00F73DAA">
        <w:rPr>
          <w:lang w:val="en-GB"/>
        </w:rPr>
        <w:t>in high citation papers in Physical Sciences and Engineering</w:t>
      </w:r>
      <w:r w:rsidR="00986A96" w:rsidRPr="00F73DAA">
        <w:rPr>
          <w:lang w:val="en-GB"/>
        </w:rPr>
        <w:t>.</w:t>
      </w:r>
      <w:r w:rsidRPr="00F73DAA">
        <w:rPr>
          <w:lang w:val="en-GB"/>
        </w:rPr>
        <w:t xml:space="preserve"> UC Davis was first in Life and Earth Sciences with Berkeley third. UC San Francisco </w:t>
      </w:r>
      <w:r w:rsidR="00986A96" w:rsidRPr="00F73DAA">
        <w:rPr>
          <w:lang w:val="en-GB"/>
        </w:rPr>
        <w:t>was</w:t>
      </w:r>
      <w:r w:rsidRPr="00F73DAA">
        <w:rPr>
          <w:lang w:val="en-GB"/>
        </w:rPr>
        <w:t xml:space="preserve"> fourth in Biomedical and Health Sciences. In Mathematics and Computer Sciences, Berkeley was sixth. Note that </w:t>
      </w:r>
      <w:r w:rsidR="00986A96" w:rsidRPr="00F73DAA">
        <w:rPr>
          <w:lang w:val="en-GB"/>
        </w:rPr>
        <w:t>here</w:t>
      </w:r>
      <w:r w:rsidRPr="00F73DAA">
        <w:rPr>
          <w:lang w:val="en-GB"/>
        </w:rPr>
        <w:t xml:space="preserve">, </w:t>
      </w:r>
      <w:r w:rsidR="00986A96" w:rsidRPr="00F73DAA">
        <w:rPr>
          <w:lang w:val="en-GB"/>
        </w:rPr>
        <w:t xml:space="preserve">China’s </w:t>
      </w:r>
      <w:r w:rsidRPr="00F73DAA">
        <w:rPr>
          <w:lang w:val="en-GB"/>
        </w:rPr>
        <w:t xml:space="preserve">Tsinghua was number one and Nanyang </w:t>
      </w:r>
      <w:r w:rsidR="00986A96" w:rsidRPr="00F73DAA">
        <w:rPr>
          <w:lang w:val="en-GB"/>
        </w:rPr>
        <w:t xml:space="preserve">in Singapore was </w:t>
      </w:r>
      <w:r w:rsidRPr="00F73DAA">
        <w:rPr>
          <w:lang w:val="en-GB"/>
        </w:rPr>
        <w:t xml:space="preserve">third. </w:t>
      </w:r>
    </w:p>
    <w:p w14:paraId="51335202" w14:textId="784509C4" w:rsidR="000753CF" w:rsidRPr="00F73DAA" w:rsidRDefault="000753CF" w:rsidP="00267E2D">
      <w:pPr>
        <w:ind w:firstLine="454"/>
        <w:rPr>
          <w:lang w:val="en-GB"/>
        </w:rPr>
      </w:pPr>
      <w:r w:rsidRPr="00F73DAA">
        <w:rPr>
          <w:lang w:val="en-GB"/>
        </w:rPr>
        <w:t xml:space="preserve">Despite this state funding cuts, especially after the 2008-2009 recession, mean that the UC </w:t>
      </w:r>
      <w:r w:rsidR="00986A96" w:rsidRPr="00F73DAA">
        <w:rPr>
          <w:lang w:val="en-GB"/>
        </w:rPr>
        <w:t>is falling behind</w:t>
      </w:r>
      <w:r w:rsidRPr="00F73DAA">
        <w:rPr>
          <w:lang w:val="en-GB"/>
        </w:rPr>
        <w:t xml:space="preserve"> Stanford in competition for </w:t>
      </w:r>
      <w:r w:rsidR="00986A96" w:rsidRPr="00F73DAA">
        <w:rPr>
          <w:lang w:val="en-GB"/>
        </w:rPr>
        <w:t xml:space="preserve">some </w:t>
      </w:r>
      <w:r w:rsidRPr="00F73DAA">
        <w:rPr>
          <w:lang w:val="en-GB"/>
        </w:rPr>
        <w:t>top-end global research talent. UC tuition for the growing number of out-of-state students</w:t>
      </w:r>
      <w:r w:rsidR="00986A96" w:rsidRPr="00F73DAA">
        <w:rPr>
          <w:lang w:val="en-GB"/>
        </w:rPr>
        <w:t xml:space="preserve"> is rising. </w:t>
      </w:r>
    </w:p>
    <w:p w14:paraId="4AEACC90" w14:textId="77777777" w:rsidR="000753CF" w:rsidRPr="00F73DAA" w:rsidRDefault="000753CF" w:rsidP="00267E2D">
      <w:pPr>
        <w:rPr>
          <w:lang w:val="en-GB"/>
        </w:rPr>
      </w:pPr>
    </w:p>
    <w:p w14:paraId="4C47F851" w14:textId="77777777" w:rsidR="000753CF" w:rsidRPr="00F73DAA" w:rsidRDefault="000753CF" w:rsidP="00267E2D">
      <w:pPr>
        <w:rPr>
          <w:b/>
          <w:lang w:val="en-GB"/>
        </w:rPr>
      </w:pPr>
      <w:r w:rsidRPr="00F73DAA">
        <w:rPr>
          <w:b/>
          <w:iCs/>
          <w:lang w:val="en-GB"/>
        </w:rPr>
        <w:t>It is possible to sustain equality of opportunity in elite universities</w:t>
      </w:r>
      <w:r w:rsidRPr="00F73DAA">
        <w:rPr>
          <w:b/>
          <w:lang w:val="en-GB"/>
        </w:rPr>
        <w:t xml:space="preserve"> </w:t>
      </w:r>
    </w:p>
    <w:p w14:paraId="6943AC26" w14:textId="729C747B" w:rsidR="000753CF" w:rsidRPr="00F73DAA" w:rsidRDefault="000753CF" w:rsidP="005F6353">
      <w:pPr>
        <w:rPr>
          <w:rFonts w:cs="Arial"/>
          <w:lang w:val="en-GB"/>
        </w:rPr>
      </w:pPr>
      <w:r w:rsidRPr="00F73DAA">
        <w:rPr>
          <w:lang w:val="en-GB"/>
        </w:rPr>
        <w:lastRenderedPageBreak/>
        <w:t xml:space="preserve">Moving from the excellence objective to the access objective, </w:t>
      </w:r>
      <w:r w:rsidR="005F6353" w:rsidRPr="00F73DAA">
        <w:rPr>
          <w:lang w:val="en-GB"/>
        </w:rPr>
        <w:t>t</w:t>
      </w:r>
      <w:r w:rsidRPr="00F73DAA">
        <w:rPr>
          <w:lang w:val="en-GB"/>
        </w:rPr>
        <w:t xml:space="preserve">he UC campuses still make a good contribution to </w:t>
      </w:r>
      <w:r w:rsidR="005F6353" w:rsidRPr="00F73DAA">
        <w:rPr>
          <w:lang w:val="en-GB"/>
        </w:rPr>
        <w:t xml:space="preserve">social </w:t>
      </w:r>
      <w:r w:rsidRPr="00F73DAA">
        <w:rPr>
          <w:lang w:val="en-GB"/>
        </w:rPr>
        <w:t xml:space="preserve">access. </w:t>
      </w:r>
      <w:r w:rsidR="005F6353" w:rsidRPr="00F73DAA">
        <w:rPr>
          <w:lang w:val="en-GB"/>
        </w:rPr>
        <w:t xml:space="preserve">I suspect that </w:t>
      </w:r>
      <w:r w:rsidRPr="00F73DAA">
        <w:rPr>
          <w:lang w:val="en-GB"/>
        </w:rPr>
        <w:t>Berk</w:t>
      </w:r>
      <w:r w:rsidR="005F6353" w:rsidRPr="00F73DAA">
        <w:rPr>
          <w:lang w:val="en-GB"/>
        </w:rPr>
        <w:t xml:space="preserve">eley, Los Angeles and San Diego </w:t>
      </w:r>
      <w:r w:rsidRPr="00F73DAA">
        <w:rPr>
          <w:lang w:val="en-GB"/>
        </w:rPr>
        <w:t xml:space="preserve">take in more students from socio-economically disadvantaged backgrounds than </w:t>
      </w:r>
      <w:r w:rsidR="005F6353" w:rsidRPr="00F73DAA">
        <w:rPr>
          <w:lang w:val="en-GB"/>
        </w:rPr>
        <w:t xml:space="preserve">do </w:t>
      </w:r>
      <w:r w:rsidRPr="00F73DAA">
        <w:rPr>
          <w:lang w:val="en-GB"/>
        </w:rPr>
        <w:t xml:space="preserve">leading research universities anywhere </w:t>
      </w:r>
      <w:r w:rsidR="005F6353" w:rsidRPr="00F73DAA">
        <w:rPr>
          <w:lang w:val="en-GB"/>
        </w:rPr>
        <w:t xml:space="preserve">else </w:t>
      </w:r>
      <w:r w:rsidRPr="00F73DAA">
        <w:rPr>
          <w:lang w:val="en-GB"/>
        </w:rPr>
        <w:t xml:space="preserve">in the world. </w:t>
      </w:r>
      <w:r w:rsidRPr="00F73DAA">
        <w:rPr>
          <w:rFonts w:cs="Arial"/>
          <w:lang w:val="en-GB"/>
        </w:rPr>
        <w:t>In total, 42 per cent of all UC students receive federal Pell Grants, allocated to families with incomes of $44,000 a year or less, enabling significant social mobility. UC Berkeley a</w:t>
      </w:r>
      <w:r w:rsidR="00F73DAA">
        <w:rPr>
          <w:rFonts w:cs="Arial"/>
          <w:lang w:val="en-GB"/>
        </w:rPr>
        <w:t>nd UC Los Angeles together enro</w:t>
      </w:r>
      <w:r w:rsidRPr="00F73DAA">
        <w:rPr>
          <w:rFonts w:cs="Arial"/>
          <w:lang w:val="en-GB"/>
        </w:rPr>
        <w:t xml:space="preserve">l more Pell Grant students that the leading </w:t>
      </w:r>
      <w:r w:rsidRPr="00F73DAA">
        <w:rPr>
          <w:rFonts w:cs="Arial"/>
          <w:i/>
          <w:lang w:val="en-GB"/>
        </w:rPr>
        <w:t>sixteen</w:t>
      </w:r>
      <w:r w:rsidRPr="00F73DAA">
        <w:rPr>
          <w:rFonts w:cs="Arial"/>
          <w:lang w:val="en-GB"/>
        </w:rPr>
        <w:t xml:space="preserve"> private universities in the United States. All </w:t>
      </w:r>
      <w:r w:rsidR="005F6353" w:rsidRPr="00F73DAA">
        <w:rPr>
          <w:rFonts w:cs="Arial"/>
          <w:lang w:val="en-GB"/>
        </w:rPr>
        <w:t xml:space="preserve">UC </w:t>
      </w:r>
      <w:r w:rsidRPr="00F73DAA">
        <w:rPr>
          <w:rFonts w:cs="Arial"/>
          <w:lang w:val="en-GB"/>
        </w:rPr>
        <w:t xml:space="preserve">student aid is needs-based. Under Berkeley’s progressive tuition regime, 40 per cent of students pay no tuition and are financed by tuition from higher income families. </w:t>
      </w:r>
    </w:p>
    <w:p w14:paraId="2856175B" w14:textId="713B818C" w:rsidR="000753CF" w:rsidRPr="00F73DAA" w:rsidRDefault="000753CF" w:rsidP="00267E2D">
      <w:pPr>
        <w:ind w:firstLine="454"/>
        <w:rPr>
          <w:lang w:val="en-GB"/>
        </w:rPr>
      </w:pPr>
      <w:r w:rsidRPr="00F73DAA">
        <w:rPr>
          <w:lang w:val="en-GB"/>
        </w:rPr>
        <w:t xml:space="preserve">However, the UC takes in a relatively small minority of the age cohort. It cannot on its own sustain equality of opportunity across </w:t>
      </w:r>
      <w:r w:rsidR="005F6353" w:rsidRPr="00F73DAA">
        <w:rPr>
          <w:lang w:val="en-GB"/>
        </w:rPr>
        <w:t xml:space="preserve">the whole of </w:t>
      </w:r>
      <w:r w:rsidRPr="00F73DAA">
        <w:rPr>
          <w:lang w:val="en-GB"/>
        </w:rPr>
        <w:t xml:space="preserve">Californian society. The outcomes from higher education as a whole have been less favourable. </w:t>
      </w:r>
    </w:p>
    <w:p w14:paraId="450C9500" w14:textId="77777777" w:rsidR="000753CF" w:rsidRPr="00F73DAA" w:rsidRDefault="000753CF" w:rsidP="00267E2D">
      <w:pPr>
        <w:rPr>
          <w:lang w:val="en-GB"/>
        </w:rPr>
      </w:pPr>
    </w:p>
    <w:p w14:paraId="0EBD0B7A" w14:textId="67DF0E68" w:rsidR="000753CF" w:rsidRPr="00F73DAA" w:rsidRDefault="000753CF" w:rsidP="00267E2D">
      <w:pPr>
        <w:rPr>
          <w:b/>
          <w:lang w:val="en-GB"/>
        </w:rPr>
      </w:pPr>
      <w:r w:rsidRPr="00F73DAA">
        <w:rPr>
          <w:b/>
          <w:lang w:val="en-GB"/>
        </w:rPr>
        <w:t>[map of California]</w:t>
      </w:r>
    </w:p>
    <w:p w14:paraId="660D2531" w14:textId="6DEE8988" w:rsidR="005F6353" w:rsidRPr="00F73DAA" w:rsidRDefault="000753CF" w:rsidP="00267E2D">
      <w:pPr>
        <w:rPr>
          <w:lang w:val="en-GB"/>
        </w:rPr>
      </w:pPr>
      <w:r w:rsidRPr="00F73DAA">
        <w:rPr>
          <w:lang w:val="en-GB"/>
        </w:rPr>
        <w:t xml:space="preserve">After 1960 the Californian population grew more rapidly than predicted, and social demand for higher education outstripped demographic growth. The Plan </w:t>
      </w:r>
      <w:r w:rsidR="005F6353" w:rsidRPr="00F73DAA">
        <w:rPr>
          <w:lang w:val="en-GB"/>
        </w:rPr>
        <w:t xml:space="preserve">was one reason because it </w:t>
      </w:r>
      <w:r w:rsidRPr="00F73DAA">
        <w:rPr>
          <w:lang w:val="en-GB"/>
        </w:rPr>
        <w:t xml:space="preserve">lifted aspirations. However, </w:t>
      </w:r>
      <w:r w:rsidR="005F6353" w:rsidRPr="00F73DAA">
        <w:rPr>
          <w:lang w:val="en-GB"/>
        </w:rPr>
        <w:t xml:space="preserve">if the Plan was to expand equality of opportunity, much depended on the capacity of the Californian public schools to prepare students from all districts, and all social and ethnic backgrounds, so they could move up successfully in higher education; on the </w:t>
      </w:r>
      <w:r w:rsidRPr="00F73DAA">
        <w:rPr>
          <w:lang w:val="en-GB"/>
        </w:rPr>
        <w:t xml:space="preserve">capacity of </w:t>
      </w:r>
      <w:r w:rsidR="005F6353" w:rsidRPr="00F73DAA">
        <w:rPr>
          <w:lang w:val="en-GB"/>
        </w:rPr>
        <w:t xml:space="preserve">the </w:t>
      </w:r>
      <w:r w:rsidRPr="00F73DAA">
        <w:rPr>
          <w:lang w:val="en-GB"/>
        </w:rPr>
        <w:t>community colleges to bring students through to completion</w:t>
      </w:r>
      <w:r w:rsidR="005F6353" w:rsidRPr="00F73DAA">
        <w:rPr>
          <w:lang w:val="en-GB"/>
        </w:rPr>
        <w:t xml:space="preserve">; and </w:t>
      </w:r>
      <w:r w:rsidRPr="00F73DAA">
        <w:rPr>
          <w:lang w:val="en-GB"/>
        </w:rPr>
        <w:t xml:space="preserve">on upward transfer from the community colleges through to the CSU and the UC. </w:t>
      </w:r>
      <w:r w:rsidR="005F6353" w:rsidRPr="00F73DAA">
        <w:rPr>
          <w:lang w:val="en-GB"/>
        </w:rPr>
        <w:t>All of this also depended on adequate funding of both schools and higher education.</w:t>
      </w:r>
    </w:p>
    <w:p w14:paraId="73C3579B" w14:textId="39FBC05F" w:rsidR="000753CF" w:rsidRPr="00F73DAA" w:rsidRDefault="005F6353" w:rsidP="007F246D">
      <w:pPr>
        <w:ind w:firstLine="454"/>
        <w:rPr>
          <w:lang w:val="en-GB"/>
        </w:rPr>
      </w:pPr>
      <w:r w:rsidRPr="00F73DAA">
        <w:rPr>
          <w:lang w:val="en-GB"/>
        </w:rPr>
        <w:t xml:space="preserve">There were two </w:t>
      </w:r>
      <w:r w:rsidR="004B33C0" w:rsidRPr="00F73DAA">
        <w:rPr>
          <w:lang w:val="en-GB"/>
        </w:rPr>
        <w:t>internal</w:t>
      </w:r>
      <w:r w:rsidRPr="00F73DAA">
        <w:rPr>
          <w:lang w:val="en-GB"/>
        </w:rPr>
        <w:t xml:space="preserve"> limitations, in the structure of the Plan. </w:t>
      </w:r>
      <w:r w:rsidR="007F246D" w:rsidRPr="00F73DAA">
        <w:rPr>
          <w:lang w:val="en-GB"/>
        </w:rPr>
        <w:t xml:space="preserve">First, the resource needs of the expanding system were greater than anticipated in 1960, especially after 1980—partly because the Plan itself enhanced aspirations. This made </w:t>
      </w:r>
      <w:r w:rsidR="004B33C0" w:rsidRPr="00F73DAA">
        <w:rPr>
          <w:lang w:val="en-GB"/>
        </w:rPr>
        <w:t>it</w:t>
      </w:r>
      <w:r w:rsidR="007F246D" w:rsidRPr="00F73DAA">
        <w:rPr>
          <w:lang w:val="en-GB"/>
        </w:rPr>
        <w:t xml:space="preserve"> especially vulnerable to a weakening of state finances. </w:t>
      </w:r>
      <w:r w:rsidRPr="00F73DAA">
        <w:rPr>
          <w:lang w:val="en-GB"/>
        </w:rPr>
        <w:t xml:space="preserve">Second, as </w:t>
      </w:r>
      <w:r w:rsidR="007F246D" w:rsidRPr="00F73DAA">
        <w:rPr>
          <w:lang w:val="en-GB"/>
        </w:rPr>
        <w:t>planned in 1960, growth was concentrated in the community colleges</w:t>
      </w:r>
      <w:r w:rsidR="004B33C0" w:rsidRPr="00F73DAA">
        <w:rPr>
          <w:lang w:val="en-GB"/>
        </w:rPr>
        <w:t>. O</w:t>
      </w:r>
      <w:r w:rsidR="007F246D" w:rsidRPr="00F73DAA">
        <w:rPr>
          <w:lang w:val="en-GB"/>
        </w:rPr>
        <w:t xml:space="preserve">ver time stratification, the institutional hierarchy, became steeper than before. As </w:t>
      </w:r>
      <w:r w:rsidRPr="00F73DAA">
        <w:rPr>
          <w:lang w:val="en-GB"/>
        </w:rPr>
        <w:t>expansion proceeded</w:t>
      </w:r>
      <w:r w:rsidR="004B33C0" w:rsidRPr="00F73DAA">
        <w:rPr>
          <w:lang w:val="en-GB"/>
        </w:rPr>
        <w:t>,</w:t>
      </w:r>
      <w:r w:rsidRPr="00F73DAA">
        <w:rPr>
          <w:lang w:val="en-GB"/>
        </w:rPr>
        <w:t xml:space="preserve"> places in the University of California did </w:t>
      </w:r>
      <w:r w:rsidR="007F246D" w:rsidRPr="00F73DAA">
        <w:rPr>
          <w:lang w:val="en-GB"/>
        </w:rPr>
        <w:t xml:space="preserve">not grow </w:t>
      </w:r>
      <w:r w:rsidRPr="00F73DAA">
        <w:rPr>
          <w:lang w:val="en-GB"/>
        </w:rPr>
        <w:t xml:space="preserve">in </w:t>
      </w:r>
      <w:r w:rsidR="007F246D" w:rsidRPr="00F73DAA">
        <w:rPr>
          <w:lang w:val="en-GB"/>
        </w:rPr>
        <w:t>proportion</w:t>
      </w:r>
      <w:r w:rsidRPr="00F73DAA">
        <w:rPr>
          <w:lang w:val="en-GB"/>
        </w:rPr>
        <w:t xml:space="preserve"> </w:t>
      </w:r>
      <w:r w:rsidR="007F246D" w:rsidRPr="00F73DAA">
        <w:rPr>
          <w:lang w:val="en-GB"/>
        </w:rPr>
        <w:t>to</w:t>
      </w:r>
      <w:r w:rsidRPr="00F73DAA">
        <w:rPr>
          <w:lang w:val="en-GB"/>
        </w:rPr>
        <w:t xml:space="preserve"> </w:t>
      </w:r>
      <w:r w:rsidR="004B33C0" w:rsidRPr="00F73DAA">
        <w:rPr>
          <w:lang w:val="en-GB"/>
        </w:rPr>
        <w:t>places</w:t>
      </w:r>
      <w:r w:rsidR="007F246D" w:rsidRPr="00F73DAA">
        <w:rPr>
          <w:lang w:val="en-GB"/>
        </w:rPr>
        <w:t xml:space="preserve"> in the</w:t>
      </w:r>
      <w:r w:rsidRPr="00F73DAA">
        <w:rPr>
          <w:lang w:val="en-GB"/>
        </w:rPr>
        <w:t xml:space="preserve"> community colleges</w:t>
      </w:r>
      <w:r w:rsidR="007F246D" w:rsidRPr="00F73DAA">
        <w:rPr>
          <w:lang w:val="en-GB"/>
        </w:rPr>
        <w:t>. I</w:t>
      </w:r>
      <w:r w:rsidR="000753CF" w:rsidRPr="00F73DAA">
        <w:rPr>
          <w:lang w:val="en-GB"/>
        </w:rPr>
        <w:t>n most other nations that provide research universities the proportion of young people entering those institutions has expanded markedly in the last forty years</w:t>
      </w:r>
      <w:r w:rsidR="007F246D" w:rsidRPr="00F73DAA">
        <w:rPr>
          <w:lang w:val="en-GB"/>
        </w:rPr>
        <w:t>. I</w:t>
      </w:r>
      <w:r w:rsidR="000753CF" w:rsidRPr="00F73DAA">
        <w:rPr>
          <w:lang w:val="en-GB"/>
        </w:rPr>
        <w:t xml:space="preserve">n California the research university sector remained confined to the top 12.5 per cent </w:t>
      </w:r>
      <w:r w:rsidR="007F246D" w:rsidRPr="00F73DAA">
        <w:rPr>
          <w:lang w:val="en-GB"/>
        </w:rPr>
        <w:t>This</w:t>
      </w:r>
      <w:r w:rsidR="000753CF" w:rsidRPr="00F73DAA">
        <w:rPr>
          <w:lang w:val="en-GB"/>
        </w:rPr>
        <w:t xml:space="preserve"> placed too much pressure on the transfer function. Transfer between institutions in a vertical hierarchy is always a second best form of social access because it requires in </w:t>
      </w:r>
      <w:r w:rsidR="000544A3">
        <w:rPr>
          <w:lang w:val="en-GB"/>
        </w:rPr>
        <w:t>the student</w:t>
      </w:r>
      <w:bookmarkStart w:id="0" w:name="_GoBack"/>
      <w:bookmarkEnd w:id="0"/>
      <w:r w:rsidR="000753CF" w:rsidRPr="00F73DAA">
        <w:rPr>
          <w:lang w:val="en-GB"/>
        </w:rPr>
        <w:t xml:space="preserve"> great stamina of aspiration</w:t>
      </w:r>
      <w:r w:rsidR="007F246D" w:rsidRPr="00F73DAA">
        <w:rPr>
          <w:lang w:val="en-GB"/>
        </w:rPr>
        <w:t>. And in California top tier places became increasingly scarce over time, reducing the odds of upward transfer</w:t>
      </w:r>
      <w:r w:rsidR="000753CF" w:rsidRPr="00F73DAA">
        <w:rPr>
          <w:lang w:val="en-GB"/>
        </w:rPr>
        <w:t xml:space="preserve">. </w:t>
      </w:r>
    </w:p>
    <w:p w14:paraId="79A50DBB" w14:textId="22106B3D" w:rsidR="000753CF" w:rsidRPr="00F73DAA" w:rsidRDefault="000753CF" w:rsidP="00267E2D">
      <w:pPr>
        <w:rPr>
          <w:lang w:val="en-GB"/>
        </w:rPr>
      </w:pPr>
    </w:p>
    <w:p w14:paraId="0C041C59" w14:textId="6AEEBF7A" w:rsidR="000753CF" w:rsidRPr="00F73DAA" w:rsidRDefault="000753CF" w:rsidP="00267E2D">
      <w:pPr>
        <w:rPr>
          <w:b/>
          <w:lang w:val="en-GB"/>
        </w:rPr>
      </w:pPr>
      <w:r w:rsidRPr="00F73DAA">
        <w:rPr>
          <w:b/>
          <w:lang w:val="en-GB"/>
        </w:rPr>
        <w:t>The access objective</w:t>
      </w:r>
      <w:r w:rsidR="00DD6BB2" w:rsidRPr="00F73DAA">
        <w:rPr>
          <w:b/>
          <w:lang w:val="en-GB"/>
        </w:rPr>
        <w:t xml:space="preserve"> after 1960</w:t>
      </w:r>
    </w:p>
    <w:p w14:paraId="36812324" w14:textId="0EE36D03" w:rsidR="000753CF" w:rsidRPr="00F73DAA" w:rsidRDefault="004B33C0" w:rsidP="00267E2D">
      <w:pPr>
        <w:rPr>
          <w:rFonts w:cs="Arial"/>
          <w:lang w:val="en-GB"/>
        </w:rPr>
      </w:pPr>
      <w:r w:rsidRPr="00F73DAA">
        <w:rPr>
          <w:lang w:val="en-GB"/>
        </w:rPr>
        <w:t>In addition, e</w:t>
      </w:r>
      <w:r w:rsidR="000753CF" w:rsidRPr="00F73DAA">
        <w:rPr>
          <w:lang w:val="en-GB"/>
        </w:rPr>
        <w:t xml:space="preserve">xternal factors </w:t>
      </w:r>
      <w:r w:rsidRPr="00F73DAA">
        <w:rPr>
          <w:lang w:val="en-GB"/>
        </w:rPr>
        <w:t>changed the Plan’s conditions of operation—</w:t>
      </w:r>
      <w:r w:rsidR="000753CF" w:rsidRPr="00F73DAA">
        <w:rPr>
          <w:lang w:val="en-GB"/>
        </w:rPr>
        <w:t xml:space="preserve">changing ethnic demography, fiscal politics, and growing social and economic inequality. </w:t>
      </w:r>
      <w:r w:rsidR="000753CF" w:rsidRPr="00F73DAA">
        <w:rPr>
          <w:rFonts w:cs="Arial"/>
          <w:lang w:val="en-GB"/>
        </w:rPr>
        <w:t>In 1970 California</w:t>
      </w:r>
      <w:r w:rsidRPr="00F73DAA">
        <w:rPr>
          <w:rFonts w:cs="Arial"/>
          <w:lang w:val="en-GB"/>
        </w:rPr>
        <w:t xml:space="preserve"> was 77 per cent white and</w:t>
      </w:r>
      <w:r w:rsidR="000753CF" w:rsidRPr="00F73DAA">
        <w:rPr>
          <w:rFonts w:cs="Arial"/>
          <w:lang w:val="en-GB"/>
        </w:rPr>
        <w:t xml:space="preserve"> 12 per cent Latino</w:t>
      </w:r>
      <w:r w:rsidRPr="00F73DAA">
        <w:rPr>
          <w:rFonts w:cs="Arial"/>
          <w:lang w:val="en-GB"/>
        </w:rPr>
        <w:t>. By</w:t>
      </w:r>
      <w:r w:rsidR="000753CF" w:rsidRPr="00F73DAA">
        <w:rPr>
          <w:rFonts w:cs="Arial"/>
          <w:lang w:val="en-GB"/>
        </w:rPr>
        <w:t xml:space="preserve"> 2010, </w:t>
      </w:r>
      <w:r w:rsidR="000025A2" w:rsidRPr="00F73DAA">
        <w:rPr>
          <w:rFonts w:cs="Arial"/>
          <w:lang w:val="en-GB"/>
        </w:rPr>
        <w:t>40 per cent of California was white, 38 per cent Latino, including many first generation migrants, 13 per cent Asian-Pacific, and 6 per cent African-American</w:t>
      </w:r>
      <w:r w:rsidRPr="00F73DAA">
        <w:rPr>
          <w:rFonts w:cs="Arial"/>
          <w:lang w:val="en-GB"/>
        </w:rPr>
        <w:t xml:space="preserve">. </w:t>
      </w:r>
      <w:r w:rsidR="000753CF" w:rsidRPr="00F73DAA">
        <w:rPr>
          <w:rFonts w:cs="Arial"/>
          <w:lang w:val="en-GB"/>
        </w:rPr>
        <w:t xml:space="preserve">Grade 6 in the public schools </w:t>
      </w:r>
      <w:r w:rsidR="000025A2" w:rsidRPr="00F73DAA">
        <w:rPr>
          <w:rFonts w:cs="Arial"/>
          <w:lang w:val="en-GB"/>
        </w:rPr>
        <w:t xml:space="preserve">was </w:t>
      </w:r>
      <w:r w:rsidRPr="00F73DAA">
        <w:rPr>
          <w:rFonts w:cs="Arial"/>
          <w:lang w:val="en-GB"/>
        </w:rPr>
        <w:t xml:space="preserve">51 per cent </w:t>
      </w:r>
      <w:r w:rsidR="000753CF" w:rsidRPr="00F73DAA">
        <w:rPr>
          <w:rFonts w:cs="Arial"/>
          <w:lang w:val="en-GB"/>
        </w:rPr>
        <w:t>Latino</w:t>
      </w:r>
      <w:r w:rsidRPr="00F73DAA">
        <w:rPr>
          <w:rFonts w:cs="Arial"/>
          <w:lang w:val="en-GB"/>
        </w:rPr>
        <w:t xml:space="preserve"> and </w:t>
      </w:r>
      <w:r w:rsidR="000753CF" w:rsidRPr="00F73DAA">
        <w:rPr>
          <w:rFonts w:cs="Arial"/>
          <w:lang w:val="en-GB"/>
        </w:rPr>
        <w:t xml:space="preserve">27 per cent white. </w:t>
      </w:r>
      <w:r w:rsidRPr="00F73DAA">
        <w:rPr>
          <w:rFonts w:cs="Arial"/>
          <w:lang w:val="en-GB"/>
        </w:rPr>
        <w:t xml:space="preserve">The Latino and African-American populations are disproportionately concentrated in </w:t>
      </w:r>
      <w:r w:rsidR="000025A2" w:rsidRPr="00F73DAA">
        <w:rPr>
          <w:rFonts w:cs="Arial"/>
          <w:lang w:val="en-GB"/>
        </w:rPr>
        <w:t xml:space="preserve">poor districts and </w:t>
      </w:r>
      <w:r w:rsidRPr="00F73DAA">
        <w:rPr>
          <w:rFonts w:cs="Arial"/>
          <w:lang w:val="en-GB"/>
        </w:rPr>
        <w:t xml:space="preserve">under-funded schools </w:t>
      </w:r>
      <w:r w:rsidR="000025A2" w:rsidRPr="00F73DAA">
        <w:rPr>
          <w:rFonts w:cs="Arial"/>
          <w:lang w:val="en-GB"/>
        </w:rPr>
        <w:t>with</w:t>
      </w:r>
      <w:r w:rsidRPr="00F73DAA">
        <w:rPr>
          <w:rFonts w:cs="Arial"/>
          <w:lang w:val="en-GB"/>
        </w:rPr>
        <w:t xml:space="preserve"> </w:t>
      </w:r>
      <w:r w:rsidR="000025A2" w:rsidRPr="00F73DAA">
        <w:rPr>
          <w:rFonts w:cs="Arial"/>
          <w:lang w:val="en-GB"/>
        </w:rPr>
        <w:t>low secondary education completion rates</w:t>
      </w:r>
      <w:r w:rsidRPr="00F73DAA">
        <w:rPr>
          <w:rFonts w:cs="Arial"/>
          <w:lang w:val="en-GB"/>
        </w:rPr>
        <w:t xml:space="preserve">. In 2009, </w:t>
      </w:r>
      <w:r w:rsidR="000753CF" w:rsidRPr="00F73DAA">
        <w:rPr>
          <w:rFonts w:cs="Arial"/>
          <w:lang w:val="en-GB"/>
        </w:rPr>
        <w:t>Latinos</w:t>
      </w:r>
      <w:r w:rsidR="000025A2" w:rsidRPr="00F73DAA">
        <w:rPr>
          <w:rFonts w:cs="Arial"/>
          <w:lang w:val="en-GB"/>
        </w:rPr>
        <w:t xml:space="preserve">, with 51 per </w:t>
      </w:r>
      <w:r w:rsidR="000025A2" w:rsidRPr="00F73DAA">
        <w:rPr>
          <w:rFonts w:cs="Arial"/>
          <w:lang w:val="en-GB"/>
        </w:rPr>
        <w:lastRenderedPageBreak/>
        <w:t>cent of grade 6,</w:t>
      </w:r>
      <w:r w:rsidR="000753CF" w:rsidRPr="00F73DAA">
        <w:rPr>
          <w:rFonts w:cs="Arial"/>
          <w:lang w:val="en-GB"/>
        </w:rPr>
        <w:t xml:space="preserve"> were just 28 per cent of students in public higher education</w:t>
      </w:r>
      <w:r w:rsidR="000025A2" w:rsidRPr="00F73DAA">
        <w:rPr>
          <w:rFonts w:cs="Arial"/>
          <w:lang w:val="en-GB"/>
        </w:rPr>
        <w:t>. In the academically elite University of California the distribution was 38 per cent white, 33 per cent Asian-Pacific, Latino 16 per cent and African-American 4 per cent</w:t>
      </w:r>
      <w:r w:rsidRPr="00F73DAA">
        <w:rPr>
          <w:rFonts w:cs="Arial"/>
          <w:lang w:val="en-GB"/>
        </w:rPr>
        <w:t>.</w:t>
      </w:r>
    </w:p>
    <w:p w14:paraId="378DFA5A" w14:textId="73424715" w:rsidR="000753CF" w:rsidRPr="00F73DAA" w:rsidRDefault="000753CF" w:rsidP="00267E2D">
      <w:pPr>
        <w:ind w:firstLine="454"/>
        <w:rPr>
          <w:rFonts w:cs="Arial"/>
          <w:lang w:val="en-GB"/>
        </w:rPr>
      </w:pPr>
      <w:r w:rsidRPr="00F73DAA">
        <w:rPr>
          <w:lang w:val="en-GB"/>
        </w:rPr>
        <w:t xml:space="preserve">Graduation and transfer rates in the community colleges mirror the regional and ethnic inequalities in the school system. </w:t>
      </w:r>
      <w:r w:rsidR="00DD6BB2" w:rsidRPr="00F73DAA">
        <w:rPr>
          <w:rFonts w:cs="Arial"/>
          <w:lang w:val="en-GB"/>
        </w:rPr>
        <w:t>U</w:t>
      </w:r>
      <w:r w:rsidRPr="00F73DAA">
        <w:rPr>
          <w:rFonts w:cs="Arial"/>
          <w:lang w:val="en-GB"/>
        </w:rPr>
        <w:t xml:space="preserve">pward transfer from community colleges to the </w:t>
      </w:r>
      <w:r w:rsidR="00DD6BB2" w:rsidRPr="00F73DAA">
        <w:rPr>
          <w:rFonts w:cs="Arial"/>
          <w:lang w:val="en-GB"/>
        </w:rPr>
        <w:t>Californian State University</w:t>
      </w:r>
      <w:r w:rsidRPr="00F73DAA">
        <w:rPr>
          <w:rFonts w:cs="Arial"/>
          <w:lang w:val="en-GB"/>
        </w:rPr>
        <w:t xml:space="preserve"> and UC </w:t>
      </w:r>
      <w:r w:rsidR="00F73DAA">
        <w:rPr>
          <w:rFonts w:cs="Arial"/>
          <w:lang w:val="en-GB"/>
        </w:rPr>
        <w:t>varies,</w:t>
      </w:r>
      <w:r w:rsidR="00DD6BB2" w:rsidRPr="00F73DAA">
        <w:rPr>
          <w:rFonts w:cs="Arial"/>
          <w:lang w:val="en-GB"/>
        </w:rPr>
        <w:t xml:space="preserve"> according to the class and ethnic composition of the community college. Some</w:t>
      </w:r>
      <w:r w:rsidRPr="00F73DAA">
        <w:rPr>
          <w:rFonts w:cs="Arial"/>
          <w:lang w:val="en-GB"/>
        </w:rPr>
        <w:t xml:space="preserve"> colleges play a prominent role in </w:t>
      </w:r>
      <w:r w:rsidR="00DD6BB2" w:rsidRPr="00F73DAA">
        <w:rPr>
          <w:rFonts w:cs="Arial"/>
          <w:lang w:val="en-GB"/>
        </w:rPr>
        <w:t xml:space="preserve">middle class </w:t>
      </w:r>
      <w:r w:rsidRPr="00F73DAA">
        <w:rPr>
          <w:rFonts w:cs="Arial"/>
          <w:lang w:val="en-GB"/>
        </w:rPr>
        <w:t>access to UC Berkeley and other UC campuses</w:t>
      </w:r>
      <w:r w:rsidR="00DD6BB2" w:rsidRPr="00F73DAA">
        <w:rPr>
          <w:rFonts w:cs="Arial"/>
          <w:lang w:val="en-GB"/>
        </w:rPr>
        <w:t xml:space="preserve">, but in 2010 </w:t>
      </w:r>
      <w:r w:rsidRPr="00F73DAA">
        <w:rPr>
          <w:rFonts w:cs="Arial"/>
          <w:lang w:val="en-GB"/>
        </w:rPr>
        <w:t xml:space="preserve">just </w:t>
      </w:r>
      <w:r w:rsidRPr="00F73DAA">
        <w:rPr>
          <w:lang w:val="en-GB"/>
        </w:rPr>
        <w:t>22 per cent of commencing community college students transferred to a four-year degre</w:t>
      </w:r>
      <w:r w:rsidR="00DD6BB2" w:rsidRPr="00F73DAA">
        <w:rPr>
          <w:lang w:val="en-GB"/>
        </w:rPr>
        <w:t xml:space="preserve">e. Many failed to complete the two-year diploma, partly because the </w:t>
      </w:r>
      <w:r w:rsidR="00DD6BB2" w:rsidRPr="00F73DAA">
        <w:rPr>
          <w:rFonts w:cs="Arial"/>
          <w:lang w:val="en-GB"/>
        </w:rPr>
        <w:t xml:space="preserve">labour market standing of two-year diplomas is in decline. </w:t>
      </w:r>
      <w:r w:rsidRPr="00F73DAA">
        <w:rPr>
          <w:rFonts w:cs="Arial"/>
          <w:lang w:val="en-GB"/>
        </w:rPr>
        <w:t xml:space="preserve">Community colleges </w:t>
      </w:r>
      <w:r w:rsidR="00DD6BB2" w:rsidRPr="00F73DAA">
        <w:rPr>
          <w:rFonts w:cs="Arial"/>
          <w:lang w:val="en-GB"/>
        </w:rPr>
        <w:t>a</w:t>
      </w:r>
      <w:r w:rsidRPr="00F73DAA">
        <w:rPr>
          <w:rFonts w:cs="Arial"/>
          <w:lang w:val="en-GB"/>
        </w:rPr>
        <w:t xml:space="preserve">re pulled between immediate graduate employability and the academic requirements of transfer, which focus on the liberal curriculum, but they </w:t>
      </w:r>
      <w:r w:rsidR="00DD6BB2" w:rsidRPr="00F73DAA">
        <w:rPr>
          <w:rFonts w:cs="Arial"/>
          <w:lang w:val="en-GB"/>
        </w:rPr>
        <w:t>a</w:t>
      </w:r>
      <w:r w:rsidRPr="00F73DAA">
        <w:rPr>
          <w:rFonts w:cs="Arial"/>
          <w:lang w:val="en-GB"/>
        </w:rPr>
        <w:t xml:space="preserve">re not funded to play either role well. </w:t>
      </w:r>
      <w:r w:rsidR="00DD6BB2" w:rsidRPr="00F73DAA">
        <w:rPr>
          <w:rFonts w:cs="Arial"/>
          <w:lang w:val="en-GB"/>
        </w:rPr>
        <w:t xml:space="preserve">Upward transfer is much lower among African-American and Hispanic students than among white or Asian students. In the CSU </w:t>
      </w:r>
      <w:r w:rsidRPr="00F73DAA">
        <w:rPr>
          <w:rFonts w:cs="Arial"/>
          <w:lang w:val="en-GB"/>
        </w:rPr>
        <w:t>completion rates are</w:t>
      </w:r>
      <w:r w:rsidR="00DD6BB2" w:rsidRPr="00F73DAA">
        <w:rPr>
          <w:rFonts w:cs="Arial"/>
          <w:lang w:val="en-GB"/>
        </w:rPr>
        <w:t xml:space="preserve"> also relatively</w:t>
      </w:r>
      <w:r w:rsidRPr="00F73DAA">
        <w:rPr>
          <w:rFonts w:cs="Arial"/>
          <w:lang w:val="en-GB"/>
        </w:rPr>
        <w:t xml:space="preserve"> low</w:t>
      </w:r>
      <w:r w:rsidR="00DD6BB2" w:rsidRPr="00F73DAA">
        <w:rPr>
          <w:rFonts w:cs="Arial"/>
          <w:lang w:val="en-GB"/>
        </w:rPr>
        <w:t>,</w:t>
      </w:r>
      <w:r w:rsidRPr="00F73DAA">
        <w:rPr>
          <w:rFonts w:cs="Arial"/>
          <w:lang w:val="en-GB"/>
        </w:rPr>
        <w:t xml:space="preserve"> at about 45 per cent, compared to 90 per cent in the U</w:t>
      </w:r>
      <w:r w:rsidR="000025A2" w:rsidRPr="00F73DAA">
        <w:rPr>
          <w:rFonts w:cs="Arial"/>
          <w:lang w:val="en-GB"/>
        </w:rPr>
        <w:t xml:space="preserve">niversity of </w:t>
      </w:r>
      <w:r w:rsidRPr="00F73DAA">
        <w:rPr>
          <w:rFonts w:cs="Arial"/>
          <w:lang w:val="en-GB"/>
        </w:rPr>
        <w:t>C</w:t>
      </w:r>
      <w:r w:rsidR="000025A2" w:rsidRPr="00F73DAA">
        <w:rPr>
          <w:rFonts w:cs="Arial"/>
          <w:lang w:val="en-GB"/>
        </w:rPr>
        <w:t>alifornia system</w:t>
      </w:r>
      <w:r w:rsidRPr="00F73DAA">
        <w:rPr>
          <w:rFonts w:cs="Arial"/>
          <w:lang w:val="en-GB"/>
        </w:rPr>
        <w:t>.</w:t>
      </w:r>
    </w:p>
    <w:p w14:paraId="0B9BEF01" w14:textId="532D9270" w:rsidR="000753CF" w:rsidRPr="00F73DAA" w:rsidRDefault="000753CF" w:rsidP="00267E2D">
      <w:pPr>
        <w:ind w:firstLine="454"/>
        <w:rPr>
          <w:lang w:val="en-GB"/>
        </w:rPr>
      </w:pPr>
      <w:r w:rsidRPr="00F73DAA">
        <w:rPr>
          <w:rFonts w:cs="Arial"/>
          <w:lang w:val="en-GB"/>
        </w:rPr>
        <w:t xml:space="preserve">However, </w:t>
      </w:r>
      <w:r w:rsidR="00DD6BB2" w:rsidRPr="00F73DAA">
        <w:rPr>
          <w:rFonts w:cs="Arial"/>
          <w:lang w:val="en-GB"/>
        </w:rPr>
        <w:t xml:space="preserve">the roots of social inequality in higher education are deeper than </w:t>
      </w:r>
      <w:r w:rsidR="000025A2" w:rsidRPr="00F73DAA">
        <w:rPr>
          <w:rFonts w:cs="Arial"/>
          <w:lang w:val="en-GB"/>
        </w:rPr>
        <w:t xml:space="preserve">suggested by </w:t>
      </w:r>
      <w:r w:rsidR="00DD6BB2" w:rsidRPr="00F73DAA">
        <w:rPr>
          <w:rFonts w:cs="Arial"/>
          <w:lang w:val="en-GB"/>
        </w:rPr>
        <w:t>the</w:t>
      </w:r>
      <w:r w:rsidR="000025A2" w:rsidRPr="00F73DAA">
        <w:rPr>
          <w:rFonts w:cs="Arial"/>
          <w:lang w:val="en-GB"/>
        </w:rPr>
        <w:t xml:space="preserve"> </w:t>
      </w:r>
      <w:r w:rsidR="00DD6BB2" w:rsidRPr="00F73DAA">
        <w:rPr>
          <w:rFonts w:cs="Arial"/>
          <w:lang w:val="en-GB"/>
        </w:rPr>
        <w:t xml:space="preserve">data on </w:t>
      </w:r>
      <w:r w:rsidR="00AC0BAF" w:rsidRPr="00F73DAA">
        <w:rPr>
          <w:rFonts w:cs="Arial"/>
          <w:lang w:val="en-GB"/>
        </w:rPr>
        <w:t xml:space="preserve">unequal </w:t>
      </w:r>
      <w:r w:rsidR="00DD6BB2" w:rsidRPr="00F73DAA">
        <w:rPr>
          <w:rFonts w:cs="Arial"/>
          <w:lang w:val="en-GB"/>
        </w:rPr>
        <w:t>access and</w:t>
      </w:r>
      <w:r w:rsidR="000025A2" w:rsidRPr="00F73DAA">
        <w:rPr>
          <w:rFonts w:cs="Arial"/>
          <w:lang w:val="en-GB"/>
        </w:rPr>
        <w:t xml:space="preserve"> transfer</w:t>
      </w:r>
      <w:r w:rsidR="00DD6BB2" w:rsidRPr="00F73DAA">
        <w:rPr>
          <w:rFonts w:cs="Arial"/>
          <w:lang w:val="en-GB"/>
        </w:rPr>
        <w:t xml:space="preserve">. </w:t>
      </w:r>
      <w:r w:rsidR="000025A2" w:rsidRPr="00F73DAA">
        <w:rPr>
          <w:rFonts w:cs="Arial"/>
          <w:lang w:val="en-GB"/>
        </w:rPr>
        <w:t>T</w:t>
      </w:r>
      <w:r w:rsidRPr="00F73DAA">
        <w:rPr>
          <w:rFonts w:cs="Arial"/>
          <w:lang w:val="en-GB"/>
        </w:rPr>
        <w:t>he</w:t>
      </w:r>
      <w:r w:rsidR="000025A2" w:rsidRPr="00F73DAA">
        <w:rPr>
          <w:rFonts w:cs="Arial"/>
          <w:lang w:val="en-GB"/>
        </w:rPr>
        <w:t>re was a breakdown</w:t>
      </w:r>
      <w:r w:rsidRPr="00F73DAA">
        <w:rPr>
          <w:rFonts w:cs="Arial"/>
          <w:lang w:val="en-GB"/>
        </w:rPr>
        <w:t xml:space="preserve"> </w:t>
      </w:r>
      <w:r w:rsidR="00AC0BAF" w:rsidRPr="00F73DAA">
        <w:rPr>
          <w:rFonts w:cs="Arial"/>
          <w:lang w:val="en-GB"/>
        </w:rPr>
        <w:t xml:space="preserve">of the </w:t>
      </w:r>
      <w:r w:rsidRPr="00F73DAA">
        <w:rPr>
          <w:rFonts w:cs="Arial"/>
          <w:lang w:val="en-GB"/>
        </w:rPr>
        <w:t>social and political consensus on education as a public good that underpinned taxpayer support for the Master Plan</w:t>
      </w:r>
      <w:r w:rsidR="00AC0BAF" w:rsidRPr="00F73DAA">
        <w:rPr>
          <w:rFonts w:cs="Arial"/>
          <w:lang w:val="en-GB"/>
        </w:rPr>
        <w:t xml:space="preserve"> in its first twenty years</w:t>
      </w:r>
      <w:r w:rsidRPr="00F73DAA">
        <w:rPr>
          <w:rFonts w:cs="Arial"/>
          <w:lang w:val="en-GB"/>
        </w:rPr>
        <w:t>.</w:t>
      </w:r>
      <w:r w:rsidRPr="00F73DAA">
        <w:rPr>
          <w:lang w:val="en-GB"/>
        </w:rPr>
        <w:t xml:space="preserve"> </w:t>
      </w:r>
      <w:r w:rsidR="007917D0" w:rsidRPr="00F73DAA">
        <w:rPr>
          <w:lang w:val="en-GB"/>
        </w:rPr>
        <w:t>The execution of the Master Plan faltered where the original Plan was strong—in the big picture, in the economics and politics.</w:t>
      </w:r>
    </w:p>
    <w:p w14:paraId="5CE73D99" w14:textId="77777777" w:rsidR="000753CF" w:rsidRPr="00F73DAA" w:rsidRDefault="000753CF" w:rsidP="00267E2D">
      <w:pPr>
        <w:rPr>
          <w:lang w:val="en-GB"/>
        </w:rPr>
      </w:pPr>
    </w:p>
    <w:p w14:paraId="708D95DE" w14:textId="77777777" w:rsidR="000753CF" w:rsidRPr="00F73DAA" w:rsidRDefault="000753CF" w:rsidP="00267E2D">
      <w:pPr>
        <w:rPr>
          <w:b/>
          <w:lang w:val="en-GB"/>
        </w:rPr>
      </w:pPr>
      <w:r w:rsidRPr="00F73DAA">
        <w:rPr>
          <w:b/>
          <w:iCs/>
          <w:lang w:val="en-GB"/>
        </w:rPr>
        <w:t>The importance of taxation</w:t>
      </w:r>
      <w:r w:rsidRPr="00F73DAA">
        <w:rPr>
          <w:b/>
          <w:lang w:val="en-GB"/>
        </w:rPr>
        <w:t xml:space="preserve"> </w:t>
      </w:r>
    </w:p>
    <w:p w14:paraId="1DC835E6" w14:textId="77777777" w:rsidR="00AC0BAF" w:rsidRPr="00F73DAA" w:rsidRDefault="000753CF" w:rsidP="00267E2D">
      <w:pPr>
        <w:rPr>
          <w:lang w:val="en-GB"/>
        </w:rPr>
      </w:pPr>
      <w:r w:rsidRPr="00F73DAA">
        <w:rPr>
          <w:lang w:val="en-GB"/>
        </w:rPr>
        <w:t xml:space="preserve">In 1978 the anti-tax movement in California secured a ballot majority for Proposition 13, which sharply reduced property taxes, the main income </w:t>
      </w:r>
      <w:r w:rsidR="00AC0BAF" w:rsidRPr="00F73DAA">
        <w:rPr>
          <w:lang w:val="en-GB"/>
        </w:rPr>
        <w:t>for</w:t>
      </w:r>
      <w:r w:rsidRPr="00F73DAA">
        <w:rPr>
          <w:lang w:val="en-GB"/>
        </w:rPr>
        <w:t xml:space="preserve"> local counties and school districts</w:t>
      </w:r>
      <w:r w:rsidR="00AC0BAF" w:rsidRPr="00F73DAA">
        <w:rPr>
          <w:lang w:val="en-GB"/>
        </w:rPr>
        <w:t xml:space="preserve">, triggering a flurry of further tax limitations and mandates. </w:t>
      </w:r>
      <w:r w:rsidRPr="00F73DAA">
        <w:rPr>
          <w:lang w:val="en-GB"/>
        </w:rPr>
        <w:t xml:space="preserve">In 1988, partly to compensate for Proposition 13, California adopted Proposition 88 which allocated 40 per cent of state income to schools and community colleges. After all </w:t>
      </w:r>
      <w:r w:rsidR="00AC0BAF" w:rsidRPr="00F73DAA">
        <w:rPr>
          <w:lang w:val="en-GB"/>
        </w:rPr>
        <w:t>other provisions</w:t>
      </w:r>
      <w:r w:rsidRPr="00F73DAA">
        <w:rPr>
          <w:lang w:val="en-GB"/>
        </w:rPr>
        <w:t xml:space="preserve"> </w:t>
      </w:r>
      <w:r w:rsidR="00AC0BAF" w:rsidRPr="00F73DAA">
        <w:rPr>
          <w:lang w:val="en-GB"/>
        </w:rPr>
        <w:t>were</w:t>
      </w:r>
      <w:r w:rsidRPr="00F73DAA">
        <w:rPr>
          <w:lang w:val="en-GB"/>
        </w:rPr>
        <w:t xml:space="preserve"> accounted for, </w:t>
      </w:r>
      <w:r w:rsidR="00AC0BAF" w:rsidRPr="00F73DAA">
        <w:rPr>
          <w:lang w:val="en-GB"/>
        </w:rPr>
        <w:t xml:space="preserve">only </w:t>
      </w:r>
      <w:r w:rsidRPr="00F73DAA">
        <w:rPr>
          <w:lang w:val="en-GB"/>
        </w:rPr>
        <w:t xml:space="preserve">15 per cent of the </w:t>
      </w:r>
      <w:r w:rsidR="00AC0BAF" w:rsidRPr="00F73DAA">
        <w:rPr>
          <w:lang w:val="en-GB"/>
        </w:rPr>
        <w:t xml:space="preserve">state </w:t>
      </w:r>
      <w:r w:rsidRPr="00F73DAA">
        <w:rPr>
          <w:lang w:val="en-GB"/>
        </w:rPr>
        <w:t xml:space="preserve">budget was </w:t>
      </w:r>
      <w:r w:rsidR="00AC0BAF" w:rsidRPr="00F73DAA">
        <w:rPr>
          <w:lang w:val="en-GB"/>
        </w:rPr>
        <w:t xml:space="preserve">left </w:t>
      </w:r>
      <w:r w:rsidRPr="00F73DAA">
        <w:rPr>
          <w:lang w:val="en-GB"/>
        </w:rPr>
        <w:t xml:space="preserve">unallocated. </w:t>
      </w:r>
      <w:r w:rsidR="00AC0BAF" w:rsidRPr="00F73DAA">
        <w:rPr>
          <w:lang w:val="en-GB"/>
        </w:rPr>
        <w:t>The UC and CSU were</w:t>
      </w:r>
      <w:r w:rsidRPr="00F73DAA">
        <w:rPr>
          <w:lang w:val="en-GB"/>
        </w:rPr>
        <w:t xml:space="preserve"> funded </w:t>
      </w:r>
      <w:r w:rsidR="00AC0BAF" w:rsidRPr="00F73DAA">
        <w:rPr>
          <w:lang w:val="en-GB"/>
        </w:rPr>
        <w:t>from</w:t>
      </w:r>
      <w:r w:rsidRPr="00F73DAA">
        <w:rPr>
          <w:lang w:val="en-GB"/>
        </w:rPr>
        <w:t xml:space="preserve"> that 15 per cent. </w:t>
      </w:r>
    </w:p>
    <w:p w14:paraId="53C8D806" w14:textId="796270E5" w:rsidR="000753CF" w:rsidRPr="00F73DAA" w:rsidRDefault="00AC0BAF" w:rsidP="00AC0BAF">
      <w:pPr>
        <w:ind w:firstLine="454"/>
        <w:rPr>
          <w:lang w:val="en-GB"/>
        </w:rPr>
      </w:pPr>
      <w:r w:rsidRPr="00F73DAA">
        <w:rPr>
          <w:rFonts w:cs="Arial"/>
          <w:lang w:val="en-GB"/>
        </w:rPr>
        <w:t>T</w:t>
      </w:r>
      <w:r w:rsidR="000753CF" w:rsidRPr="00F73DAA">
        <w:rPr>
          <w:rFonts w:cs="Arial"/>
          <w:lang w:val="en-GB"/>
        </w:rPr>
        <w:t xml:space="preserve">he tax revolt </w:t>
      </w:r>
      <w:r w:rsidR="007917D0" w:rsidRPr="00F73DAA">
        <w:rPr>
          <w:rFonts w:cs="Arial"/>
          <w:lang w:val="en-GB"/>
        </w:rPr>
        <w:t>signified</w:t>
      </w:r>
      <w:r w:rsidR="000753CF" w:rsidRPr="00F73DAA">
        <w:rPr>
          <w:rFonts w:cs="Arial"/>
          <w:lang w:val="en-GB"/>
        </w:rPr>
        <w:t xml:space="preserve"> that </w:t>
      </w:r>
      <w:r w:rsidR="007917D0" w:rsidRPr="00F73DAA">
        <w:rPr>
          <w:rFonts w:cs="Arial"/>
          <w:lang w:val="en-GB"/>
        </w:rPr>
        <w:t xml:space="preserve">taxation was now seen as a reduction in individual freedom rather than a shared asset </w:t>
      </w:r>
      <w:r w:rsidR="007917D0" w:rsidRPr="00F73DAA">
        <w:rPr>
          <w:lang w:val="en-GB"/>
        </w:rPr>
        <w:t xml:space="preserve">used for the common good of each and all. More specifically, in education, </w:t>
      </w:r>
      <w:r w:rsidRPr="00F73DAA">
        <w:rPr>
          <w:rFonts w:cs="Arial"/>
          <w:lang w:val="en-GB"/>
        </w:rPr>
        <w:t>an</w:t>
      </w:r>
      <w:r w:rsidR="000753CF" w:rsidRPr="00F73DAA">
        <w:rPr>
          <w:rFonts w:cs="Arial"/>
          <w:lang w:val="en-GB"/>
        </w:rPr>
        <w:t xml:space="preserve"> ageing white middle class was </w:t>
      </w:r>
      <w:r w:rsidRPr="00F73DAA">
        <w:rPr>
          <w:rFonts w:cs="Arial"/>
          <w:lang w:val="en-GB"/>
        </w:rPr>
        <w:t xml:space="preserve">no longer </w:t>
      </w:r>
      <w:r w:rsidR="000753CF" w:rsidRPr="00F73DAA">
        <w:rPr>
          <w:rFonts w:cs="Arial"/>
          <w:lang w:val="en-GB"/>
        </w:rPr>
        <w:t>willing to resource school</w:t>
      </w:r>
      <w:r w:rsidR="007917D0" w:rsidRPr="00F73DAA">
        <w:rPr>
          <w:rFonts w:cs="Arial"/>
          <w:lang w:val="en-GB"/>
        </w:rPr>
        <w:t>s</w:t>
      </w:r>
      <w:r w:rsidR="000753CF" w:rsidRPr="00F73DAA">
        <w:rPr>
          <w:rFonts w:cs="Arial"/>
          <w:lang w:val="en-GB"/>
        </w:rPr>
        <w:t xml:space="preserve"> </w:t>
      </w:r>
      <w:r w:rsidR="007917D0" w:rsidRPr="00F73DAA">
        <w:rPr>
          <w:rFonts w:cs="Arial"/>
          <w:lang w:val="en-GB"/>
        </w:rPr>
        <w:t xml:space="preserve">and college </w:t>
      </w:r>
      <w:r w:rsidR="000753CF" w:rsidRPr="00F73DAA">
        <w:rPr>
          <w:rFonts w:cs="Arial"/>
          <w:lang w:val="en-GB"/>
        </w:rPr>
        <w:t xml:space="preserve">of good quality across all districts, for all citizens and non-citizens, including legal and illegal migrants. </w:t>
      </w:r>
      <w:r w:rsidR="007917D0" w:rsidRPr="00F73DAA">
        <w:rPr>
          <w:lang w:val="en-GB"/>
        </w:rPr>
        <w:t>The 1960s belief in universal social advance through education</w:t>
      </w:r>
      <w:r w:rsidR="007917D0" w:rsidRPr="00F73DAA">
        <w:rPr>
          <w:rFonts w:cs="Arial"/>
          <w:lang w:val="en-GB"/>
        </w:rPr>
        <w:t xml:space="preserve"> had been jettisoned. </w:t>
      </w:r>
      <w:r w:rsidRPr="00F73DAA">
        <w:rPr>
          <w:rFonts w:cs="Arial"/>
          <w:lang w:val="en-GB"/>
        </w:rPr>
        <w:t>In higher education it took time for t</w:t>
      </w:r>
      <w:r w:rsidR="000753CF" w:rsidRPr="00F73DAA">
        <w:rPr>
          <w:rFonts w:cs="Arial"/>
          <w:lang w:val="en-GB"/>
        </w:rPr>
        <w:t xml:space="preserve">he </w:t>
      </w:r>
      <w:r w:rsidRPr="00F73DAA">
        <w:rPr>
          <w:rFonts w:cs="Arial"/>
          <w:lang w:val="en-GB"/>
        </w:rPr>
        <w:t xml:space="preserve">full </w:t>
      </w:r>
      <w:r w:rsidR="000753CF" w:rsidRPr="00F73DAA">
        <w:rPr>
          <w:rFonts w:cs="Arial"/>
          <w:lang w:val="en-GB"/>
        </w:rPr>
        <w:t xml:space="preserve">impact </w:t>
      </w:r>
      <w:r w:rsidRPr="00F73DAA">
        <w:rPr>
          <w:rFonts w:cs="Arial"/>
          <w:lang w:val="en-GB"/>
        </w:rPr>
        <w:t>to be</w:t>
      </w:r>
      <w:r w:rsidR="000753CF" w:rsidRPr="00F73DAA">
        <w:rPr>
          <w:rFonts w:cs="Arial"/>
          <w:lang w:val="en-GB"/>
        </w:rPr>
        <w:t xml:space="preserve"> felt. </w:t>
      </w:r>
      <w:r w:rsidRPr="00F73DAA">
        <w:rPr>
          <w:rFonts w:cs="Arial"/>
          <w:lang w:val="en-GB"/>
        </w:rPr>
        <w:t>Year</w:t>
      </w:r>
      <w:r w:rsidR="000753CF" w:rsidRPr="00F73DAA">
        <w:rPr>
          <w:rFonts w:cs="Arial"/>
          <w:lang w:val="en-GB"/>
        </w:rPr>
        <w:t xml:space="preserve">s of growing state revenue alternated with funding cuts </w:t>
      </w:r>
      <w:r w:rsidR="00384D34" w:rsidRPr="00F73DAA">
        <w:rPr>
          <w:rFonts w:cs="Arial"/>
          <w:lang w:val="en-GB"/>
        </w:rPr>
        <w:t>that were not</w:t>
      </w:r>
      <w:r w:rsidR="000753CF" w:rsidRPr="00F73DAA">
        <w:rPr>
          <w:rFonts w:cs="Arial"/>
          <w:lang w:val="en-GB"/>
        </w:rPr>
        <w:t xml:space="preserve"> restored</w:t>
      </w:r>
      <w:r w:rsidRPr="00F73DAA">
        <w:rPr>
          <w:rFonts w:cs="Arial"/>
          <w:lang w:val="en-GB"/>
        </w:rPr>
        <w:t xml:space="preserve">, but </w:t>
      </w:r>
      <w:r w:rsidR="00384D34" w:rsidRPr="00F73DAA">
        <w:rPr>
          <w:rFonts w:cs="Arial"/>
          <w:lang w:val="en-GB"/>
        </w:rPr>
        <w:t xml:space="preserve">it was apparent from </w:t>
      </w:r>
      <w:r w:rsidRPr="00F73DAA">
        <w:rPr>
          <w:rFonts w:cs="Arial"/>
          <w:lang w:val="en-GB"/>
        </w:rPr>
        <w:t xml:space="preserve">about </w:t>
      </w:r>
      <w:r w:rsidR="000753CF" w:rsidRPr="00F73DAA">
        <w:rPr>
          <w:rFonts w:cs="Arial"/>
          <w:lang w:val="en-GB"/>
        </w:rPr>
        <w:t xml:space="preserve">1990 </w:t>
      </w:r>
      <w:r w:rsidR="00384D34" w:rsidRPr="00F73DAA">
        <w:rPr>
          <w:rFonts w:cs="Arial"/>
          <w:lang w:val="en-GB"/>
        </w:rPr>
        <w:t xml:space="preserve">that </w:t>
      </w:r>
      <w:r w:rsidR="000753CF" w:rsidRPr="00F73DAA">
        <w:rPr>
          <w:rFonts w:cs="Arial"/>
          <w:lang w:val="en-GB"/>
        </w:rPr>
        <w:t xml:space="preserve">California could no longer fully support the Master Plan. </w:t>
      </w:r>
      <w:r w:rsidRPr="00F73DAA">
        <w:rPr>
          <w:rFonts w:cs="Arial"/>
          <w:lang w:val="en-GB"/>
        </w:rPr>
        <w:t>T</w:t>
      </w:r>
      <w:r w:rsidR="000753CF" w:rsidRPr="00F73DAA">
        <w:rPr>
          <w:rFonts w:cs="Arial"/>
          <w:lang w:val="en-GB"/>
        </w:rPr>
        <w:t>he 2008</w:t>
      </w:r>
      <w:r w:rsidR="00384D34" w:rsidRPr="00F73DAA">
        <w:rPr>
          <w:rFonts w:cs="Arial"/>
          <w:lang w:val="en-GB"/>
        </w:rPr>
        <w:t xml:space="preserve"> </w:t>
      </w:r>
      <w:r w:rsidR="000753CF" w:rsidRPr="00F73DAA">
        <w:rPr>
          <w:rFonts w:cs="Arial"/>
          <w:lang w:val="en-GB"/>
        </w:rPr>
        <w:t xml:space="preserve">recession triggered a massive fiscal </w:t>
      </w:r>
      <w:r w:rsidRPr="00F73DAA">
        <w:rPr>
          <w:rFonts w:cs="Arial"/>
          <w:lang w:val="en-GB"/>
        </w:rPr>
        <w:t>reduction in all three</w:t>
      </w:r>
      <w:r w:rsidR="000753CF" w:rsidRPr="00F73DAA">
        <w:rPr>
          <w:rFonts w:cs="Arial"/>
          <w:lang w:val="en-GB"/>
        </w:rPr>
        <w:t xml:space="preserve"> systems</w:t>
      </w:r>
      <w:r w:rsidRPr="00F73DAA">
        <w:rPr>
          <w:rFonts w:cs="Arial"/>
          <w:lang w:val="en-GB"/>
        </w:rPr>
        <w:t xml:space="preserve"> of higher education</w:t>
      </w:r>
      <w:r w:rsidR="00384D34" w:rsidRPr="00F73DAA">
        <w:rPr>
          <w:rFonts w:cs="Arial"/>
          <w:lang w:val="en-GB"/>
        </w:rPr>
        <w:t xml:space="preserve">, much of it not restored. </w:t>
      </w:r>
    </w:p>
    <w:p w14:paraId="4674E480" w14:textId="7F3EE2EC" w:rsidR="000753CF" w:rsidRPr="00F73DAA" w:rsidRDefault="00384D34" w:rsidP="007917D0">
      <w:pPr>
        <w:ind w:firstLine="454"/>
        <w:rPr>
          <w:lang w:val="en-GB"/>
        </w:rPr>
      </w:pPr>
      <w:r w:rsidRPr="00F73DAA">
        <w:rPr>
          <w:rFonts w:cs="Arial"/>
          <w:lang w:val="en-GB"/>
        </w:rPr>
        <w:t>T</w:t>
      </w:r>
      <w:r w:rsidR="000753CF" w:rsidRPr="00F73DAA">
        <w:rPr>
          <w:rFonts w:cs="Arial"/>
          <w:lang w:val="en-GB"/>
        </w:rPr>
        <w:t xml:space="preserve">he most significant </w:t>
      </w:r>
      <w:r w:rsidRPr="00F73DAA">
        <w:rPr>
          <w:rFonts w:cs="Arial"/>
          <w:lang w:val="en-GB"/>
        </w:rPr>
        <w:t xml:space="preserve">outcome </w:t>
      </w:r>
      <w:r w:rsidR="000753CF" w:rsidRPr="00F73DAA">
        <w:rPr>
          <w:rFonts w:cs="Arial"/>
          <w:lang w:val="en-GB"/>
        </w:rPr>
        <w:t xml:space="preserve">is that public higher education </w:t>
      </w:r>
      <w:r w:rsidRPr="00F73DAA">
        <w:rPr>
          <w:rFonts w:cs="Arial"/>
          <w:lang w:val="en-GB"/>
        </w:rPr>
        <w:t xml:space="preserve">in California, which created </w:t>
      </w:r>
      <w:r w:rsidR="000753CF" w:rsidRPr="00F73DAA">
        <w:rPr>
          <w:rFonts w:cs="Arial"/>
          <w:lang w:val="en-GB"/>
        </w:rPr>
        <w:t>universal access</w:t>
      </w:r>
      <w:r w:rsidRPr="00F73DAA">
        <w:rPr>
          <w:rFonts w:cs="Arial"/>
          <w:lang w:val="en-GB"/>
        </w:rPr>
        <w:t xml:space="preserve"> and was followed by other systems around the world, has now lost it</w:t>
      </w:r>
      <w:r w:rsidR="000753CF" w:rsidRPr="00F73DAA">
        <w:rPr>
          <w:rFonts w:cs="Arial"/>
          <w:lang w:val="en-GB"/>
        </w:rPr>
        <w:t xml:space="preserve">. The community colleges first began to turn away </w:t>
      </w:r>
      <w:r w:rsidRPr="00F73DAA">
        <w:rPr>
          <w:rFonts w:cs="Arial"/>
          <w:lang w:val="en-GB"/>
        </w:rPr>
        <w:t xml:space="preserve">prospective </w:t>
      </w:r>
      <w:r w:rsidR="000753CF" w:rsidRPr="00F73DAA">
        <w:rPr>
          <w:rFonts w:cs="Arial"/>
          <w:lang w:val="en-GB"/>
        </w:rPr>
        <w:t>students in bad budget years in the 1980s. At least 200,000 now miss a place</w:t>
      </w:r>
      <w:r w:rsidRPr="00F73DAA">
        <w:rPr>
          <w:rFonts w:cs="Arial"/>
          <w:lang w:val="en-GB"/>
        </w:rPr>
        <w:t xml:space="preserve"> each year</w:t>
      </w:r>
      <w:r w:rsidR="000753CF" w:rsidRPr="00F73DAA">
        <w:rPr>
          <w:rFonts w:cs="Arial"/>
          <w:lang w:val="en-GB"/>
        </w:rPr>
        <w:t xml:space="preserve">. </w:t>
      </w:r>
      <w:r w:rsidR="007917D0" w:rsidRPr="00F73DAA">
        <w:rPr>
          <w:lang w:val="en-GB"/>
        </w:rPr>
        <w:t xml:space="preserve">Those that are enrolled experience large classes and rising tuition which together with the declining value of credentials contributes to high drop out. </w:t>
      </w:r>
      <w:r w:rsidR="007917D0" w:rsidRPr="00F73DAA">
        <w:rPr>
          <w:rFonts w:cs="Arial"/>
          <w:lang w:val="en-GB"/>
        </w:rPr>
        <w:t xml:space="preserve">The CSU enrolment was first reduced by 50,000 in the early 1990s and unmet demand increased after the </w:t>
      </w:r>
      <w:r w:rsidR="007917D0" w:rsidRPr="00F73DAA">
        <w:rPr>
          <w:rFonts w:cs="Arial"/>
          <w:lang w:val="en-GB"/>
        </w:rPr>
        <w:lastRenderedPageBreak/>
        <w:t xml:space="preserve">2008 recession. </w:t>
      </w:r>
      <w:r w:rsidR="000753CF" w:rsidRPr="00F73DAA">
        <w:rPr>
          <w:lang w:val="en-GB"/>
        </w:rPr>
        <w:t xml:space="preserve">In 1960 participation was </w:t>
      </w:r>
      <w:r w:rsidRPr="00F73DAA">
        <w:rPr>
          <w:lang w:val="en-GB"/>
        </w:rPr>
        <w:t xml:space="preserve">almost </w:t>
      </w:r>
      <w:r w:rsidR="000753CF" w:rsidRPr="00F73DAA">
        <w:rPr>
          <w:lang w:val="en-GB"/>
        </w:rPr>
        <w:t>double the national average</w:t>
      </w:r>
      <w:r w:rsidRPr="00F73DAA">
        <w:rPr>
          <w:lang w:val="en-GB"/>
        </w:rPr>
        <w:t xml:space="preserve"> but </w:t>
      </w:r>
      <w:r w:rsidR="007917D0" w:rsidRPr="00F73DAA">
        <w:rPr>
          <w:lang w:val="en-GB"/>
        </w:rPr>
        <w:t>California</w:t>
      </w:r>
      <w:r w:rsidRPr="00F73DAA">
        <w:rPr>
          <w:lang w:val="en-GB"/>
        </w:rPr>
        <w:t xml:space="preserve"> is now</w:t>
      </w:r>
      <w:r w:rsidR="000753CF" w:rsidRPr="00F73DAA">
        <w:rPr>
          <w:lang w:val="en-GB"/>
        </w:rPr>
        <w:t xml:space="preserve"> 43</w:t>
      </w:r>
      <w:r w:rsidR="000753CF" w:rsidRPr="00F73DAA">
        <w:rPr>
          <w:vertAlign w:val="superscript"/>
          <w:lang w:val="en-GB"/>
        </w:rPr>
        <w:t>rd</w:t>
      </w:r>
      <w:r w:rsidR="000753CF" w:rsidRPr="00F73DAA">
        <w:rPr>
          <w:lang w:val="en-GB"/>
        </w:rPr>
        <w:t xml:space="preserve"> of the 50 in the proportion of 18-24 years olds with </w:t>
      </w:r>
      <w:r w:rsidR="007917D0" w:rsidRPr="00F73DAA">
        <w:rPr>
          <w:lang w:val="en-GB"/>
        </w:rPr>
        <w:t>degrees</w:t>
      </w:r>
      <w:r w:rsidR="000753CF" w:rsidRPr="00F73DAA">
        <w:rPr>
          <w:lang w:val="en-GB"/>
        </w:rPr>
        <w:t xml:space="preserve">. </w:t>
      </w:r>
    </w:p>
    <w:p w14:paraId="39C306A1" w14:textId="689573F0" w:rsidR="000753CF" w:rsidRPr="00F73DAA" w:rsidRDefault="000753CF" w:rsidP="00267E2D">
      <w:pPr>
        <w:rPr>
          <w:rFonts w:cs="Georgia"/>
          <w:color w:val="2D2D2D"/>
          <w:lang w:val="en-GB"/>
        </w:rPr>
      </w:pPr>
    </w:p>
    <w:p w14:paraId="27E1830A" w14:textId="653C7A00" w:rsidR="000753CF" w:rsidRPr="00F73DAA" w:rsidRDefault="007917D0" w:rsidP="00267E2D">
      <w:pPr>
        <w:rPr>
          <w:rFonts w:cs="Georgia"/>
          <w:b/>
          <w:color w:val="2D2D2D"/>
          <w:lang w:val="en-GB"/>
        </w:rPr>
      </w:pPr>
      <w:r w:rsidRPr="00F73DAA">
        <w:rPr>
          <w:rFonts w:cs="Georgia"/>
          <w:b/>
          <w:iCs/>
          <w:color w:val="2D2D2D"/>
          <w:lang w:val="en-GB"/>
        </w:rPr>
        <w:t>‘G</w:t>
      </w:r>
      <w:r w:rsidR="000753CF" w:rsidRPr="00F73DAA">
        <w:rPr>
          <w:rFonts w:cs="Georgia"/>
          <w:b/>
          <w:iCs/>
          <w:color w:val="2D2D2D"/>
          <w:lang w:val="en-GB"/>
        </w:rPr>
        <w:t>reed is good’</w:t>
      </w:r>
      <w:r w:rsidRPr="00F73DAA">
        <w:rPr>
          <w:rFonts w:cs="Georgia"/>
          <w:b/>
          <w:iCs/>
          <w:color w:val="2D2D2D"/>
          <w:lang w:val="en-GB"/>
        </w:rPr>
        <w:t>: From the</w:t>
      </w:r>
      <w:r w:rsidR="000753CF" w:rsidRPr="00F73DAA">
        <w:rPr>
          <w:rFonts w:cs="Georgia"/>
          <w:b/>
          <w:iCs/>
          <w:color w:val="2D2D2D"/>
          <w:lang w:val="en-GB"/>
        </w:rPr>
        <w:t xml:space="preserve"> 1980s</w:t>
      </w:r>
      <w:r w:rsidRPr="00F73DAA">
        <w:rPr>
          <w:rFonts w:cs="Georgia"/>
          <w:b/>
          <w:iCs/>
          <w:color w:val="2D2D2D"/>
          <w:lang w:val="en-GB"/>
        </w:rPr>
        <w:t xml:space="preserve"> to now</w:t>
      </w:r>
    </w:p>
    <w:p w14:paraId="17DF4412" w14:textId="3AC08177" w:rsidR="00996DF4" w:rsidRPr="00F73DAA" w:rsidRDefault="000753CF" w:rsidP="00996DF4">
      <w:pPr>
        <w:rPr>
          <w:rFonts w:cs="Arial"/>
          <w:lang w:val="en-GB"/>
        </w:rPr>
      </w:pPr>
      <w:r w:rsidRPr="00F73DAA">
        <w:rPr>
          <w:lang w:val="en-GB"/>
        </w:rPr>
        <w:t xml:space="preserve">But </w:t>
      </w:r>
      <w:r w:rsidRPr="00F73DAA">
        <w:rPr>
          <w:i/>
          <w:lang w:val="en-GB"/>
        </w:rPr>
        <w:t>why</w:t>
      </w:r>
      <w:r w:rsidRPr="00F73DAA">
        <w:rPr>
          <w:lang w:val="en-GB"/>
        </w:rPr>
        <w:t xml:space="preserve"> did support for the common public good </w:t>
      </w:r>
      <w:r w:rsidR="00996DF4" w:rsidRPr="00F73DAA">
        <w:rPr>
          <w:lang w:val="en-GB"/>
        </w:rPr>
        <w:t xml:space="preserve">in education </w:t>
      </w:r>
      <w:r w:rsidRPr="00F73DAA">
        <w:rPr>
          <w:lang w:val="en-GB"/>
        </w:rPr>
        <w:t>deteriorate</w:t>
      </w:r>
      <w:r w:rsidR="00996DF4" w:rsidRPr="00F73DAA">
        <w:rPr>
          <w:lang w:val="en-GB"/>
        </w:rPr>
        <w:t>? Arguably, t</w:t>
      </w:r>
      <w:r w:rsidRPr="00F73DAA">
        <w:rPr>
          <w:lang w:val="en-GB"/>
        </w:rPr>
        <w:t xml:space="preserve">he ideas underpinning the tax revolt </w:t>
      </w:r>
      <w:r w:rsidR="00996DF4" w:rsidRPr="00F73DAA">
        <w:rPr>
          <w:lang w:val="en-GB"/>
        </w:rPr>
        <w:t>originated in a paper by</w:t>
      </w:r>
      <w:r w:rsidRPr="00F73DAA">
        <w:rPr>
          <w:rFonts w:cs="Arial"/>
          <w:lang w:val="en-GB"/>
        </w:rPr>
        <w:t xml:space="preserve"> defence intellectual Kenneth Arrow </w:t>
      </w:r>
      <w:r w:rsidR="00996DF4" w:rsidRPr="00F73DAA">
        <w:rPr>
          <w:rFonts w:cs="Arial"/>
          <w:lang w:val="en-GB"/>
        </w:rPr>
        <w:t xml:space="preserve">in 1951, on </w:t>
      </w:r>
      <w:r w:rsidRPr="00F73DAA">
        <w:rPr>
          <w:rFonts w:cs="Arial"/>
          <w:lang w:val="en-GB"/>
        </w:rPr>
        <w:t>Social choice and individual values’</w:t>
      </w:r>
      <w:r w:rsidR="00996DF4" w:rsidRPr="00F73DAA">
        <w:rPr>
          <w:rFonts w:cs="Arial"/>
          <w:lang w:val="en-GB"/>
        </w:rPr>
        <w:t>. Arrow</w:t>
      </w:r>
      <w:r w:rsidRPr="00F73DAA">
        <w:rPr>
          <w:rFonts w:cs="Arial"/>
          <w:lang w:val="en-GB"/>
        </w:rPr>
        <w:t xml:space="preserve"> </w:t>
      </w:r>
      <w:r w:rsidR="00996DF4" w:rsidRPr="00F73DAA">
        <w:rPr>
          <w:rFonts w:cs="Arial"/>
          <w:lang w:val="en-GB"/>
        </w:rPr>
        <w:t>ask</w:t>
      </w:r>
      <w:r w:rsidRPr="00F73DAA">
        <w:rPr>
          <w:rFonts w:cs="Arial"/>
          <w:lang w:val="en-GB"/>
        </w:rPr>
        <w:t>ed whether it was possible to derive collectively rational decisions from</w:t>
      </w:r>
      <w:r w:rsidR="00996DF4" w:rsidRPr="00F73DAA">
        <w:rPr>
          <w:rFonts w:cs="Arial"/>
          <w:lang w:val="en-GB"/>
        </w:rPr>
        <w:t xml:space="preserve"> the aggregation of individual</w:t>
      </w:r>
      <w:r w:rsidRPr="00F73DAA">
        <w:rPr>
          <w:rFonts w:cs="Arial"/>
          <w:lang w:val="en-GB"/>
        </w:rPr>
        <w:t xml:space="preserve"> preferences. </w:t>
      </w:r>
      <w:r w:rsidR="00996DF4" w:rsidRPr="00F73DAA">
        <w:rPr>
          <w:rFonts w:cs="Arial"/>
          <w:lang w:val="en-GB"/>
        </w:rPr>
        <w:t>He</w:t>
      </w:r>
      <w:r w:rsidRPr="00F73DAA">
        <w:rPr>
          <w:rFonts w:cs="Arial"/>
          <w:lang w:val="en-GB"/>
        </w:rPr>
        <w:t xml:space="preserve"> used set theory to prove that when two or more individuals were making decisions over three or more alternatives, it was logically impossible to derive collectively rational group decisions, whether through voting, social welfare policy or markets. There was no prospect of achieving a common decision consistent with every person’s individual preferences. In instances of collective decision-making, one or the other assumption would have to give way—either the outcome of individual preferences would not be collectively rational, or individuals would lose their freedom to determine personal</w:t>
      </w:r>
      <w:r w:rsidR="00996DF4" w:rsidRPr="00F73DAA">
        <w:rPr>
          <w:rFonts w:cs="Arial"/>
          <w:lang w:val="en-GB"/>
        </w:rPr>
        <w:t xml:space="preserve"> ends. In other words, t</w:t>
      </w:r>
      <w:r w:rsidRPr="00F73DAA">
        <w:rPr>
          <w:rFonts w:cs="Arial"/>
          <w:lang w:val="en-GB"/>
        </w:rPr>
        <w:t xml:space="preserve">here could be no such thing as ‘the </w:t>
      </w:r>
      <w:r w:rsidR="00996DF4" w:rsidRPr="00F73DAA">
        <w:rPr>
          <w:rFonts w:cs="Arial"/>
          <w:lang w:val="en-GB"/>
        </w:rPr>
        <w:t>common</w:t>
      </w:r>
      <w:r w:rsidRPr="00F73DAA">
        <w:rPr>
          <w:rFonts w:cs="Arial"/>
          <w:lang w:val="en-GB"/>
        </w:rPr>
        <w:t xml:space="preserve"> good’ without violating individual freedoms. This became known as </w:t>
      </w:r>
      <w:r w:rsidR="00996DF4" w:rsidRPr="00F73DAA">
        <w:rPr>
          <w:rFonts w:cs="Arial"/>
          <w:lang w:val="en-GB"/>
        </w:rPr>
        <w:t>Arrow’s</w:t>
      </w:r>
      <w:r w:rsidRPr="00F73DAA">
        <w:rPr>
          <w:rFonts w:cs="Arial"/>
          <w:lang w:val="en-GB"/>
        </w:rPr>
        <w:t xml:space="preserve"> ‘impossibility theorem’. </w:t>
      </w:r>
    </w:p>
    <w:p w14:paraId="51A646B1" w14:textId="507D61B1" w:rsidR="000753CF" w:rsidRPr="00F73DAA" w:rsidRDefault="000753CF" w:rsidP="00996DF4">
      <w:pPr>
        <w:ind w:firstLine="454"/>
        <w:rPr>
          <w:rFonts w:cs="Arial"/>
          <w:lang w:val="en-GB"/>
        </w:rPr>
      </w:pPr>
      <w:r w:rsidRPr="00F73DAA">
        <w:rPr>
          <w:rFonts w:cs="Arial"/>
          <w:lang w:val="en-GB"/>
        </w:rPr>
        <w:t xml:space="preserve">Crucially, </w:t>
      </w:r>
      <w:r w:rsidR="00996DF4" w:rsidRPr="00F73DAA">
        <w:rPr>
          <w:rFonts w:cs="Arial"/>
          <w:lang w:val="en-GB"/>
        </w:rPr>
        <w:t>the reasoning</w:t>
      </w:r>
      <w:r w:rsidRPr="00F73DAA">
        <w:rPr>
          <w:rFonts w:cs="Arial"/>
          <w:lang w:val="en-GB"/>
        </w:rPr>
        <w:t xml:space="preserve"> was </w:t>
      </w:r>
      <w:r w:rsidR="00F73DAA">
        <w:rPr>
          <w:rFonts w:cs="Arial"/>
          <w:lang w:val="en-GB"/>
        </w:rPr>
        <w:t>determined by</w:t>
      </w:r>
      <w:r w:rsidRPr="00F73DAA">
        <w:rPr>
          <w:rFonts w:cs="Arial"/>
          <w:lang w:val="en-GB"/>
        </w:rPr>
        <w:t xml:space="preserve"> Arrow’s starting position</w:t>
      </w:r>
      <w:r w:rsidR="00996DF4" w:rsidRPr="00F73DAA">
        <w:rPr>
          <w:rFonts w:cs="Arial"/>
          <w:lang w:val="en-GB"/>
        </w:rPr>
        <w:t xml:space="preserve">, grounded in </w:t>
      </w:r>
      <w:r w:rsidR="00F73DAA">
        <w:rPr>
          <w:rFonts w:cs="Arial"/>
          <w:lang w:val="en-GB"/>
        </w:rPr>
        <w:t>his</w:t>
      </w:r>
      <w:r w:rsidR="00996DF4" w:rsidRPr="00F73DAA">
        <w:rPr>
          <w:rFonts w:cs="Arial"/>
          <w:lang w:val="en-GB"/>
        </w:rPr>
        <w:t xml:space="preserve"> Cold War era rejection of collectivism</w:t>
      </w:r>
      <w:r w:rsidRPr="00F73DAA">
        <w:rPr>
          <w:rFonts w:cs="Arial"/>
          <w:lang w:val="en-GB"/>
        </w:rPr>
        <w:t xml:space="preserve">: </w:t>
      </w:r>
      <w:r w:rsidR="00996DF4" w:rsidRPr="00F73DAA">
        <w:rPr>
          <w:rFonts w:cs="Arial"/>
          <w:lang w:val="en-GB"/>
        </w:rPr>
        <w:t xml:space="preserve">that </w:t>
      </w:r>
      <w:r w:rsidRPr="00F73DAA">
        <w:rPr>
          <w:rFonts w:cs="Arial"/>
          <w:lang w:val="en-GB"/>
        </w:rPr>
        <w:t>all goods were individualized, there were no collective goods distinct from the aggregation of individual goods; that individuals made rational decisions based on utility; that thei</w:t>
      </w:r>
      <w:r w:rsidR="00996DF4" w:rsidRPr="00F73DAA">
        <w:rPr>
          <w:rFonts w:cs="Arial"/>
          <w:lang w:val="en-GB"/>
        </w:rPr>
        <w:t xml:space="preserve">r preferences were unrestricted, </w:t>
      </w:r>
      <w:r w:rsidRPr="00F73DAA">
        <w:rPr>
          <w:rFonts w:cs="Arial"/>
          <w:lang w:val="en-GB"/>
        </w:rPr>
        <w:t xml:space="preserve">inviolable and incomparable. </w:t>
      </w:r>
      <w:r w:rsidR="00996DF4" w:rsidRPr="00F73DAA">
        <w:rPr>
          <w:rFonts w:cs="Arial"/>
          <w:lang w:val="en-GB"/>
        </w:rPr>
        <w:t>A</w:t>
      </w:r>
      <w:r w:rsidRPr="00F73DAA">
        <w:rPr>
          <w:rFonts w:cs="Arial"/>
          <w:lang w:val="en-GB"/>
        </w:rPr>
        <w:t xml:space="preserve">utarkic individual freedom was absolute. The shared </w:t>
      </w:r>
      <w:r w:rsidR="00996DF4" w:rsidRPr="00F73DAA">
        <w:rPr>
          <w:rFonts w:cs="Arial"/>
          <w:lang w:val="en-GB"/>
        </w:rPr>
        <w:t xml:space="preserve">social </w:t>
      </w:r>
      <w:r w:rsidRPr="00F73DAA">
        <w:rPr>
          <w:rFonts w:cs="Arial"/>
          <w:lang w:val="en-GB"/>
        </w:rPr>
        <w:t xml:space="preserve">conditions enabling </w:t>
      </w:r>
      <w:r w:rsidR="00996DF4" w:rsidRPr="00F73DAA">
        <w:rPr>
          <w:rFonts w:cs="Arial"/>
          <w:lang w:val="en-GB"/>
        </w:rPr>
        <w:t xml:space="preserve">individual </w:t>
      </w:r>
      <w:r w:rsidRPr="00F73DAA">
        <w:rPr>
          <w:rFonts w:cs="Arial"/>
          <w:lang w:val="en-GB"/>
        </w:rPr>
        <w:t xml:space="preserve">freedom to be exercised were </w:t>
      </w:r>
      <w:r w:rsidR="00996DF4" w:rsidRPr="00F73DAA">
        <w:rPr>
          <w:rFonts w:cs="Arial"/>
          <w:lang w:val="en-GB"/>
        </w:rPr>
        <w:t>ignor</w:t>
      </w:r>
      <w:r w:rsidRPr="00F73DAA">
        <w:rPr>
          <w:rFonts w:cs="Arial"/>
          <w:lang w:val="en-GB"/>
        </w:rPr>
        <w:t>ed</w:t>
      </w:r>
      <w:r w:rsidR="00996DF4" w:rsidRPr="00F73DAA">
        <w:rPr>
          <w:rFonts w:cs="Arial"/>
          <w:lang w:val="en-GB"/>
        </w:rPr>
        <w:t>, though</w:t>
      </w:r>
      <w:r w:rsidRPr="00F73DAA">
        <w:rPr>
          <w:rFonts w:cs="Arial"/>
          <w:lang w:val="en-GB"/>
        </w:rPr>
        <w:t xml:space="preserve"> </w:t>
      </w:r>
      <w:r w:rsidR="00996DF4" w:rsidRPr="00F73DAA">
        <w:rPr>
          <w:rFonts w:cs="Arial"/>
          <w:lang w:val="en-GB"/>
        </w:rPr>
        <w:t>those</w:t>
      </w:r>
      <w:r w:rsidRPr="00F73DAA">
        <w:rPr>
          <w:rFonts w:cs="Arial"/>
          <w:lang w:val="en-GB"/>
        </w:rPr>
        <w:t xml:space="preserve"> conditions would be fatally undermined </w:t>
      </w:r>
      <w:r w:rsidR="00996DF4" w:rsidRPr="00F73DAA">
        <w:rPr>
          <w:rFonts w:cs="Arial"/>
          <w:lang w:val="en-GB"/>
        </w:rPr>
        <w:t>if</w:t>
      </w:r>
      <w:r w:rsidRPr="00F73DAA">
        <w:rPr>
          <w:rFonts w:cs="Arial"/>
          <w:lang w:val="en-GB"/>
        </w:rPr>
        <w:t xml:space="preserve"> all persons pursued their absolute self-interest without regard for others. However, the pure logic of Arrow’s ultra-individualist </w:t>
      </w:r>
      <w:r w:rsidR="00996DF4" w:rsidRPr="00F73DAA">
        <w:rPr>
          <w:rFonts w:cs="Arial"/>
          <w:lang w:val="en-GB"/>
        </w:rPr>
        <w:t>position had broad</w:t>
      </w:r>
      <w:r w:rsidRPr="00F73DAA">
        <w:rPr>
          <w:rFonts w:cs="Arial"/>
          <w:lang w:val="en-GB"/>
        </w:rPr>
        <w:t xml:space="preserve"> appeal</w:t>
      </w:r>
      <w:r w:rsidR="00996DF4" w:rsidRPr="00F73DAA">
        <w:rPr>
          <w:rFonts w:cs="Arial"/>
          <w:lang w:val="en-GB"/>
        </w:rPr>
        <w:t xml:space="preserve"> </w:t>
      </w:r>
      <w:r w:rsidRPr="00F73DAA">
        <w:rPr>
          <w:rFonts w:cs="Arial"/>
          <w:lang w:val="en-GB"/>
        </w:rPr>
        <w:t>in the United States. Arrow’s ideas were taken further by James Buchanan, the principal creator of public choice theory</w:t>
      </w:r>
      <w:r w:rsidR="00996DF4" w:rsidRPr="00F73DAA">
        <w:rPr>
          <w:rFonts w:cs="Arial"/>
          <w:lang w:val="en-GB"/>
        </w:rPr>
        <w:t>, who set himself against</w:t>
      </w:r>
      <w:r w:rsidRPr="00F73DAA">
        <w:rPr>
          <w:rFonts w:cs="Arial"/>
          <w:lang w:val="en-GB"/>
        </w:rPr>
        <w:t xml:space="preserve"> what he called the ‘normative delusion’ that ‘the state was, somehow, a benevolent entity and those who made decisions on behalf of the state were guided by consideration of the general or public interest’.</w:t>
      </w:r>
      <w:r w:rsidR="00996DF4" w:rsidRPr="00F73DAA">
        <w:rPr>
          <w:rFonts w:cs="Arial"/>
          <w:lang w:val="en-GB"/>
        </w:rPr>
        <w:t xml:space="preserve"> For public choice theor</w:t>
      </w:r>
      <w:r w:rsidR="00F3706A" w:rsidRPr="00F73DAA">
        <w:rPr>
          <w:rFonts w:cs="Arial"/>
          <w:lang w:val="en-GB"/>
        </w:rPr>
        <w:t>y</w:t>
      </w:r>
      <w:r w:rsidR="00996DF4" w:rsidRPr="00F73DAA">
        <w:rPr>
          <w:rFonts w:cs="Arial"/>
          <w:lang w:val="en-GB"/>
        </w:rPr>
        <w:t xml:space="preserve"> public officials merely pursued their self-interest, and politics was just another market.</w:t>
      </w:r>
      <w:r w:rsidR="00E018BB" w:rsidRPr="00F73DAA">
        <w:rPr>
          <w:rFonts w:cs="Arial"/>
          <w:lang w:val="en-GB"/>
        </w:rPr>
        <w:t xml:space="preserve"> </w:t>
      </w:r>
    </w:p>
    <w:p w14:paraId="16F8B3A0" w14:textId="1EF3B8B4" w:rsidR="000753CF" w:rsidRPr="00F73DAA" w:rsidRDefault="000753CF" w:rsidP="00267E2D">
      <w:pPr>
        <w:ind w:firstLine="454"/>
        <w:rPr>
          <w:lang w:val="en-GB"/>
        </w:rPr>
      </w:pPr>
      <w:r w:rsidRPr="00F73DAA">
        <w:rPr>
          <w:lang w:val="en-GB"/>
        </w:rPr>
        <w:t>With Ronald Reagan, the public choice theorists had a president willing to put their arguments into action. Reagan’s 1980 campaign slogan stat</w:t>
      </w:r>
      <w:r w:rsidR="00F3706A" w:rsidRPr="00F73DAA">
        <w:rPr>
          <w:lang w:val="en-GB"/>
        </w:rPr>
        <w:t>ed</w:t>
      </w:r>
      <w:r w:rsidRPr="00F73DAA">
        <w:rPr>
          <w:lang w:val="en-GB"/>
        </w:rPr>
        <w:t xml:space="preserve"> that government was not the solution, it was the problem, the exact reversal of Kennedy</w:t>
      </w:r>
      <w:r w:rsidR="00F3706A" w:rsidRPr="00F73DAA">
        <w:rPr>
          <w:lang w:val="en-GB"/>
        </w:rPr>
        <w:t>’s position</w:t>
      </w:r>
      <w:r w:rsidRPr="00F73DAA">
        <w:rPr>
          <w:lang w:val="en-GB"/>
        </w:rPr>
        <w:t xml:space="preserve"> </w:t>
      </w:r>
      <w:r w:rsidR="00F3706A" w:rsidRPr="00F73DAA">
        <w:rPr>
          <w:lang w:val="en-GB"/>
        </w:rPr>
        <w:t>in</w:t>
      </w:r>
      <w:r w:rsidRPr="00F73DAA">
        <w:rPr>
          <w:lang w:val="en-GB"/>
        </w:rPr>
        <w:t xml:space="preserve"> 1960. </w:t>
      </w:r>
      <w:r w:rsidR="00F3706A" w:rsidRPr="00F73DAA">
        <w:rPr>
          <w:lang w:val="en-GB"/>
        </w:rPr>
        <w:t>S</w:t>
      </w:r>
      <w:r w:rsidRPr="00F73DAA">
        <w:rPr>
          <w:lang w:val="en-GB"/>
        </w:rPr>
        <w:t>etting himself against the notion of a common public interest, Reagan reduced taxation on high incomes and capital gains</w:t>
      </w:r>
      <w:r w:rsidR="00F3706A" w:rsidRPr="00F73DAA">
        <w:rPr>
          <w:lang w:val="en-GB"/>
        </w:rPr>
        <w:t>—the top tax rate was reduced from 70 to 28 per cent—cut s</w:t>
      </w:r>
      <w:r w:rsidRPr="00F73DAA">
        <w:rPr>
          <w:lang w:val="en-GB"/>
        </w:rPr>
        <w:t xml:space="preserve">pending on social programmes, including federal education, and </w:t>
      </w:r>
      <w:r w:rsidR="00F3706A" w:rsidRPr="00F73DAA">
        <w:rPr>
          <w:lang w:val="en-GB"/>
        </w:rPr>
        <w:t xml:space="preserve">in </w:t>
      </w:r>
      <w:r w:rsidRPr="00F73DAA">
        <w:rPr>
          <w:lang w:val="en-GB"/>
        </w:rPr>
        <w:t>weaken</w:t>
      </w:r>
      <w:r w:rsidR="00F3706A" w:rsidRPr="00F73DAA">
        <w:rPr>
          <w:lang w:val="en-GB"/>
        </w:rPr>
        <w:t>ing</w:t>
      </w:r>
      <w:r w:rsidRPr="00F73DAA">
        <w:rPr>
          <w:lang w:val="en-GB"/>
        </w:rPr>
        <w:t xml:space="preserve"> unions in the workplace, </w:t>
      </w:r>
      <w:r w:rsidR="00F3706A" w:rsidRPr="00F73DAA">
        <w:rPr>
          <w:lang w:val="en-GB"/>
        </w:rPr>
        <w:t xml:space="preserve">triggered the </w:t>
      </w:r>
      <w:r w:rsidRPr="00F73DAA">
        <w:rPr>
          <w:lang w:val="en-GB"/>
        </w:rPr>
        <w:t xml:space="preserve">surge in executive incomes. The increase in measured income inequality in the United States dates from 1980. </w:t>
      </w:r>
      <w:r w:rsidR="00F73DAA">
        <w:rPr>
          <w:lang w:val="en-GB"/>
        </w:rPr>
        <w:t xml:space="preserve">Reagan’s policies facilitated the political culture of ‘greed is good’, creating a public world without the notion of common good, social solidarity, one that facilitated the venal world of politics that James Buchanan had imagined. </w:t>
      </w:r>
    </w:p>
    <w:p w14:paraId="498750B7" w14:textId="77777777" w:rsidR="000753CF" w:rsidRPr="00F73DAA" w:rsidRDefault="000753CF" w:rsidP="00267E2D">
      <w:pPr>
        <w:rPr>
          <w:rFonts w:cs="Arial"/>
          <w:lang w:val="en-GB"/>
        </w:rPr>
      </w:pPr>
    </w:p>
    <w:p w14:paraId="36726E1C" w14:textId="27780C2E" w:rsidR="000753CF" w:rsidRPr="00F73DAA" w:rsidRDefault="000753CF" w:rsidP="00267E2D">
      <w:pPr>
        <w:rPr>
          <w:rFonts w:cs="Arial"/>
          <w:b/>
          <w:lang w:val="en-GB"/>
        </w:rPr>
      </w:pPr>
      <w:r w:rsidRPr="00F73DAA">
        <w:rPr>
          <w:rFonts w:cs="Arial"/>
          <w:b/>
          <w:iCs/>
          <w:lang w:val="en-GB"/>
        </w:rPr>
        <w:t>Income shares top 1% and bottom 50%</w:t>
      </w:r>
    </w:p>
    <w:p w14:paraId="3BC0F14E" w14:textId="0D04AAA8" w:rsidR="000753CF" w:rsidRPr="00F73DAA" w:rsidRDefault="000753CF" w:rsidP="00267E2D">
      <w:pPr>
        <w:rPr>
          <w:rFonts w:cs="Arial"/>
          <w:lang w:val="en-GB"/>
        </w:rPr>
      </w:pPr>
      <w:r w:rsidRPr="00F73DAA">
        <w:rPr>
          <w:rFonts w:cs="Arial"/>
          <w:lang w:val="en-GB"/>
        </w:rPr>
        <w:t xml:space="preserve">Since 1980 there has been extraordinary growth in </w:t>
      </w:r>
      <w:r w:rsidR="00F3706A" w:rsidRPr="00F73DAA">
        <w:rPr>
          <w:rFonts w:cs="Arial"/>
          <w:lang w:val="en-GB"/>
        </w:rPr>
        <w:t>American</w:t>
      </w:r>
      <w:r w:rsidRPr="00F73DAA">
        <w:rPr>
          <w:rFonts w:cs="Arial"/>
          <w:lang w:val="en-GB"/>
        </w:rPr>
        <w:t xml:space="preserve"> inequality </w:t>
      </w:r>
      <w:r w:rsidR="00F3706A" w:rsidRPr="00F73DAA">
        <w:rPr>
          <w:rFonts w:cs="Arial"/>
          <w:lang w:val="en-GB"/>
        </w:rPr>
        <w:t>in</w:t>
      </w:r>
      <w:r w:rsidRPr="00F73DAA">
        <w:rPr>
          <w:rFonts w:cs="Arial"/>
          <w:lang w:val="en-GB"/>
        </w:rPr>
        <w:t xml:space="preserve"> incomes and wealth, freed up by the evacuation of the public good</w:t>
      </w:r>
      <w:r w:rsidR="00F3706A" w:rsidRPr="00F73DAA">
        <w:rPr>
          <w:rFonts w:cs="Arial"/>
          <w:lang w:val="en-GB"/>
        </w:rPr>
        <w:t xml:space="preserve">, increasingly undermining </w:t>
      </w:r>
      <w:r w:rsidR="00F3706A" w:rsidRPr="00F73DAA">
        <w:rPr>
          <w:rFonts w:cs="Arial"/>
          <w:lang w:val="en-GB"/>
        </w:rPr>
        <w:lastRenderedPageBreak/>
        <w:t>the potentials of government that had been created in</w:t>
      </w:r>
      <w:r w:rsidRPr="00F73DAA">
        <w:rPr>
          <w:rFonts w:cs="Arial"/>
          <w:lang w:val="en-GB"/>
        </w:rPr>
        <w:t xml:space="preserve"> Roosevelt’s New Deal, </w:t>
      </w:r>
      <w:r w:rsidR="00F3706A" w:rsidRPr="00F73DAA">
        <w:rPr>
          <w:rFonts w:cs="Arial"/>
          <w:lang w:val="en-GB"/>
        </w:rPr>
        <w:t xml:space="preserve">the </w:t>
      </w:r>
      <w:r w:rsidRPr="00F73DAA">
        <w:rPr>
          <w:rFonts w:cs="Arial"/>
          <w:lang w:val="en-GB"/>
        </w:rPr>
        <w:t>Kennedy and Johnson</w:t>
      </w:r>
      <w:r w:rsidR="00F3706A" w:rsidRPr="00F73DAA">
        <w:rPr>
          <w:rFonts w:cs="Arial"/>
          <w:lang w:val="en-GB"/>
        </w:rPr>
        <w:t xml:space="preserve"> programmes and the 1960 Master Plan for Higher Education.</w:t>
      </w:r>
      <w:r w:rsidRPr="00F73DAA">
        <w:rPr>
          <w:rFonts w:cs="Arial"/>
          <w:lang w:val="en-GB"/>
        </w:rPr>
        <w:t xml:space="preserve"> </w:t>
      </w:r>
    </w:p>
    <w:p w14:paraId="2122969C" w14:textId="559E3448" w:rsidR="000753CF" w:rsidRPr="00F73DAA" w:rsidRDefault="000753CF" w:rsidP="00267E2D">
      <w:pPr>
        <w:ind w:firstLine="454"/>
        <w:rPr>
          <w:lang w:val="en-GB"/>
        </w:rPr>
      </w:pPr>
      <w:r w:rsidRPr="00F73DAA">
        <w:rPr>
          <w:lang w:val="en-GB"/>
        </w:rPr>
        <w:t>Between 1980 and 2010 in the US the income share held by the top 0.1 per cent of the income distribution rose from 2 per cent to nearly 10 per cent. Piketty finds that income from labour in the United States is now ‘about as unequally distributed as has ever been observed anywhere</w:t>
      </w:r>
      <w:r w:rsidR="00F3706A" w:rsidRPr="00F73DAA">
        <w:rPr>
          <w:lang w:val="en-GB"/>
        </w:rPr>
        <w:t xml:space="preserve">. </w:t>
      </w:r>
      <w:proofErr w:type="spellStart"/>
      <w:r w:rsidRPr="00F73DAA">
        <w:rPr>
          <w:lang w:val="en-GB"/>
        </w:rPr>
        <w:t>Saez</w:t>
      </w:r>
      <w:proofErr w:type="spellEnd"/>
      <w:r w:rsidRPr="00F73DAA">
        <w:rPr>
          <w:lang w:val="en-GB"/>
        </w:rPr>
        <w:t xml:space="preserve"> notes that the top 1 per cent of income earners captured 95 per cent of the income gains in the </w:t>
      </w:r>
      <w:r w:rsidR="00F3706A" w:rsidRPr="00F73DAA">
        <w:rPr>
          <w:lang w:val="en-GB"/>
        </w:rPr>
        <w:t xml:space="preserve">first three years </w:t>
      </w:r>
      <w:r w:rsidRPr="00F73DAA">
        <w:rPr>
          <w:lang w:val="en-GB"/>
        </w:rPr>
        <w:t xml:space="preserve">after the </w:t>
      </w:r>
      <w:r w:rsidR="00F3706A" w:rsidRPr="00F73DAA">
        <w:rPr>
          <w:lang w:val="en-GB"/>
        </w:rPr>
        <w:t xml:space="preserve">2008 </w:t>
      </w:r>
      <w:r w:rsidRPr="00F73DAA">
        <w:rPr>
          <w:lang w:val="en-GB"/>
        </w:rPr>
        <w:t>recession</w:t>
      </w:r>
      <w:r w:rsidR="00F3706A" w:rsidRPr="00F73DAA">
        <w:rPr>
          <w:lang w:val="en-GB"/>
        </w:rPr>
        <w:t xml:space="preserve">. </w:t>
      </w:r>
      <w:r w:rsidRPr="00F73DAA">
        <w:rPr>
          <w:lang w:val="en-GB"/>
        </w:rPr>
        <w:t>At the other end of the scale, between 2000 and 2010 the average income of the poorest 10 per cent of Americans fell by 15 per cent in real terms</w:t>
      </w:r>
      <w:r w:rsidR="004B19CC" w:rsidRPr="00F73DAA">
        <w:rPr>
          <w:lang w:val="en-GB"/>
        </w:rPr>
        <w:t>.</w:t>
      </w:r>
      <w:r w:rsidRPr="00F73DAA">
        <w:rPr>
          <w:lang w:val="en-GB"/>
        </w:rPr>
        <w:t xml:space="preserve"> </w:t>
      </w:r>
    </w:p>
    <w:p w14:paraId="41ACF074" w14:textId="0328419A" w:rsidR="000753CF" w:rsidRPr="00F73DAA" w:rsidRDefault="00F73DAA" w:rsidP="00F73DAA">
      <w:pPr>
        <w:ind w:firstLine="454"/>
        <w:rPr>
          <w:lang w:val="en-GB"/>
        </w:rPr>
      </w:pPr>
      <w:r>
        <w:rPr>
          <w:lang w:val="en-GB"/>
        </w:rPr>
        <w:t>The table</w:t>
      </w:r>
      <w:r w:rsidR="000753CF" w:rsidRPr="00F73DAA">
        <w:rPr>
          <w:lang w:val="en-GB"/>
        </w:rPr>
        <w:t xml:space="preserve"> puts American inequality in comparative context. In the Nordic countries in the 1970s, the most equal modern societies, the top 1 per cent received about 7 per cent of all income. In Europe in 2010, the top 1 per cent received 10 per cent, </w:t>
      </w:r>
      <w:r w:rsidR="004B19CC" w:rsidRPr="00F73DAA">
        <w:rPr>
          <w:lang w:val="en-GB"/>
        </w:rPr>
        <w:t xml:space="preserve">but </w:t>
      </w:r>
      <w:r w:rsidR="000753CF" w:rsidRPr="00F73DAA">
        <w:rPr>
          <w:lang w:val="en-GB"/>
        </w:rPr>
        <w:t xml:space="preserve">in the United States 20 per cent, </w:t>
      </w:r>
      <w:r w:rsidR="004B19CC" w:rsidRPr="00F73DAA">
        <w:rPr>
          <w:lang w:val="en-GB"/>
        </w:rPr>
        <w:t xml:space="preserve">the </w:t>
      </w:r>
      <w:r w:rsidR="000753CF" w:rsidRPr="00F73DAA">
        <w:rPr>
          <w:lang w:val="en-GB"/>
        </w:rPr>
        <w:t>same level as in the aristocratic societies of</w:t>
      </w:r>
      <w:r w:rsidR="004B19CC" w:rsidRPr="00F73DAA">
        <w:rPr>
          <w:lang w:val="en-GB"/>
        </w:rPr>
        <w:t xml:space="preserve"> pre-World War 1 Europe. In contrast with those aristocratic societies, a smaller part of inequality now derives from property and a larger proportion from salaries. In today’s workplace</w:t>
      </w:r>
      <w:r w:rsidR="000753CF" w:rsidRPr="00F73DAA">
        <w:rPr>
          <w:lang w:val="en-GB"/>
        </w:rPr>
        <w:t xml:space="preserve">-based inequality </w:t>
      </w:r>
      <w:r w:rsidR="004B19CC" w:rsidRPr="00F73DAA">
        <w:rPr>
          <w:lang w:val="en-GB"/>
        </w:rPr>
        <w:t>there is a larger</w:t>
      </w:r>
      <w:r w:rsidR="000753CF" w:rsidRPr="00F73DAA">
        <w:rPr>
          <w:lang w:val="en-GB"/>
        </w:rPr>
        <w:t xml:space="preserve"> element of </w:t>
      </w:r>
      <w:r w:rsidR="004B19CC" w:rsidRPr="00F73DAA">
        <w:rPr>
          <w:lang w:val="en-GB"/>
        </w:rPr>
        <w:t xml:space="preserve">apparent </w:t>
      </w:r>
      <w:r w:rsidR="000753CF" w:rsidRPr="00F73DAA">
        <w:rPr>
          <w:lang w:val="en-GB"/>
        </w:rPr>
        <w:t>merit</w:t>
      </w:r>
      <w:r w:rsidR="004B19CC" w:rsidRPr="00F73DAA">
        <w:rPr>
          <w:lang w:val="en-GB"/>
        </w:rPr>
        <w:t xml:space="preserve">. </w:t>
      </w:r>
      <w:r w:rsidR="00101CA6" w:rsidRPr="00F73DAA">
        <w:rPr>
          <w:lang w:val="en-GB"/>
        </w:rPr>
        <w:t xml:space="preserve">Inequality is </w:t>
      </w:r>
      <w:proofErr w:type="spellStart"/>
      <w:r w:rsidR="00101CA6" w:rsidRPr="00F73DAA">
        <w:rPr>
          <w:lang w:val="en-GB"/>
        </w:rPr>
        <w:t>centered</w:t>
      </w:r>
      <w:proofErr w:type="spellEnd"/>
      <w:r w:rsidR="00101CA6" w:rsidRPr="00F73DAA">
        <w:rPr>
          <w:lang w:val="en-GB"/>
        </w:rPr>
        <w:t xml:space="preserve"> on finance and business services and two thirds of the top 0.1 per cent are managers. </w:t>
      </w:r>
      <w:r w:rsidR="004B19CC" w:rsidRPr="00F73DAA">
        <w:rPr>
          <w:lang w:val="en-GB"/>
        </w:rPr>
        <w:t xml:space="preserve">The super-salaries of the banker and consultant are seen to derive from hard work and </w:t>
      </w:r>
      <w:r w:rsidR="00DB206B" w:rsidRPr="00F73DAA">
        <w:rPr>
          <w:lang w:val="en-GB"/>
        </w:rPr>
        <w:t>are</w:t>
      </w:r>
      <w:r w:rsidR="004B19CC" w:rsidRPr="00F73DAA">
        <w:rPr>
          <w:lang w:val="en-GB"/>
        </w:rPr>
        <w:t xml:space="preserve"> often legitimated by Ivy League first degree</w:t>
      </w:r>
      <w:r>
        <w:rPr>
          <w:lang w:val="en-GB"/>
        </w:rPr>
        <w:t>s</w:t>
      </w:r>
      <w:r w:rsidR="004B19CC" w:rsidRPr="00F73DAA">
        <w:rPr>
          <w:lang w:val="en-GB"/>
        </w:rPr>
        <w:t xml:space="preserve"> and MBA</w:t>
      </w:r>
      <w:r>
        <w:rPr>
          <w:lang w:val="en-GB"/>
        </w:rPr>
        <w:t>s</w:t>
      </w:r>
      <w:r w:rsidR="004B19CC" w:rsidRPr="00F73DAA">
        <w:rPr>
          <w:lang w:val="en-GB"/>
        </w:rPr>
        <w:t xml:space="preserve">. </w:t>
      </w:r>
    </w:p>
    <w:p w14:paraId="3D7B69CA" w14:textId="77777777" w:rsidR="000753CF" w:rsidRPr="00F73DAA" w:rsidRDefault="000753CF" w:rsidP="00267E2D">
      <w:pPr>
        <w:rPr>
          <w:lang w:val="en-GB"/>
        </w:rPr>
      </w:pPr>
    </w:p>
    <w:p w14:paraId="0A7F9C55" w14:textId="1B13D30E" w:rsidR="000753CF" w:rsidRPr="00F73DAA" w:rsidRDefault="000753CF" w:rsidP="00267E2D">
      <w:pPr>
        <w:rPr>
          <w:b/>
          <w:lang w:val="en-GB"/>
        </w:rPr>
      </w:pPr>
      <w:r w:rsidRPr="00F73DAA">
        <w:rPr>
          <w:b/>
          <w:iCs/>
          <w:lang w:val="en-GB"/>
        </w:rPr>
        <w:t>The new ‘meritocratic hierarchies’: The case of the United States</w:t>
      </w:r>
    </w:p>
    <w:p w14:paraId="78FFF7F5" w14:textId="71BE92DE" w:rsidR="000753CF" w:rsidRPr="00F73DAA" w:rsidRDefault="000753CF" w:rsidP="00101CA6">
      <w:pPr>
        <w:rPr>
          <w:rFonts w:cs="Arial"/>
          <w:lang w:val="en-GB"/>
        </w:rPr>
      </w:pPr>
      <w:r w:rsidRPr="00F73DAA">
        <w:rPr>
          <w:lang w:val="en-GB"/>
        </w:rPr>
        <w:t xml:space="preserve">The argument that wage inequality in the US is primarily driven by technological change has fallen from favour. Most industrialized countries have </w:t>
      </w:r>
      <w:r w:rsidR="004B19CC" w:rsidRPr="00F73DAA">
        <w:rPr>
          <w:lang w:val="en-GB"/>
        </w:rPr>
        <w:t xml:space="preserve">experienced </w:t>
      </w:r>
      <w:r w:rsidRPr="00F73DAA">
        <w:rPr>
          <w:lang w:val="en-GB"/>
        </w:rPr>
        <w:t xml:space="preserve">similar technological change but </w:t>
      </w:r>
      <w:r w:rsidR="004B19CC" w:rsidRPr="00F73DAA">
        <w:rPr>
          <w:lang w:val="en-GB"/>
        </w:rPr>
        <w:t xml:space="preserve">exhibit </w:t>
      </w:r>
      <w:r w:rsidRPr="00F73DAA">
        <w:rPr>
          <w:lang w:val="en-GB"/>
        </w:rPr>
        <w:t>divergent income patterns</w:t>
      </w:r>
      <w:r w:rsidR="004B19CC" w:rsidRPr="00F73DAA">
        <w:rPr>
          <w:lang w:val="en-GB"/>
        </w:rPr>
        <w:t>.</w:t>
      </w:r>
      <w:r w:rsidRPr="00F73DAA">
        <w:rPr>
          <w:lang w:val="en-GB"/>
        </w:rPr>
        <w:t xml:space="preserve"> </w:t>
      </w:r>
      <w:r w:rsidR="00DB206B" w:rsidRPr="00F73DAA">
        <w:rPr>
          <w:lang w:val="en-GB"/>
        </w:rPr>
        <w:t xml:space="preserve">However, </w:t>
      </w:r>
      <w:r w:rsidR="001F4D3C" w:rsidRPr="00F73DAA">
        <w:rPr>
          <w:lang w:val="en-GB"/>
        </w:rPr>
        <w:t>these countries</w:t>
      </w:r>
      <w:r w:rsidR="00DB206B" w:rsidRPr="00F73DAA">
        <w:rPr>
          <w:lang w:val="en-GB"/>
        </w:rPr>
        <w:t xml:space="preserve"> </w:t>
      </w:r>
      <w:r w:rsidR="00101CA6" w:rsidRPr="00F73DAA">
        <w:rPr>
          <w:lang w:val="en-GB"/>
        </w:rPr>
        <w:t xml:space="preserve">all </w:t>
      </w:r>
      <w:r w:rsidR="00DB206B" w:rsidRPr="00F73DAA">
        <w:rPr>
          <w:lang w:val="en-GB"/>
        </w:rPr>
        <w:t xml:space="preserve">share high levels of participation in higher education. </w:t>
      </w:r>
      <w:r w:rsidRPr="00F73DAA">
        <w:rPr>
          <w:lang w:val="en-GB"/>
        </w:rPr>
        <w:t xml:space="preserve">According to </w:t>
      </w:r>
      <w:r w:rsidR="00101CA6" w:rsidRPr="00F73DAA">
        <w:rPr>
          <w:lang w:val="en-GB"/>
        </w:rPr>
        <w:t xml:space="preserve">the </w:t>
      </w:r>
      <w:r w:rsidRPr="00F73DAA">
        <w:rPr>
          <w:lang w:val="en-GB"/>
        </w:rPr>
        <w:t xml:space="preserve">UNESCO data, in 2013 the Gross Tertiary Enrolment Ratio in the United States was 89.1 per cent. According to human capital theory, education produces human capital, which determines marginal productivity, and marginal productivity determines rates of return to graduates. This </w:t>
      </w:r>
      <w:r w:rsidR="00101CA6" w:rsidRPr="00F73DAA">
        <w:rPr>
          <w:lang w:val="en-GB"/>
        </w:rPr>
        <w:t>might suggest</w:t>
      </w:r>
      <w:r w:rsidRPr="00F73DAA">
        <w:rPr>
          <w:lang w:val="en-GB"/>
        </w:rPr>
        <w:t xml:space="preserve"> that growing income inequality </w:t>
      </w:r>
      <w:r w:rsidR="00101CA6" w:rsidRPr="00F73DAA">
        <w:rPr>
          <w:lang w:val="en-GB"/>
        </w:rPr>
        <w:t>is</w:t>
      </w:r>
      <w:r w:rsidRPr="00F73DAA">
        <w:rPr>
          <w:lang w:val="en-GB"/>
        </w:rPr>
        <w:t xml:space="preserve"> grounded in a corresponding growing inequality of skills and productivity. Yet US higher education, while highly stratified, with the leading private universities dominated by affluent families, seems to be largely decoupled from the surge in top incomes since 1980, which </w:t>
      </w:r>
      <w:r w:rsidR="00101CA6" w:rsidRPr="00F73DAA">
        <w:rPr>
          <w:lang w:val="en-GB"/>
        </w:rPr>
        <w:t>has been</w:t>
      </w:r>
      <w:r w:rsidRPr="00F73DAA">
        <w:rPr>
          <w:lang w:val="en-GB"/>
        </w:rPr>
        <w:t xml:space="preserve"> shaped </w:t>
      </w:r>
      <w:r w:rsidR="00101CA6" w:rsidRPr="00F73DAA">
        <w:rPr>
          <w:lang w:val="en-GB"/>
        </w:rPr>
        <w:t xml:space="preserve">primarily </w:t>
      </w:r>
      <w:r w:rsidRPr="00F73DAA">
        <w:rPr>
          <w:lang w:val="en-GB"/>
        </w:rPr>
        <w:t xml:space="preserve">by tax policy and by </w:t>
      </w:r>
      <w:r w:rsidR="00101CA6" w:rsidRPr="00F73DAA">
        <w:rPr>
          <w:lang w:val="en-GB"/>
        </w:rPr>
        <w:t>wage fixing</w:t>
      </w:r>
      <w:r w:rsidRPr="00F73DAA">
        <w:rPr>
          <w:lang w:val="en-GB"/>
        </w:rPr>
        <w:t xml:space="preserve"> at work. </w:t>
      </w:r>
      <w:r w:rsidR="00101CA6" w:rsidRPr="00F73DAA">
        <w:rPr>
          <w:lang w:val="en-GB"/>
        </w:rPr>
        <w:t>The growth of inequality has also coincided with a slowing of upward social mobility. Since the 1960s higher education’s power to determine social outcomes has receded.</w:t>
      </w:r>
    </w:p>
    <w:p w14:paraId="6D9F0842" w14:textId="77777777" w:rsidR="000753CF" w:rsidRPr="00F73DAA" w:rsidRDefault="000753CF" w:rsidP="00267E2D">
      <w:pPr>
        <w:rPr>
          <w:lang w:val="en-GB"/>
        </w:rPr>
      </w:pPr>
    </w:p>
    <w:p w14:paraId="18C868D9" w14:textId="77777777" w:rsidR="00101CA6" w:rsidRPr="00F73DAA" w:rsidRDefault="00101CA6" w:rsidP="00101CA6">
      <w:pPr>
        <w:rPr>
          <w:b/>
          <w:iCs/>
          <w:lang w:val="en-GB"/>
        </w:rPr>
      </w:pPr>
      <w:r w:rsidRPr="00F73DAA">
        <w:rPr>
          <w:b/>
          <w:iCs/>
          <w:lang w:val="en-GB"/>
        </w:rPr>
        <w:t>Social inequality in achieved college degrees, USA 1970/2013: Bachelor degree by age 24, family income quartile</w:t>
      </w:r>
    </w:p>
    <w:p w14:paraId="0EE423B5" w14:textId="3A695044" w:rsidR="000753CF" w:rsidRPr="00F73DAA" w:rsidRDefault="000753CF" w:rsidP="00557061">
      <w:pPr>
        <w:rPr>
          <w:lang w:val="en-GB"/>
        </w:rPr>
      </w:pPr>
      <w:r w:rsidRPr="00F73DAA">
        <w:rPr>
          <w:lang w:val="en-GB"/>
        </w:rPr>
        <w:t>The intrinsic limit to equality of opportunity</w:t>
      </w:r>
      <w:r w:rsidR="00101CA6" w:rsidRPr="00F73DAA">
        <w:rPr>
          <w:lang w:val="en-GB"/>
        </w:rPr>
        <w:t xml:space="preserve"> in and through higher education</w:t>
      </w:r>
      <w:r w:rsidRPr="00F73DAA">
        <w:rPr>
          <w:lang w:val="en-GB"/>
        </w:rPr>
        <w:t>, in any era, is irreducible differences between families in their economic, social and cultural resources. The growing inequality of incomes and wealth</w:t>
      </w:r>
      <w:r w:rsidR="00101CA6" w:rsidRPr="00F73DAA">
        <w:rPr>
          <w:lang w:val="en-GB"/>
        </w:rPr>
        <w:t xml:space="preserve"> in the US magnifies inequality of opportunity at every point in the long chain from pre-schooling to the end of working life. Instead of public schooling and higher education stepping up so as to partly compensate for prior inequalities, as in the Nordic world, </w:t>
      </w:r>
      <w:r w:rsidR="00557061" w:rsidRPr="00F73DAA">
        <w:rPr>
          <w:lang w:val="en-GB"/>
        </w:rPr>
        <w:t xml:space="preserve">in California and the United States education is increasingly stratified along social lines. The University of California still plays its part but below it, as we have seen, the public institutions are less accessible and more impoverished than they were. Although </w:t>
      </w:r>
      <w:r w:rsidR="00557061" w:rsidRPr="00F73DAA">
        <w:rPr>
          <w:lang w:val="en-GB"/>
        </w:rPr>
        <w:lastRenderedPageBreak/>
        <w:t>almost 90 per cent of people reach tertiary education</w:t>
      </w:r>
      <w:r w:rsidR="00F73DAA">
        <w:rPr>
          <w:lang w:val="en-GB"/>
        </w:rPr>
        <w:t>, but</w:t>
      </w:r>
      <w:r w:rsidR="00557061" w:rsidRPr="00F73DAA">
        <w:rPr>
          <w:lang w:val="en-GB"/>
        </w:rPr>
        <w:t xml:space="preserve"> less than half achieve four-year degrees, and degree holders are highly stratified on social lines. </w:t>
      </w:r>
    </w:p>
    <w:p w14:paraId="736B096E" w14:textId="1B6AA950" w:rsidR="000753CF" w:rsidRPr="00F73DAA" w:rsidRDefault="000753CF" w:rsidP="00557061">
      <w:pPr>
        <w:ind w:firstLine="454"/>
        <w:rPr>
          <w:lang w:val="en-GB"/>
        </w:rPr>
      </w:pPr>
      <w:r w:rsidRPr="00F73DAA">
        <w:rPr>
          <w:lang w:val="en-GB"/>
        </w:rPr>
        <w:t xml:space="preserve">In 2013, a near-universal 77 per cent of persons in the top family income quartile had completed a Bachelor degree by age 24 years. In this quartile the graduation rate had almost doubled since 1970, </w:t>
      </w:r>
      <w:r w:rsidR="00557061" w:rsidRPr="00F73DAA">
        <w:rPr>
          <w:lang w:val="en-GB"/>
        </w:rPr>
        <w:t>ri</w:t>
      </w:r>
      <w:r w:rsidRPr="00F73DAA">
        <w:rPr>
          <w:lang w:val="en-GB"/>
        </w:rPr>
        <w:t xml:space="preserve">sing from 40 to 77 per cent in 1970. In the bottom family income quartile, the graduation rate had again risen, but from 6 per cent in 1970 to </w:t>
      </w:r>
      <w:r w:rsidR="00557061" w:rsidRPr="00F73DAA">
        <w:rPr>
          <w:lang w:val="en-GB"/>
        </w:rPr>
        <w:t>just</w:t>
      </w:r>
      <w:r w:rsidRPr="00F73DAA">
        <w:rPr>
          <w:lang w:val="en-GB"/>
        </w:rPr>
        <w:t xml:space="preserve"> 9 per cent in 2013. In the second bottom quartile the graduation rate was 17 per cent in 2013. Thus the overwhelming majority of the bottom half of the population in income terms had not </w:t>
      </w:r>
      <w:r w:rsidR="00557061" w:rsidRPr="00F73DAA">
        <w:rPr>
          <w:lang w:val="en-GB"/>
        </w:rPr>
        <w:t>graduated</w:t>
      </w:r>
      <w:r w:rsidRPr="00F73DAA">
        <w:rPr>
          <w:lang w:val="en-GB"/>
        </w:rPr>
        <w:t xml:space="preserve"> by age 24. </w:t>
      </w:r>
      <w:r w:rsidR="00E018BB" w:rsidRPr="00F73DAA">
        <w:rPr>
          <w:lang w:val="en-GB"/>
        </w:rPr>
        <w:t>At the same time</w:t>
      </w:r>
      <w:r w:rsidRPr="00F73DAA">
        <w:rPr>
          <w:lang w:val="en-GB"/>
        </w:rPr>
        <w:t xml:space="preserve"> the overwhelming majority of top quartile people </w:t>
      </w:r>
      <w:r w:rsidR="00E018BB" w:rsidRPr="00F73DAA">
        <w:rPr>
          <w:lang w:val="en-GB"/>
        </w:rPr>
        <w:t xml:space="preserve">had done </w:t>
      </w:r>
      <w:r w:rsidRPr="00F73DAA">
        <w:rPr>
          <w:lang w:val="en-GB"/>
        </w:rPr>
        <w:t xml:space="preserve">so. </w:t>
      </w:r>
    </w:p>
    <w:p w14:paraId="50ADF5DA" w14:textId="3C4A3B11" w:rsidR="00F73DAA" w:rsidRDefault="000753CF" w:rsidP="00267E2D">
      <w:pPr>
        <w:ind w:firstLine="454"/>
        <w:rPr>
          <w:rFonts w:cs="Arial"/>
          <w:lang w:val="en-GB"/>
        </w:rPr>
      </w:pPr>
      <w:r w:rsidRPr="00F73DAA">
        <w:rPr>
          <w:lang w:val="en-GB"/>
        </w:rPr>
        <w:t xml:space="preserve">In </w:t>
      </w:r>
      <w:r w:rsidRPr="00F73DAA">
        <w:rPr>
          <w:i/>
          <w:lang w:val="en-GB"/>
        </w:rPr>
        <w:t>Degrees of Inequality</w:t>
      </w:r>
      <w:r w:rsidRPr="00F73DAA">
        <w:rPr>
          <w:lang w:val="en-GB"/>
        </w:rPr>
        <w:t xml:space="preserve"> (2014), political scientist Suzanne </w:t>
      </w:r>
      <w:proofErr w:type="spellStart"/>
      <w:r w:rsidRPr="00F73DAA">
        <w:rPr>
          <w:lang w:val="en-GB"/>
        </w:rPr>
        <w:t>Mettler</w:t>
      </w:r>
      <w:proofErr w:type="spellEnd"/>
      <w:r w:rsidRPr="00F73DAA">
        <w:rPr>
          <w:lang w:val="en-GB"/>
        </w:rPr>
        <w:t xml:space="preserve"> find</w:t>
      </w:r>
      <w:r w:rsidR="00557061" w:rsidRPr="00F73DAA">
        <w:rPr>
          <w:lang w:val="en-GB"/>
        </w:rPr>
        <w:t>s</w:t>
      </w:r>
      <w:r w:rsidRPr="00F73DAA">
        <w:rPr>
          <w:lang w:val="en-GB"/>
        </w:rPr>
        <w:t xml:space="preserve">: </w:t>
      </w:r>
      <w:r w:rsidRPr="00F73DAA">
        <w:rPr>
          <w:rFonts w:cs="Arial"/>
          <w:lang w:val="en-GB"/>
        </w:rPr>
        <w:t xml:space="preserve">‘Over the past thirty years … our system of higher education has gone from facilitating upward mobility to exacerbating social inequality.’ Higher education fosters a society that ‘increasingly resembles a caste system: it takes Americans who grew up in different social strata and it widens the divisions between them and makes them more rigid’. Higher education ‘stratifies Americans by income group rather than providing them with ladders of opportunity. </w:t>
      </w:r>
      <w:r w:rsidR="00F73DAA">
        <w:rPr>
          <w:rFonts w:cs="Arial"/>
          <w:lang w:val="en-GB"/>
        </w:rPr>
        <w:t>There is some dispute in the literature about whether and to what extent American social mobility is in decline, but it is safe to assume that if measured mobility is not yet declining, in the longer run it will decline, given the relentless advance of income inequality.</w:t>
      </w:r>
    </w:p>
    <w:p w14:paraId="08F5C1F2" w14:textId="3CBD8489" w:rsidR="000753CF" w:rsidRPr="00F73DAA" w:rsidRDefault="00E018BB" w:rsidP="00267E2D">
      <w:pPr>
        <w:ind w:firstLine="454"/>
        <w:rPr>
          <w:rFonts w:cs="Arial"/>
          <w:lang w:val="en-GB"/>
        </w:rPr>
      </w:pPr>
      <w:r w:rsidRPr="00F73DAA">
        <w:rPr>
          <w:lang w:val="en-GB"/>
        </w:rPr>
        <w:t>Of the half of the age cohort who do not achieve a degree, some graduate at two-year level but the bulk drop out before completion. Given low completion, the more impoverished educational experience and rising costs, it is not surprising that in the US the high absolute tertiary participation rate is now falling.</w:t>
      </w:r>
    </w:p>
    <w:p w14:paraId="571E1776" w14:textId="77777777" w:rsidR="000753CF" w:rsidRPr="00F73DAA" w:rsidRDefault="000753CF" w:rsidP="00267E2D">
      <w:pPr>
        <w:rPr>
          <w:rFonts w:cs="Arial"/>
          <w:lang w:val="en-GB"/>
        </w:rPr>
      </w:pPr>
    </w:p>
    <w:p w14:paraId="0EA49F7B" w14:textId="1E45F93A" w:rsidR="00E018BB" w:rsidRPr="00F73DAA" w:rsidRDefault="00E018BB" w:rsidP="00267E2D">
      <w:pPr>
        <w:rPr>
          <w:rFonts w:cs="Arial"/>
          <w:b/>
          <w:iCs/>
          <w:lang w:val="en-GB"/>
        </w:rPr>
      </w:pPr>
      <w:r w:rsidRPr="00F73DAA">
        <w:rPr>
          <w:rFonts w:cs="Arial"/>
          <w:b/>
          <w:iCs/>
          <w:lang w:val="en-GB"/>
        </w:rPr>
        <w:t>[Cover of The Dream is Over]</w:t>
      </w:r>
    </w:p>
    <w:p w14:paraId="5BAF6D71" w14:textId="265D1D99" w:rsidR="00E018BB" w:rsidRPr="00F73DAA" w:rsidRDefault="00C127C7" w:rsidP="00E018BB">
      <w:pPr>
        <w:rPr>
          <w:rFonts w:cs="Arial"/>
          <w:lang w:val="en-GB"/>
        </w:rPr>
      </w:pPr>
      <w:r w:rsidRPr="00F73DAA">
        <w:rPr>
          <w:rFonts w:cs="Arial"/>
          <w:lang w:val="en-GB"/>
        </w:rPr>
        <w:t xml:space="preserve">What are the lessons </w:t>
      </w:r>
      <w:r w:rsidR="00E018BB" w:rsidRPr="00F73DAA">
        <w:rPr>
          <w:rFonts w:cs="Arial"/>
          <w:lang w:val="en-GB"/>
        </w:rPr>
        <w:t>of</w:t>
      </w:r>
      <w:r w:rsidRPr="00F73DAA">
        <w:rPr>
          <w:rFonts w:cs="Arial"/>
          <w:lang w:val="en-GB"/>
        </w:rPr>
        <w:t xml:space="preserve"> the successes and failures of the Master Plan </w:t>
      </w:r>
      <w:r w:rsidR="00E018BB" w:rsidRPr="00F73DAA">
        <w:rPr>
          <w:rFonts w:cs="Arial"/>
          <w:lang w:val="en-GB"/>
        </w:rPr>
        <w:t>for Higher E</w:t>
      </w:r>
      <w:r w:rsidRPr="00F73DAA">
        <w:rPr>
          <w:rFonts w:cs="Arial"/>
          <w:lang w:val="en-GB"/>
        </w:rPr>
        <w:t>ducation in California?</w:t>
      </w:r>
      <w:r w:rsidR="00E018BB" w:rsidRPr="00F73DAA">
        <w:rPr>
          <w:rFonts w:cs="Arial"/>
          <w:lang w:val="en-GB"/>
        </w:rPr>
        <w:t xml:space="preserve"> </w:t>
      </w:r>
      <w:r w:rsidR="006A624E" w:rsidRPr="00F73DAA">
        <w:rPr>
          <w:rFonts w:cs="Arial"/>
          <w:lang w:val="en-GB"/>
        </w:rPr>
        <w:t>Steep structural stratification in higher education weakens the potential for social equity</w:t>
      </w:r>
      <w:r w:rsidR="00F73DAA">
        <w:rPr>
          <w:rFonts w:cs="Arial"/>
          <w:lang w:val="en-GB"/>
        </w:rPr>
        <w:t>, especially for families positioned</w:t>
      </w:r>
      <w:r w:rsidR="006A624E" w:rsidRPr="00F73DAA">
        <w:rPr>
          <w:rFonts w:cs="Arial"/>
          <w:lang w:val="en-GB"/>
        </w:rPr>
        <w:t xml:space="preserve"> at the base</w:t>
      </w:r>
      <w:r w:rsidR="00F73DAA">
        <w:rPr>
          <w:rFonts w:cs="Arial"/>
          <w:lang w:val="en-GB"/>
        </w:rPr>
        <w:t xml:space="preserve"> of the social pyramid, while it also tends to empty out the social value of mass higher education</w:t>
      </w:r>
      <w:r w:rsidR="006A624E" w:rsidRPr="00F73DAA">
        <w:rPr>
          <w:rFonts w:cs="Arial"/>
          <w:lang w:val="en-GB"/>
        </w:rPr>
        <w:t>. It is easier to sustain a social consensus about the public good mission of stellar research universities than about universal high quality mass higher education for both social-cultural and economic-fiscal reasons. But s</w:t>
      </w:r>
      <w:r w:rsidR="00E018BB" w:rsidRPr="00F73DAA">
        <w:rPr>
          <w:rFonts w:cs="Arial"/>
          <w:lang w:val="en-GB"/>
        </w:rPr>
        <w:t xml:space="preserve">hared social values are essential if public higher education is to </w:t>
      </w:r>
      <w:r w:rsidR="00F73DAA" w:rsidRPr="00F73DAA">
        <w:rPr>
          <w:rFonts w:cs="Arial"/>
          <w:lang w:val="en-GB"/>
        </w:rPr>
        <w:t>fulfil</w:t>
      </w:r>
      <w:r w:rsidR="00E018BB" w:rsidRPr="00F73DAA">
        <w:rPr>
          <w:rFonts w:cs="Arial"/>
          <w:lang w:val="en-GB"/>
        </w:rPr>
        <w:t xml:space="preserve"> the great missions of social inclusion and equalisation. A progressive taxation system, coupled with firm egalitarian policy in states not </w:t>
      </w:r>
      <w:r w:rsidR="006A624E" w:rsidRPr="00F73DAA">
        <w:rPr>
          <w:rFonts w:cs="Arial"/>
          <w:lang w:val="en-GB"/>
        </w:rPr>
        <w:t>controlled by</w:t>
      </w:r>
      <w:r w:rsidR="00E018BB" w:rsidRPr="00F73DAA">
        <w:rPr>
          <w:rFonts w:cs="Arial"/>
          <w:lang w:val="en-GB"/>
        </w:rPr>
        <w:t xml:space="preserve"> </w:t>
      </w:r>
      <w:r w:rsidR="006A624E" w:rsidRPr="00F73DAA">
        <w:rPr>
          <w:rFonts w:cs="Arial"/>
          <w:lang w:val="en-GB"/>
        </w:rPr>
        <w:t>corporations and privileged families,</w:t>
      </w:r>
      <w:r w:rsidR="00E018BB" w:rsidRPr="00F73DAA">
        <w:rPr>
          <w:rFonts w:cs="Arial"/>
          <w:lang w:val="en-GB"/>
        </w:rPr>
        <w:t xml:space="preserve"> is the lynchpin of commitment to the common good. </w:t>
      </w:r>
    </w:p>
    <w:p w14:paraId="65829CB7" w14:textId="4DADFB34" w:rsidR="000A01B8" w:rsidRPr="00F73DAA" w:rsidRDefault="000A01B8" w:rsidP="00E018BB">
      <w:pPr>
        <w:rPr>
          <w:rFonts w:cs="Arial"/>
          <w:lang w:val="en-GB"/>
        </w:rPr>
      </w:pPr>
    </w:p>
    <w:p w14:paraId="7F39DBFB" w14:textId="0CA3C2EA" w:rsidR="00E018BB" w:rsidRPr="00F73DAA" w:rsidRDefault="00E018BB" w:rsidP="00E018BB">
      <w:pPr>
        <w:rPr>
          <w:rFonts w:cs="Arial"/>
          <w:b/>
          <w:lang w:val="en-GB"/>
        </w:rPr>
      </w:pPr>
      <w:r w:rsidRPr="00F73DAA">
        <w:rPr>
          <w:rFonts w:cs="Arial"/>
          <w:b/>
          <w:lang w:val="en-GB"/>
        </w:rPr>
        <w:t>[cover of Higher Education and the Common Good]</w:t>
      </w:r>
    </w:p>
    <w:p w14:paraId="570597F7" w14:textId="096AAAED" w:rsidR="00E018BB" w:rsidRPr="00F73DAA" w:rsidRDefault="006A624E" w:rsidP="00E018BB">
      <w:pPr>
        <w:rPr>
          <w:rFonts w:cs="Arial"/>
          <w:lang w:val="en-GB"/>
        </w:rPr>
      </w:pPr>
      <w:r w:rsidRPr="00F73DAA">
        <w:rPr>
          <w:rFonts w:cs="Arial"/>
          <w:lang w:val="en-GB"/>
        </w:rPr>
        <w:t>Political cultures and state strategies vary greatly ac</w:t>
      </w:r>
      <w:r w:rsidR="00F73DAA">
        <w:rPr>
          <w:rFonts w:cs="Arial"/>
          <w:lang w:val="en-GB"/>
        </w:rPr>
        <w:t xml:space="preserve">ross the world. The tragedy of United States’ </w:t>
      </w:r>
      <w:r w:rsidRPr="00F73DAA">
        <w:rPr>
          <w:rFonts w:cs="Arial"/>
          <w:lang w:val="en-GB"/>
        </w:rPr>
        <w:t xml:space="preserve">public higher education, once such a shining example, is that its democratic promise has fallen low, and its contribution to self-determining individual freedom and </w:t>
      </w:r>
      <w:r w:rsidR="00F73DAA" w:rsidRPr="00F73DAA">
        <w:rPr>
          <w:rFonts w:cs="Arial"/>
          <w:lang w:val="en-GB"/>
        </w:rPr>
        <w:t>fulfilment</w:t>
      </w:r>
      <w:r w:rsidRPr="00F73DAA">
        <w:rPr>
          <w:rFonts w:cs="Arial"/>
          <w:lang w:val="en-GB"/>
        </w:rPr>
        <w:t xml:space="preserve">, the philosophical </w:t>
      </w:r>
      <w:r w:rsidR="00F73DAA" w:rsidRPr="00F73DAA">
        <w:rPr>
          <w:rFonts w:cs="Arial"/>
          <w:lang w:val="en-GB"/>
        </w:rPr>
        <w:t>centrepiece</w:t>
      </w:r>
      <w:r w:rsidRPr="00F73DAA">
        <w:rPr>
          <w:rFonts w:cs="Arial"/>
          <w:lang w:val="en-GB"/>
        </w:rPr>
        <w:t xml:space="preserve"> of both </w:t>
      </w:r>
      <w:r w:rsidR="00F73DAA">
        <w:rPr>
          <w:rFonts w:cs="Arial"/>
          <w:lang w:val="en-GB"/>
        </w:rPr>
        <w:t xml:space="preserve">the American political </w:t>
      </w:r>
      <w:r w:rsidRPr="00F73DAA">
        <w:rPr>
          <w:rFonts w:cs="Arial"/>
          <w:lang w:val="en-GB"/>
        </w:rPr>
        <w:t xml:space="preserve">right and </w:t>
      </w:r>
      <w:r w:rsidR="00F73DAA">
        <w:rPr>
          <w:rFonts w:cs="Arial"/>
          <w:lang w:val="en-GB"/>
        </w:rPr>
        <w:t xml:space="preserve">the political </w:t>
      </w:r>
      <w:r w:rsidRPr="00F73DAA">
        <w:rPr>
          <w:rFonts w:cs="Arial"/>
          <w:lang w:val="en-GB"/>
        </w:rPr>
        <w:t xml:space="preserve">left, </w:t>
      </w:r>
      <w:r w:rsidR="00F73DAA">
        <w:rPr>
          <w:rFonts w:cs="Arial"/>
          <w:lang w:val="en-GB"/>
        </w:rPr>
        <w:t>has</w:t>
      </w:r>
      <w:r w:rsidRPr="00F73DAA">
        <w:rPr>
          <w:rFonts w:cs="Arial"/>
          <w:lang w:val="en-GB"/>
        </w:rPr>
        <w:t xml:space="preserve"> </w:t>
      </w:r>
      <w:r w:rsidR="00F73DAA">
        <w:rPr>
          <w:rFonts w:cs="Arial"/>
          <w:lang w:val="en-GB"/>
        </w:rPr>
        <w:t xml:space="preserve">been </w:t>
      </w:r>
      <w:r w:rsidR="00BC0713" w:rsidRPr="00F73DAA">
        <w:rPr>
          <w:rFonts w:cs="Arial"/>
          <w:lang w:val="en-GB"/>
        </w:rPr>
        <w:t>so far</w:t>
      </w:r>
      <w:r w:rsidRPr="00F73DAA">
        <w:rPr>
          <w:rFonts w:cs="Arial"/>
          <w:lang w:val="en-GB"/>
        </w:rPr>
        <w:t xml:space="preserve"> reduced. Yet the </w:t>
      </w:r>
      <w:r w:rsidR="00F73DAA">
        <w:rPr>
          <w:rFonts w:cs="Arial"/>
          <w:lang w:val="en-GB"/>
        </w:rPr>
        <w:t xml:space="preserve">1960s American </w:t>
      </w:r>
      <w:r w:rsidRPr="00F73DAA">
        <w:rPr>
          <w:rFonts w:cs="Arial"/>
          <w:lang w:val="en-GB"/>
        </w:rPr>
        <w:t>coupling of excellence and access, the world-class research university and the open system of participation with its ladder of educational opportunity, continue</w:t>
      </w:r>
      <w:r w:rsidR="00F73DAA">
        <w:rPr>
          <w:rFonts w:cs="Arial"/>
          <w:lang w:val="en-GB"/>
        </w:rPr>
        <w:t>s</w:t>
      </w:r>
      <w:r w:rsidRPr="00F73DAA">
        <w:rPr>
          <w:rFonts w:cs="Arial"/>
          <w:lang w:val="en-GB"/>
        </w:rPr>
        <w:t xml:space="preserve"> to set benchmark</w:t>
      </w:r>
      <w:r w:rsidR="00F73DAA">
        <w:rPr>
          <w:rFonts w:cs="Arial"/>
          <w:lang w:val="en-GB"/>
        </w:rPr>
        <w:t>s</w:t>
      </w:r>
      <w:r w:rsidRPr="00F73DAA">
        <w:rPr>
          <w:rFonts w:cs="Arial"/>
          <w:lang w:val="en-GB"/>
        </w:rPr>
        <w:t xml:space="preserve"> for higher education across the world. My own judgment, in this forthcoming book</w:t>
      </w:r>
      <w:r w:rsidR="00BC0713" w:rsidRPr="00F73DAA">
        <w:rPr>
          <w:rFonts w:cs="Arial"/>
          <w:lang w:val="en-GB"/>
        </w:rPr>
        <w:t xml:space="preserve">, is that the element in the American recipe that most needs to be altered is the high </w:t>
      </w:r>
      <w:r w:rsidR="00F73DAA">
        <w:rPr>
          <w:rFonts w:cs="Arial"/>
          <w:lang w:val="en-GB"/>
        </w:rPr>
        <w:t xml:space="preserve">structural </w:t>
      </w:r>
      <w:r w:rsidR="00BC0713" w:rsidRPr="00F73DAA">
        <w:rPr>
          <w:rFonts w:cs="Arial"/>
          <w:lang w:val="en-GB"/>
        </w:rPr>
        <w:t xml:space="preserve">inequality, </w:t>
      </w:r>
      <w:r w:rsidR="00F73DAA">
        <w:rPr>
          <w:rFonts w:cs="Arial"/>
          <w:lang w:val="en-GB"/>
        </w:rPr>
        <w:t xml:space="preserve">the steep </w:t>
      </w:r>
      <w:r w:rsidR="00BC0713" w:rsidRPr="00F73DAA">
        <w:rPr>
          <w:rFonts w:cs="Arial"/>
          <w:lang w:val="en-GB"/>
        </w:rPr>
        <w:t>stratification</w:t>
      </w:r>
      <w:r w:rsidR="00F73DAA">
        <w:rPr>
          <w:rFonts w:cs="Arial"/>
          <w:lang w:val="en-GB"/>
        </w:rPr>
        <w:t xml:space="preserve"> of institutions within the system</w:t>
      </w:r>
      <w:r w:rsidR="00BC0713" w:rsidRPr="00F73DAA">
        <w:rPr>
          <w:rFonts w:cs="Arial"/>
          <w:lang w:val="en-GB"/>
        </w:rPr>
        <w:t xml:space="preserve">. The </w:t>
      </w:r>
      <w:r w:rsidR="00BC0713" w:rsidRPr="00F73DAA">
        <w:rPr>
          <w:rFonts w:cs="Arial"/>
          <w:lang w:val="en-GB"/>
        </w:rPr>
        <w:lastRenderedPageBreak/>
        <w:t xml:space="preserve">Nordic systems, German-speaking countries and Dutch higher education all do </w:t>
      </w:r>
      <w:r w:rsidR="00F73DAA">
        <w:rPr>
          <w:rFonts w:cs="Arial"/>
          <w:lang w:val="en-GB"/>
        </w:rPr>
        <w:t>better structures for democratic societies</w:t>
      </w:r>
      <w:r w:rsidR="00BC0713" w:rsidRPr="00F73DAA">
        <w:rPr>
          <w:rFonts w:cs="Arial"/>
          <w:lang w:val="en-GB"/>
        </w:rPr>
        <w:t xml:space="preserve">. </w:t>
      </w:r>
      <w:r w:rsidR="00F73DAA">
        <w:rPr>
          <w:rFonts w:cs="Arial"/>
          <w:lang w:val="en-GB"/>
        </w:rPr>
        <w:t xml:space="preserve">The American revolution predated the French revolution by 15years and the United States never completely broke with the idea of aristocracy; though the freedom to trade is the stronger theme in the American political culture, and since the eclipse of the Confederacy the American nobility has always been self-made—at least in the first generation. </w:t>
      </w:r>
      <w:r w:rsidR="00BC0713" w:rsidRPr="00F73DAA">
        <w:rPr>
          <w:rFonts w:cs="Arial"/>
          <w:lang w:val="en-GB"/>
        </w:rPr>
        <w:t>Educational aristocrac</w:t>
      </w:r>
      <w:r w:rsidR="00F73DAA">
        <w:rPr>
          <w:rFonts w:cs="Arial"/>
          <w:lang w:val="en-GB"/>
        </w:rPr>
        <w:t>y</w:t>
      </w:r>
      <w:r w:rsidR="00BC0713" w:rsidRPr="00F73DAA">
        <w:rPr>
          <w:rFonts w:cs="Arial"/>
          <w:lang w:val="en-GB"/>
        </w:rPr>
        <w:t xml:space="preserve">, </w:t>
      </w:r>
      <w:r w:rsidR="00F73DAA">
        <w:rPr>
          <w:rFonts w:cs="Arial"/>
          <w:lang w:val="en-GB"/>
        </w:rPr>
        <w:t>that</w:t>
      </w:r>
      <w:r w:rsidR="00BC0713" w:rsidRPr="00F73DAA">
        <w:rPr>
          <w:rFonts w:cs="Arial"/>
          <w:lang w:val="en-GB"/>
        </w:rPr>
        <w:t xml:space="preserve"> strange echo of feudalism in modernity, legitimate</w:t>
      </w:r>
      <w:r w:rsidR="00F73DAA">
        <w:rPr>
          <w:rFonts w:cs="Arial"/>
          <w:lang w:val="en-GB"/>
        </w:rPr>
        <w:t>s</w:t>
      </w:r>
      <w:r w:rsidR="00BC0713" w:rsidRPr="00F73DAA">
        <w:rPr>
          <w:rFonts w:cs="Arial"/>
          <w:lang w:val="en-GB"/>
        </w:rPr>
        <w:t xml:space="preserve"> not only unequal educational outcomes but the underlying social and economic inequalities as well.</w:t>
      </w:r>
    </w:p>
    <w:p w14:paraId="69B93719" w14:textId="77777777" w:rsidR="00E018BB" w:rsidRPr="00F73DAA" w:rsidRDefault="00E018BB" w:rsidP="00E018BB">
      <w:pPr>
        <w:rPr>
          <w:rFonts w:cs="Arial"/>
          <w:lang w:val="en-GB"/>
        </w:rPr>
      </w:pPr>
    </w:p>
    <w:sectPr w:rsidR="00E018BB" w:rsidRPr="00F73DAA" w:rsidSect="00015F2A">
      <w:headerReference w:type="even" r:id="rId8"/>
      <w:headerReference w:type="default" r:id="rId9"/>
      <w:pgSz w:w="11900" w:h="16840"/>
      <w:pgMar w:top="1440" w:right="1418" w:bottom="1418" w:left="1701"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6B825" w14:textId="77777777" w:rsidR="00581BCE" w:rsidRDefault="00581BCE" w:rsidP="00015F2A">
      <w:r>
        <w:separator/>
      </w:r>
    </w:p>
  </w:endnote>
  <w:endnote w:type="continuationSeparator" w:id="0">
    <w:p w14:paraId="6F2F8388" w14:textId="77777777" w:rsidR="00581BCE" w:rsidRDefault="00581BCE" w:rsidP="0001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궁서체">
    <w:altName w:val="Arial Unicode MS"/>
    <w:charset w:val="4F"/>
    <w:family w:val="auto"/>
    <w:pitch w:val="variable"/>
    <w:sig w:usb0="00000001" w:usb1="09060000" w:usb2="01002416" w:usb3="00000000" w:csb0="00080000"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C043E" w14:textId="77777777" w:rsidR="00581BCE" w:rsidRDefault="00581BCE" w:rsidP="00015F2A">
      <w:r>
        <w:separator/>
      </w:r>
    </w:p>
  </w:footnote>
  <w:footnote w:type="continuationSeparator" w:id="0">
    <w:p w14:paraId="2AF63CD2" w14:textId="77777777" w:rsidR="00581BCE" w:rsidRDefault="00581BCE" w:rsidP="00015F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858A3" w14:textId="77777777" w:rsidR="00384D34" w:rsidRDefault="00384D34" w:rsidP="002E46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DD584E" w14:textId="77777777" w:rsidR="00384D34" w:rsidRDefault="00384D3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CA05" w14:textId="77777777" w:rsidR="00384D34" w:rsidRDefault="00384D34" w:rsidP="002E46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3902">
      <w:rPr>
        <w:rStyle w:val="PageNumber"/>
        <w:noProof/>
      </w:rPr>
      <w:t>5</w:t>
    </w:r>
    <w:r>
      <w:rPr>
        <w:rStyle w:val="PageNumber"/>
      </w:rPr>
      <w:fldChar w:fldCharType="end"/>
    </w:r>
  </w:p>
  <w:p w14:paraId="22C1FB35" w14:textId="77777777" w:rsidR="00384D34" w:rsidRDefault="00384D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21F1D"/>
    <w:multiLevelType w:val="hybridMultilevel"/>
    <w:tmpl w:val="A6E66A56"/>
    <w:lvl w:ilvl="0" w:tplc="C136B462">
      <w:start w:val="1"/>
      <w:numFmt w:val="bullet"/>
      <w:lvlText w:val="•"/>
      <w:lvlJc w:val="left"/>
      <w:pPr>
        <w:tabs>
          <w:tab w:val="num" w:pos="720"/>
        </w:tabs>
        <w:ind w:left="720" w:hanging="360"/>
      </w:pPr>
      <w:rPr>
        <w:rFonts w:ascii="Arial" w:hAnsi="Arial" w:hint="default"/>
      </w:rPr>
    </w:lvl>
    <w:lvl w:ilvl="1" w:tplc="C11869CC" w:tentative="1">
      <w:start w:val="1"/>
      <w:numFmt w:val="bullet"/>
      <w:lvlText w:val="•"/>
      <w:lvlJc w:val="left"/>
      <w:pPr>
        <w:tabs>
          <w:tab w:val="num" w:pos="1440"/>
        </w:tabs>
        <w:ind w:left="1440" w:hanging="360"/>
      </w:pPr>
      <w:rPr>
        <w:rFonts w:ascii="Arial" w:hAnsi="Arial" w:hint="default"/>
      </w:rPr>
    </w:lvl>
    <w:lvl w:ilvl="2" w:tplc="563214EA" w:tentative="1">
      <w:start w:val="1"/>
      <w:numFmt w:val="bullet"/>
      <w:lvlText w:val="•"/>
      <w:lvlJc w:val="left"/>
      <w:pPr>
        <w:tabs>
          <w:tab w:val="num" w:pos="2160"/>
        </w:tabs>
        <w:ind w:left="2160" w:hanging="360"/>
      </w:pPr>
      <w:rPr>
        <w:rFonts w:ascii="Arial" w:hAnsi="Arial" w:hint="default"/>
      </w:rPr>
    </w:lvl>
    <w:lvl w:ilvl="3" w:tplc="D0CA4F14" w:tentative="1">
      <w:start w:val="1"/>
      <w:numFmt w:val="bullet"/>
      <w:lvlText w:val="•"/>
      <w:lvlJc w:val="left"/>
      <w:pPr>
        <w:tabs>
          <w:tab w:val="num" w:pos="2880"/>
        </w:tabs>
        <w:ind w:left="2880" w:hanging="360"/>
      </w:pPr>
      <w:rPr>
        <w:rFonts w:ascii="Arial" w:hAnsi="Arial" w:hint="default"/>
      </w:rPr>
    </w:lvl>
    <w:lvl w:ilvl="4" w:tplc="1D4E94AE" w:tentative="1">
      <w:start w:val="1"/>
      <w:numFmt w:val="bullet"/>
      <w:lvlText w:val="•"/>
      <w:lvlJc w:val="left"/>
      <w:pPr>
        <w:tabs>
          <w:tab w:val="num" w:pos="3600"/>
        </w:tabs>
        <w:ind w:left="3600" w:hanging="360"/>
      </w:pPr>
      <w:rPr>
        <w:rFonts w:ascii="Arial" w:hAnsi="Arial" w:hint="default"/>
      </w:rPr>
    </w:lvl>
    <w:lvl w:ilvl="5" w:tplc="54B664DE" w:tentative="1">
      <w:start w:val="1"/>
      <w:numFmt w:val="bullet"/>
      <w:lvlText w:val="•"/>
      <w:lvlJc w:val="left"/>
      <w:pPr>
        <w:tabs>
          <w:tab w:val="num" w:pos="4320"/>
        </w:tabs>
        <w:ind w:left="4320" w:hanging="360"/>
      </w:pPr>
      <w:rPr>
        <w:rFonts w:ascii="Arial" w:hAnsi="Arial" w:hint="default"/>
      </w:rPr>
    </w:lvl>
    <w:lvl w:ilvl="6" w:tplc="06900A6A" w:tentative="1">
      <w:start w:val="1"/>
      <w:numFmt w:val="bullet"/>
      <w:lvlText w:val="•"/>
      <w:lvlJc w:val="left"/>
      <w:pPr>
        <w:tabs>
          <w:tab w:val="num" w:pos="5040"/>
        </w:tabs>
        <w:ind w:left="5040" w:hanging="360"/>
      </w:pPr>
      <w:rPr>
        <w:rFonts w:ascii="Arial" w:hAnsi="Arial" w:hint="default"/>
      </w:rPr>
    </w:lvl>
    <w:lvl w:ilvl="7" w:tplc="F01AB270" w:tentative="1">
      <w:start w:val="1"/>
      <w:numFmt w:val="bullet"/>
      <w:lvlText w:val="•"/>
      <w:lvlJc w:val="left"/>
      <w:pPr>
        <w:tabs>
          <w:tab w:val="num" w:pos="5760"/>
        </w:tabs>
        <w:ind w:left="5760" w:hanging="360"/>
      </w:pPr>
      <w:rPr>
        <w:rFonts w:ascii="Arial" w:hAnsi="Arial" w:hint="default"/>
      </w:rPr>
    </w:lvl>
    <w:lvl w:ilvl="8" w:tplc="088A051C" w:tentative="1">
      <w:start w:val="1"/>
      <w:numFmt w:val="bullet"/>
      <w:lvlText w:val="•"/>
      <w:lvlJc w:val="left"/>
      <w:pPr>
        <w:tabs>
          <w:tab w:val="num" w:pos="6480"/>
        </w:tabs>
        <w:ind w:left="6480" w:hanging="360"/>
      </w:pPr>
      <w:rPr>
        <w:rFonts w:ascii="Arial" w:hAnsi="Arial" w:hint="default"/>
      </w:rPr>
    </w:lvl>
  </w:abstractNum>
  <w:abstractNum w:abstractNumId="1">
    <w:nsid w:val="75993662"/>
    <w:multiLevelType w:val="hybridMultilevel"/>
    <w:tmpl w:val="38BCDC62"/>
    <w:lvl w:ilvl="0" w:tplc="0E2621BA">
      <w:start w:val="3"/>
      <w:numFmt w:val="bullet"/>
      <w:lvlText w:val="–"/>
      <w:lvlJc w:val="left"/>
      <w:pPr>
        <w:ind w:left="927" w:hanging="360"/>
      </w:pPr>
      <w:rPr>
        <w:rFonts w:ascii="Cambria" w:eastAsiaTheme="minorEastAsia" w:hAnsi="Cambria" w:cs="Aria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7DA90C68"/>
    <w:multiLevelType w:val="hybridMultilevel"/>
    <w:tmpl w:val="7E561F10"/>
    <w:lvl w:ilvl="0" w:tplc="763E99B6">
      <w:start w:val="14"/>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defaultTabStop w:val="454"/>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37"/>
    <w:rsid w:val="00000499"/>
    <w:rsid w:val="000025A2"/>
    <w:rsid w:val="000028BE"/>
    <w:rsid w:val="000030E2"/>
    <w:rsid w:val="000038CE"/>
    <w:rsid w:val="00003A4A"/>
    <w:rsid w:val="00003C0B"/>
    <w:rsid w:val="00005227"/>
    <w:rsid w:val="00005297"/>
    <w:rsid w:val="00005CB9"/>
    <w:rsid w:val="00006C38"/>
    <w:rsid w:val="0001112C"/>
    <w:rsid w:val="0001142E"/>
    <w:rsid w:val="00011914"/>
    <w:rsid w:val="00011CFC"/>
    <w:rsid w:val="000128F2"/>
    <w:rsid w:val="00012C3B"/>
    <w:rsid w:val="00012E5D"/>
    <w:rsid w:val="000133FF"/>
    <w:rsid w:val="000135B1"/>
    <w:rsid w:val="00013C62"/>
    <w:rsid w:val="00014464"/>
    <w:rsid w:val="00014757"/>
    <w:rsid w:val="000154AC"/>
    <w:rsid w:val="00015943"/>
    <w:rsid w:val="00015AF7"/>
    <w:rsid w:val="00015CFC"/>
    <w:rsid w:val="00015F2A"/>
    <w:rsid w:val="00017372"/>
    <w:rsid w:val="000206F5"/>
    <w:rsid w:val="00021CBE"/>
    <w:rsid w:val="000220ED"/>
    <w:rsid w:val="00022CDE"/>
    <w:rsid w:val="000233AA"/>
    <w:rsid w:val="0002377D"/>
    <w:rsid w:val="00023AF2"/>
    <w:rsid w:val="0002474C"/>
    <w:rsid w:val="00024B65"/>
    <w:rsid w:val="00025021"/>
    <w:rsid w:val="00026747"/>
    <w:rsid w:val="00026CB9"/>
    <w:rsid w:val="00031254"/>
    <w:rsid w:val="00031569"/>
    <w:rsid w:val="00032AB8"/>
    <w:rsid w:val="00032C32"/>
    <w:rsid w:val="0003341D"/>
    <w:rsid w:val="000341A9"/>
    <w:rsid w:val="000344F1"/>
    <w:rsid w:val="0003489A"/>
    <w:rsid w:val="00035306"/>
    <w:rsid w:val="00035C9F"/>
    <w:rsid w:val="0003623F"/>
    <w:rsid w:val="00037201"/>
    <w:rsid w:val="00037A72"/>
    <w:rsid w:val="00040ADF"/>
    <w:rsid w:val="00041154"/>
    <w:rsid w:val="0004194A"/>
    <w:rsid w:val="00042C0B"/>
    <w:rsid w:val="000431FA"/>
    <w:rsid w:val="00043C2C"/>
    <w:rsid w:val="0004445C"/>
    <w:rsid w:val="00045620"/>
    <w:rsid w:val="00045626"/>
    <w:rsid w:val="0004572C"/>
    <w:rsid w:val="0004610D"/>
    <w:rsid w:val="00050C6B"/>
    <w:rsid w:val="00051BDE"/>
    <w:rsid w:val="000544A3"/>
    <w:rsid w:val="00055ACF"/>
    <w:rsid w:val="00055EFD"/>
    <w:rsid w:val="00057EA4"/>
    <w:rsid w:val="000604E8"/>
    <w:rsid w:val="00060674"/>
    <w:rsid w:val="00060D7F"/>
    <w:rsid w:val="00061185"/>
    <w:rsid w:val="0006123D"/>
    <w:rsid w:val="0006151B"/>
    <w:rsid w:val="00061809"/>
    <w:rsid w:val="00063330"/>
    <w:rsid w:val="000633C7"/>
    <w:rsid w:val="000636C7"/>
    <w:rsid w:val="00064020"/>
    <w:rsid w:val="000642C8"/>
    <w:rsid w:val="00064786"/>
    <w:rsid w:val="00064C3B"/>
    <w:rsid w:val="00064DF7"/>
    <w:rsid w:val="00065AEE"/>
    <w:rsid w:val="00065E8B"/>
    <w:rsid w:val="000662AC"/>
    <w:rsid w:val="000704D5"/>
    <w:rsid w:val="00071DA7"/>
    <w:rsid w:val="000723C1"/>
    <w:rsid w:val="00073F30"/>
    <w:rsid w:val="00074159"/>
    <w:rsid w:val="000745F4"/>
    <w:rsid w:val="000745FB"/>
    <w:rsid w:val="00074818"/>
    <w:rsid w:val="00074FAC"/>
    <w:rsid w:val="000753CF"/>
    <w:rsid w:val="00075859"/>
    <w:rsid w:val="00076105"/>
    <w:rsid w:val="000763C2"/>
    <w:rsid w:val="000773D1"/>
    <w:rsid w:val="0007740B"/>
    <w:rsid w:val="00077ACA"/>
    <w:rsid w:val="00077E36"/>
    <w:rsid w:val="00080AAE"/>
    <w:rsid w:val="00081B8D"/>
    <w:rsid w:val="00081BC2"/>
    <w:rsid w:val="00083E54"/>
    <w:rsid w:val="00084353"/>
    <w:rsid w:val="000851CE"/>
    <w:rsid w:val="00085B3D"/>
    <w:rsid w:val="000878D0"/>
    <w:rsid w:val="00090694"/>
    <w:rsid w:val="0009216C"/>
    <w:rsid w:val="0009228C"/>
    <w:rsid w:val="00092776"/>
    <w:rsid w:val="000936B8"/>
    <w:rsid w:val="00093AD8"/>
    <w:rsid w:val="0009446B"/>
    <w:rsid w:val="000945B2"/>
    <w:rsid w:val="00094B96"/>
    <w:rsid w:val="00094EC5"/>
    <w:rsid w:val="000950C7"/>
    <w:rsid w:val="00096042"/>
    <w:rsid w:val="00096166"/>
    <w:rsid w:val="000967AC"/>
    <w:rsid w:val="00096CD5"/>
    <w:rsid w:val="00097301"/>
    <w:rsid w:val="000A01B8"/>
    <w:rsid w:val="000A036C"/>
    <w:rsid w:val="000A0802"/>
    <w:rsid w:val="000A0C27"/>
    <w:rsid w:val="000A0F32"/>
    <w:rsid w:val="000A174C"/>
    <w:rsid w:val="000A1F8A"/>
    <w:rsid w:val="000A2B2C"/>
    <w:rsid w:val="000A656B"/>
    <w:rsid w:val="000A712E"/>
    <w:rsid w:val="000A7C8D"/>
    <w:rsid w:val="000A7F02"/>
    <w:rsid w:val="000B1411"/>
    <w:rsid w:val="000B185C"/>
    <w:rsid w:val="000B1D96"/>
    <w:rsid w:val="000B2088"/>
    <w:rsid w:val="000B3686"/>
    <w:rsid w:val="000B3BA4"/>
    <w:rsid w:val="000B54D1"/>
    <w:rsid w:val="000B55A6"/>
    <w:rsid w:val="000B63BB"/>
    <w:rsid w:val="000B691F"/>
    <w:rsid w:val="000B6AFE"/>
    <w:rsid w:val="000B6EE0"/>
    <w:rsid w:val="000C0D4E"/>
    <w:rsid w:val="000C0E27"/>
    <w:rsid w:val="000C1B51"/>
    <w:rsid w:val="000C22AF"/>
    <w:rsid w:val="000C2402"/>
    <w:rsid w:val="000C2D07"/>
    <w:rsid w:val="000C2DA8"/>
    <w:rsid w:val="000C3332"/>
    <w:rsid w:val="000C34CA"/>
    <w:rsid w:val="000C5D02"/>
    <w:rsid w:val="000C626C"/>
    <w:rsid w:val="000C674E"/>
    <w:rsid w:val="000C7032"/>
    <w:rsid w:val="000C72D1"/>
    <w:rsid w:val="000C7758"/>
    <w:rsid w:val="000C7823"/>
    <w:rsid w:val="000D02DF"/>
    <w:rsid w:val="000D0D59"/>
    <w:rsid w:val="000D1034"/>
    <w:rsid w:val="000D1391"/>
    <w:rsid w:val="000D2260"/>
    <w:rsid w:val="000D27B8"/>
    <w:rsid w:val="000D30A6"/>
    <w:rsid w:val="000D562B"/>
    <w:rsid w:val="000D5717"/>
    <w:rsid w:val="000D5A40"/>
    <w:rsid w:val="000D5DC3"/>
    <w:rsid w:val="000D686C"/>
    <w:rsid w:val="000D6C99"/>
    <w:rsid w:val="000D7A37"/>
    <w:rsid w:val="000D7CC1"/>
    <w:rsid w:val="000E0F80"/>
    <w:rsid w:val="000E12FD"/>
    <w:rsid w:val="000E133B"/>
    <w:rsid w:val="000E1B7D"/>
    <w:rsid w:val="000E2288"/>
    <w:rsid w:val="000E2E20"/>
    <w:rsid w:val="000E31FA"/>
    <w:rsid w:val="000E4623"/>
    <w:rsid w:val="000E4D0D"/>
    <w:rsid w:val="000E51C1"/>
    <w:rsid w:val="000E5E6A"/>
    <w:rsid w:val="000E5F0B"/>
    <w:rsid w:val="000E6B08"/>
    <w:rsid w:val="000F06FF"/>
    <w:rsid w:val="000F12E9"/>
    <w:rsid w:val="000F1B00"/>
    <w:rsid w:val="000F2123"/>
    <w:rsid w:val="000F2D40"/>
    <w:rsid w:val="000F2F28"/>
    <w:rsid w:val="000F3533"/>
    <w:rsid w:val="000F3B2A"/>
    <w:rsid w:val="000F3B38"/>
    <w:rsid w:val="000F46A9"/>
    <w:rsid w:val="000F4D8B"/>
    <w:rsid w:val="000F561F"/>
    <w:rsid w:val="000F7548"/>
    <w:rsid w:val="00100ECD"/>
    <w:rsid w:val="00101CA6"/>
    <w:rsid w:val="0010258D"/>
    <w:rsid w:val="00103454"/>
    <w:rsid w:val="00103728"/>
    <w:rsid w:val="00103A1E"/>
    <w:rsid w:val="00103AD1"/>
    <w:rsid w:val="00103D7A"/>
    <w:rsid w:val="00104328"/>
    <w:rsid w:val="001044FC"/>
    <w:rsid w:val="00106AA5"/>
    <w:rsid w:val="001079AE"/>
    <w:rsid w:val="00107A9B"/>
    <w:rsid w:val="00110923"/>
    <w:rsid w:val="00110BCD"/>
    <w:rsid w:val="00111030"/>
    <w:rsid w:val="001113A2"/>
    <w:rsid w:val="001113AD"/>
    <w:rsid w:val="00112180"/>
    <w:rsid w:val="00112E23"/>
    <w:rsid w:val="0011408C"/>
    <w:rsid w:val="00114E7E"/>
    <w:rsid w:val="00116612"/>
    <w:rsid w:val="00117798"/>
    <w:rsid w:val="001200AF"/>
    <w:rsid w:val="0012016E"/>
    <w:rsid w:val="001202E6"/>
    <w:rsid w:val="00120A4F"/>
    <w:rsid w:val="00120BFF"/>
    <w:rsid w:val="001211D0"/>
    <w:rsid w:val="00121E87"/>
    <w:rsid w:val="0012353B"/>
    <w:rsid w:val="00123662"/>
    <w:rsid w:val="001236F4"/>
    <w:rsid w:val="0012471C"/>
    <w:rsid w:val="001260AD"/>
    <w:rsid w:val="001271EC"/>
    <w:rsid w:val="00127DD4"/>
    <w:rsid w:val="00130007"/>
    <w:rsid w:val="0013038B"/>
    <w:rsid w:val="001311F6"/>
    <w:rsid w:val="00131CED"/>
    <w:rsid w:val="00132642"/>
    <w:rsid w:val="00132DC2"/>
    <w:rsid w:val="001333CA"/>
    <w:rsid w:val="00135713"/>
    <w:rsid w:val="0013576B"/>
    <w:rsid w:val="00136378"/>
    <w:rsid w:val="00137F55"/>
    <w:rsid w:val="001409D0"/>
    <w:rsid w:val="00140CF6"/>
    <w:rsid w:val="00141051"/>
    <w:rsid w:val="001413F0"/>
    <w:rsid w:val="00141646"/>
    <w:rsid w:val="001418F5"/>
    <w:rsid w:val="00141908"/>
    <w:rsid w:val="001421A2"/>
    <w:rsid w:val="00143C7E"/>
    <w:rsid w:val="00144525"/>
    <w:rsid w:val="00144CD0"/>
    <w:rsid w:val="00145F8B"/>
    <w:rsid w:val="00146A7F"/>
    <w:rsid w:val="00146C1E"/>
    <w:rsid w:val="001477C3"/>
    <w:rsid w:val="00147F81"/>
    <w:rsid w:val="00150C90"/>
    <w:rsid w:val="0015319A"/>
    <w:rsid w:val="001537CE"/>
    <w:rsid w:val="00153923"/>
    <w:rsid w:val="00154736"/>
    <w:rsid w:val="00154FBB"/>
    <w:rsid w:val="00155E5A"/>
    <w:rsid w:val="00157670"/>
    <w:rsid w:val="0015772D"/>
    <w:rsid w:val="00160703"/>
    <w:rsid w:val="001608A7"/>
    <w:rsid w:val="00161887"/>
    <w:rsid w:val="00161B90"/>
    <w:rsid w:val="00161C8D"/>
    <w:rsid w:val="001625C3"/>
    <w:rsid w:val="00162EF3"/>
    <w:rsid w:val="00163948"/>
    <w:rsid w:val="001641CF"/>
    <w:rsid w:val="00164B93"/>
    <w:rsid w:val="00164BF4"/>
    <w:rsid w:val="00164EEB"/>
    <w:rsid w:val="00165B16"/>
    <w:rsid w:val="00166231"/>
    <w:rsid w:val="001665D6"/>
    <w:rsid w:val="00166C01"/>
    <w:rsid w:val="00167AFA"/>
    <w:rsid w:val="00167B3B"/>
    <w:rsid w:val="00167FD3"/>
    <w:rsid w:val="0017046A"/>
    <w:rsid w:val="00170975"/>
    <w:rsid w:val="00170C58"/>
    <w:rsid w:val="00172480"/>
    <w:rsid w:val="00173867"/>
    <w:rsid w:val="001744DB"/>
    <w:rsid w:val="00175C20"/>
    <w:rsid w:val="00175D1F"/>
    <w:rsid w:val="0017640F"/>
    <w:rsid w:val="00177606"/>
    <w:rsid w:val="00177BF2"/>
    <w:rsid w:val="00177CDD"/>
    <w:rsid w:val="00180980"/>
    <w:rsid w:val="00181FF0"/>
    <w:rsid w:val="0018220C"/>
    <w:rsid w:val="00182B9F"/>
    <w:rsid w:val="0018328B"/>
    <w:rsid w:val="00183586"/>
    <w:rsid w:val="00184AAD"/>
    <w:rsid w:val="00185533"/>
    <w:rsid w:val="00185D05"/>
    <w:rsid w:val="00186D47"/>
    <w:rsid w:val="00191605"/>
    <w:rsid w:val="00191AFD"/>
    <w:rsid w:val="00193FB0"/>
    <w:rsid w:val="00194BE3"/>
    <w:rsid w:val="001962E1"/>
    <w:rsid w:val="00196384"/>
    <w:rsid w:val="00196392"/>
    <w:rsid w:val="00196975"/>
    <w:rsid w:val="00197B2F"/>
    <w:rsid w:val="00197C96"/>
    <w:rsid w:val="00197EE2"/>
    <w:rsid w:val="001A0FBF"/>
    <w:rsid w:val="001A2110"/>
    <w:rsid w:val="001A272C"/>
    <w:rsid w:val="001A2FE1"/>
    <w:rsid w:val="001A3069"/>
    <w:rsid w:val="001A3109"/>
    <w:rsid w:val="001A38FC"/>
    <w:rsid w:val="001A5E4C"/>
    <w:rsid w:val="001A5FD4"/>
    <w:rsid w:val="001A62CD"/>
    <w:rsid w:val="001A727A"/>
    <w:rsid w:val="001A7402"/>
    <w:rsid w:val="001A7CA1"/>
    <w:rsid w:val="001B0340"/>
    <w:rsid w:val="001B041E"/>
    <w:rsid w:val="001B089D"/>
    <w:rsid w:val="001B23D0"/>
    <w:rsid w:val="001B42F9"/>
    <w:rsid w:val="001B47BF"/>
    <w:rsid w:val="001B496A"/>
    <w:rsid w:val="001B4D6E"/>
    <w:rsid w:val="001B6CB3"/>
    <w:rsid w:val="001B71D8"/>
    <w:rsid w:val="001C0BCC"/>
    <w:rsid w:val="001C3B94"/>
    <w:rsid w:val="001C55D5"/>
    <w:rsid w:val="001C5D9B"/>
    <w:rsid w:val="001C6118"/>
    <w:rsid w:val="001C65B9"/>
    <w:rsid w:val="001D027D"/>
    <w:rsid w:val="001D0860"/>
    <w:rsid w:val="001D1617"/>
    <w:rsid w:val="001D1AEE"/>
    <w:rsid w:val="001D2BF3"/>
    <w:rsid w:val="001D2C1B"/>
    <w:rsid w:val="001D498C"/>
    <w:rsid w:val="001D52BA"/>
    <w:rsid w:val="001D5F20"/>
    <w:rsid w:val="001D5FCA"/>
    <w:rsid w:val="001D600A"/>
    <w:rsid w:val="001D6AD3"/>
    <w:rsid w:val="001D6F16"/>
    <w:rsid w:val="001D75BA"/>
    <w:rsid w:val="001E0024"/>
    <w:rsid w:val="001E1B93"/>
    <w:rsid w:val="001E1D28"/>
    <w:rsid w:val="001E2EA8"/>
    <w:rsid w:val="001E3259"/>
    <w:rsid w:val="001E360E"/>
    <w:rsid w:val="001E3ABF"/>
    <w:rsid w:val="001E5A9A"/>
    <w:rsid w:val="001E5AA8"/>
    <w:rsid w:val="001E5C14"/>
    <w:rsid w:val="001E612F"/>
    <w:rsid w:val="001E6177"/>
    <w:rsid w:val="001E64A2"/>
    <w:rsid w:val="001E788D"/>
    <w:rsid w:val="001F11DF"/>
    <w:rsid w:val="001F1837"/>
    <w:rsid w:val="001F2238"/>
    <w:rsid w:val="001F2AEF"/>
    <w:rsid w:val="001F2D5A"/>
    <w:rsid w:val="001F2F12"/>
    <w:rsid w:val="001F2F5A"/>
    <w:rsid w:val="001F3954"/>
    <w:rsid w:val="001F398A"/>
    <w:rsid w:val="001F3C15"/>
    <w:rsid w:val="001F3CC1"/>
    <w:rsid w:val="001F3EE8"/>
    <w:rsid w:val="001F4D3C"/>
    <w:rsid w:val="001F5EE9"/>
    <w:rsid w:val="001F6C0A"/>
    <w:rsid w:val="001F6D40"/>
    <w:rsid w:val="001F7C47"/>
    <w:rsid w:val="00201479"/>
    <w:rsid w:val="002014DC"/>
    <w:rsid w:val="00201EB1"/>
    <w:rsid w:val="002031DC"/>
    <w:rsid w:val="002033CD"/>
    <w:rsid w:val="00203CB1"/>
    <w:rsid w:val="00204509"/>
    <w:rsid w:val="0020484D"/>
    <w:rsid w:val="002053C8"/>
    <w:rsid w:val="0020667F"/>
    <w:rsid w:val="002070E5"/>
    <w:rsid w:val="00207A5F"/>
    <w:rsid w:val="00207EED"/>
    <w:rsid w:val="002112BE"/>
    <w:rsid w:val="00211B00"/>
    <w:rsid w:val="00212268"/>
    <w:rsid w:val="00212545"/>
    <w:rsid w:val="00213673"/>
    <w:rsid w:val="0021451A"/>
    <w:rsid w:val="00214629"/>
    <w:rsid w:val="00214960"/>
    <w:rsid w:val="002155FE"/>
    <w:rsid w:val="00215882"/>
    <w:rsid w:val="00215DB2"/>
    <w:rsid w:val="00216129"/>
    <w:rsid w:val="00216172"/>
    <w:rsid w:val="002162E7"/>
    <w:rsid w:val="00216F01"/>
    <w:rsid w:val="00217F4E"/>
    <w:rsid w:val="002207C9"/>
    <w:rsid w:val="00220EDB"/>
    <w:rsid w:val="00221335"/>
    <w:rsid w:val="00222397"/>
    <w:rsid w:val="0022255E"/>
    <w:rsid w:val="00222D84"/>
    <w:rsid w:val="0022329B"/>
    <w:rsid w:val="002233C7"/>
    <w:rsid w:val="00223BFB"/>
    <w:rsid w:val="0022465F"/>
    <w:rsid w:val="002264F8"/>
    <w:rsid w:val="00226956"/>
    <w:rsid w:val="002277DF"/>
    <w:rsid w:val="00230998"/>
    <w:rsid w:val="002314A8"/>
    <w:rsid w:val="002319FA"/>
    <w:rsid w:val="00231FCF"/>
    <w:rsid w:val="00233C8D"/>
    <w:rsid w:val="002344AA"/>
    <w:rsid w:val="00234DBF"/>
    <w:rsid w:val="00235105"/>
    <w:rsid w:val="00235D48"/>
    <w:rsid w:val="002367A4"/>
    <w:rsid w:val="00237A9C"/>
    <w:rsid w:val="002407A7"/>
    <w:rsid w:val="00241274"/>
    <w:rsid w:val="002414FB"/>
    <w:rsid w:val="00241785"/>
    <w:rsid w:val="00242406"/>
    <w:rsid w:val="00242F54"/>
    <w:rsid w:val="00243F4B"/>
    <w:rsid w:val="002457F6"/>
    <w:rsid w:val="00246A71"/>
    <w:rsid w:val="0024779D"/>
    <w:rsid w:val="00251481"/>
    <w:rsid w:val="0025166B"/>
    <w:rsid w:val="00252A95"/>
    <w:rsid w:val="00252F5D"/>
    <w:rsid w:val="002534F1"/>
    <w:rsid w:val="002538F0"/>
    <w:rsid w:val="002566C7"/>
    <w:rsid w:val="002567B9"/>
    <w:rsid w:val="00256A6B"/>
    <w:rsid w:val="00256CC4"/>
    <w:rsid w:val="00257032"/>
    <w:rsid w:val="002570C4"/>
    <w:rsid w:val="00257459"/>
    <w:rsid w:val="0025758A"/>
    <w:rsid w:val="00257D6D"/>
    <w:rsid w:val="002610B9"/>
    <w:rsid w:val="0026118B"/>
    <w:rsid w:val="002611DC"/>
    <w:rsid w:val="0026142D"/>
    <w:rsid w:val="0026161B"/>
    <w:rsid w:val="002618C3"/>
    <w:rsid w:val="00262237"/>
    <w:rsid w:val="00262F8B"/>
    <w:rsid w:val="0026391D"/>
    <w:rsid w:val="002639AF"/>
    <w:rsid w:val="00264BDD"/>
    <w:rsid w:val="00264CD5"/>
    <w:rsid w:val="00265157"/>
    <w:rsid w:val="002661E5"/>
    <w:rsid w:val="00266573"/>
    <w:rsid w:val="00266596"/>
    <w:rsid w:val="00266BE0"/>
    <w:rsid w:val="00267752"/>
    <w:rsid w:val="00267935"/>
    <w:rsid w:val="00267E2D"/>
    <w:rsid w:val="00267ED3"/>
    <w:rsid w:val="00270055"/>
    <w:rsid w:val="00270154"/>
    <w:rsid w:val="002705B1"/>
    <w:rsid w:val="002705DC"/>
    <w:rsid w:val="00270886"/>
    <w:rsid w:val="00270A13"/>
    <w:rsid w:val="00271137"/>
    <w:rsid w:val="002714A5"/>
    <w:rsid w:val="00271AD8"/>
    <w:rsid w:val="002724EE"/>
    <w:rsid w:val="00272B85"/>
    <w:rsid w:val="0027397E"/>
    <w:rsid w:val="00274AE7"/>
    <w:rsid w:val="00275043"/>
    <w:rsid w:val="002757C4"/>
    <w:rsid w:val="00275B7F"/>
    <w:rsid w:val="00275B94"/>
    <w:rsid w:val="0027666C"/>
    <w:rsid w:val="002767A3"/>
    <w:rsid w:val="00276EF4"/>
    <w:rsid w:val="002809EE"/>
    <w:rsid w:val="00281012"/>
    <w:rsid w:val="002810C0"/>
    <w:rsid w:val="002824F5"/>
    <w:rsid w:val="0028329C"/>
    <w:rsid w:val="00283548"/>
    <w:rsid w:val="00284086"/>
    <w:rsid w:val="002841E9"/>
    <w:rsid w:val="00286469"/>
    <w:rsid w:val="00286C8F"/>
    <w:rsid w:val="00287036"/>
    <w:rsid w:val="00287211"/>
    <w:rsid w:val="002875B4"/>
    <w:rsid w:val="00287B43"/>
    <w:rsid w:val="00290E03"/>
    <w:rsid w:val="00290E50"/>
    <w:rsid w:val="002917AE"/>
    <w:rsid w:val="002920C2"/>
    <w:rsid w:val="00292494"/>
    <w:rsid w:val="0029358B"/>
    <w:rsid w:val="00294212"/>
    <w:rsid w:val="0029464A"/>
    <w:rsid w:val="00294756"/>
    <w:rsid w:val="002948A9"/>
    <w:rsid w:val="0029545C"/>
    <w:rsid w:val="00296615"/>
    <w:rsid w:val="00296B07"/>
    <w:rsid w:val="002A05A5"/>
    <w:rsid w:val="002A09BF"/>
    <w:rsid w:val="002A0C80"/>
    <w:rsid w:val="002A1570"/>
    <w:rsid w:val="002A1A03"/>
    <w:rsid w:val="002A23C3"/>
    <w:rsid w:val="002A2508"/>
    <w:rsid w:val="002A33BC"/>
    <w:rsid w:val="002A39EA"/>
    <w:rsid w:val="002A3BB1"/>
    <w:rsid w:val="002A3E46"/>
    <w:rsid w:val="002A3F2D"/>
    <w:rsid w:val="002A6271"/>
    <w:rsid w:val="002A7F22"/>
    <w:rsid w:val="002B050B"/>
    <w:rsid w:val="002B0F01"/>
    <w:rsid w:val="002B1CDA"/>
    <w:rsid w:val="002B2C54"/>
    <w:rsid w:val="002B38BE"/>
    <w:rsid w:val="002B413D"/>
    <w:rsid w:val="002B4A36"/>
    <w:rsid w:val="002B57DA"/>
    <w:rsid w:val="002B64A0"/>
    <w:rsid w:val="002B7365"/>
    <w:rsid w:val="002C0BEC"/>
    <w:rsid w:val="002C12FF"/>
    <w:rsid w:val="002C200B"/>
    <w:rsid w:val="002C2B65"/>
    <w:rsid w:val="002C36C5"/>
    <w:rsid w:val="002C48A8"/>
    <w:rsid w:val="002C671D"/>
    <w:rsid w:val="002C67FA"/>
    <w:rsid w:val="002C68CA"/>
    <w:rsid w:val="002C690A"/>
    <w:rsid w:val="002C72CE"/>
    <w:rsid w:val="002C78ED"/>
    <w:rsid w:val="002D2148"/>
    <w:rsid w:val="002D233F"/>
    <w:rsid w:val="002D28EB"/>
    <w:rsid w:val="002D3AE2"/>
    <w:rsid w:val="002D3EC3"/>
    <w:rsid w:val="002D4C61"/>
    <w:rsid w:val="002D507E"/>
    <w:rsid w:val="002D5551"/>
    <w:rsid w:val="002D56E0"/>
    <w:rsid w:val="002D5F6F"/>
    <w:rsid w:val="002D60C5"/>
    <w:rsid w:val="002D64C3"/>
    <w:rsid w:val="002E0357"/>
    <w:rsid w:val="002E16AA"/>
    <w:rsid w:val="002E2DB9"/>
    <w:rsid w:val="002E3B54"/>
    <w:rsid w:val="002E46F8"/>
    <w:rsid w:val="002E5380"/>
    <w:rsid w:val="002E53D3"/>
    <w:rsid w:val="002E7C91"/>
    <w:rsid w:val="002F04FE"/>
    <w:rsid w:val="002F0795"/>
    <w:rsid w:val="002F0878"/>
    <w:rsid w:val="002F0C69"/>
    <w:rsid w:val="002F168C"/>
    <w:rsid w:val="002F2701"/>
    <w:rsid w:val="002F2805"/>
    <w:rsid w:val="002F3B10"/>
    <w:rsid w:val="002F3D8A"/>
    <w:rsid w:val="002F46C2"/>
    <w:rsid w:val="002F6EFA"/>
    <w:rsid w:val="002F7AFF"/>
    <w:rsid w:val="002F7D25"/>
    <w:rsid w:val="00300117"/>
    <w:rsid w:val="00300500"/>
    <w:rsid w:val="00300B4F"/>
    <w:rsid w:val="003010C1"/>
    <w:rsid w:val="0030122A"/>
    <w:rsid w:val="003030CD"/>
    <w:rsid w:val="00304714"/>
    <w:rsid w:val="00304829"/>
    <w:rsid w:val="003052E6"/>
    <w:rsid w:val="00305E22"/>
    <w:rsid w:val="00306452"/>
    <w:rsid w:val="003066A4"/>
    <w:rsid w:val="00306A36"/>
    <w:rsid w:val="00307793"/>
    <w:rsid w:val="0031065F"/>
    <w:rsid w:val="003106E9"/>
    <w:rsid w:val="00310D78"/>
    <w:rsid w:val="00310E35"/>
    <w:rsid w:val="003113D0"/>
    <w:rsid w:val="00311A3B"/>
    <w:rsid w:val="00313136"/>
    <w:rsid w:val="003142D1"/>
    <w:rsid w:val="00316448"/>
    <w:rsid w:val="00317388"/>
    <w:rsid w:val="00317FBB"/>
    <w:rsid w:val="00320CB3"/>
    <w:rsid w:val="003218A2"/>
    <w:rsid w:val="00321F32"/>
    <w:rsid w:val="00322427"/>
    <w:rsid w:val="00322D4E"/>
    <w:rsid w:val="003264AE"/>
    <w:rsid w:val="00326BC1"/>
    <w:rsid w:val="00326CBC"/>
    <w:rsid w:val="0032726B"/>
    <w:rsid w:val="003327D4"/>
    <w:rsid w:val="00332CD9"/>
    <w:rsid w:val="00332E48"/>
    <w:rsid w:val="00334EF6"/>
    <w:rsid w:val="00336256"/>
    <w:rsid w:val="003374FA"/>
    <w:rsid w:val="00337992"/>
    <w:rsid w:val="00337A88"/>
    <w:rsid w:val="003405AC"/>
    <w:rsid w:val="00340900"/>
    <w:rsid w:val="00344217"/>
    <w:rsid w:val="00344B04"/>
    <w:rsid w:val="00344B85"/>
    <w:rsid w:val="00345DA8"/>
    <w:rsid w:val="00346B3D"/>
    <w:rsid w:val="00346FCB"/>
    <w:rsid w:val="00350902"/>
    <w:rsid w:val="00350DBA"/>
    <w:rsid w:val="0035104F"/>
    <w:rsid w:val="003520DD"/>
    <w:rsid w:val="00352A51"/>
    <w:rsid w:val="00352FC7"/>
    <w:rsid w:val="00355872"/>
    <w:rsid w:val="00355A96"/>
    <w:rsid w:val="00355D04"/>
    <w:rsid w:val="003564B9"/>
    <w:rsid w:val="00356C4E"/>
    <w:rsid w:val="00357B59"/>
    <w:rsid w:val="00357B60"/>
    <w:rsid w:val="003605A1"/>
    <w:rsid w:val="003605A4"/>
    <w:rsid w:val="00360760"/>
    <w:rsid w:val="00361C2F"/>
    <w:rsid w:val="00361F13"/>
    <w:rsid w:val="00362AC8"/>
    <w:rsid w:val="00363EF9"/>
    <w:rsid w:val="00364EDB"/>
    <w:rsid w:val="00364F7A"/>
    <w:rsid w:val="003651D8"/>
    <w:rsid w:val="00366B18"/>
    <w:rsid w:val="00367BF0"/>
    <w:rsid w:val="00370F97"/>
    <w:rsid w:val="00371E98"/>
    <w:rsid w:val="00372313"/>
    <w:rsid w:val="0037265C"/>
    <w:rsid w:val="003730EF"/>
    <w:rsid w:val="003733AD"/>
    <w:rsid w:val="00373892"/>
    <w:rsid w:val="00373E77"/>
    <w:rsid w:val="00373EB3"/>
    <w:rsid w:val="003744A1"/>
    <w:rsid w:val="0037480A"/>
    <w:rsid w:val="00374901"/>
    <w:rsid w:val="00374924"/>
    <w:rsid w:val="003757AA"/>
    <w:rsid w:val="00375F1C"/>
    <w:rsid w:val="003767AE"/>
    <w:rsid w:val="0037741E"/>
    <w:rsid w:val="003812D6"/>
    <w:rsid w:val="00381F8E"/>
    <w:rsid w:val="00382728"/>
    <w:rsid w:val="00382D4D"/>
    <w:rsid w:val="003839C1"/>
    <w:rsid w:val="003847CE"/>
    <w:rsid w:val="00384D34"/>
    <w:rsid w:val="00385390"/>
    <w:rsid w:val="00385CA3"/>
    <w:rsid w:val="003874E4"/>
    <w:rsid w:val="00387880"/>
    <w:rsid w:val="003878AE"/>
    <w:rsid w:val="003901E1"/>
    <w:rsid w:val="003904A0"/>
    <w:rsid w:val="00391001"/>
    <w:rsid w:val="00392330"/>
    <w:rsid w:val="00392A3C"/>
    <w:rsid w:val="00392D15"/>
    <w:rsid w:val="0039357C"/>
    <w:rsid w:val="00393A8F"/>
    <w:rsid w:val="00393E53"/>
    <w:rsid w:val="00397A79"/>
    <w:rsid w:val="003A03E9"/>
    <w:rsid w:val="003A0A70"/>
    <w:rsid w:val="003A127F"/>
    <w:rsid w:val="003A1DDC"/>
    <w:rsid w:val="003A2326"/>
    <w:rsid w:val="003A3FA6"/>
    <w:rsid w:val="003A4EE7"/>
    <w:rsid w:val="003A51A2"/>
    <w:rsid w:val="003A7E02"/>
    <w:rsid w:val="003B24B8"/>
    <w:rsid w:val="003B25BC"/>
    <w:rsid w:val="003B5008"/>
    <w:rsid w:val="003B5354"/>
    <w:rsid w:val="003B5BE1"/>
    <w:rsid w:val="003B64E6"/>
    <w:rsid w:val="003B69D7"/>
    <w:rsid w:val="003B721A"/>
    <w:rsid w:val="003B7CA7"/>
    <w:rsid w:val="003C06F8"/>
    <w:rsid w:val="003C23A0"/>
    <w:rsid w:val="003C2960"/>
    <w:rsid w:val="003C2A73"/>
    <w:rsid w:val="003C3FBA"/>
    <w:rsid w:val="003C60AE"/>
    <w:rsid w:val="003C66C7"/>
    <w:rsid w:val="003C6A24"/>
    <w:rsid w:val="003C6AC6"/>
    <w:rsid w:val="003C6CD8"/>
    <w:rsid w:val="003C7305"/>
    <w:rsid w:val="003C7D7E"/>
    <w:rsid w:val="003D2346"/>
    <w:rsid w:val="003D2413"/>
    <w:rsid w:val="003D49DD"/>
    <w:rsid w:val="003D4BCC"/>
    <w:rsid w:val="003D51F2"/>
    <w:rsid w:val="003D7456"/>
    <w:rsid w:val="003D7705"/>
    <w:rsid w:val="003D7AC4"/>
    <w:rsid w:val="003E08D0"/>
    <w:rsid w:val="003E09E9"/>
    <w:rsid w:val="003E2327"/>
    <w:rsid w:val="003E26B8"/>
    <w:rsid w:val="003E34E7"/>
    <w:rsid w:val="003E363A"/>
    <w:rsid w:val="003E3EDB"/>
    <w:rsid w:val="003E42EE"/>
    <w:rsid w:val="003E4429"/>
    <w:rsid w:val="003E5F75"/>
    <w:rsid w:val="003E61AB"/>
    <w:rsid w:val="003E6564"/>
    <w:rsid w:val="003E65E2"/>
    <w:rsid w:val="003E6FE5"/>
    <w:rsid w:val="003E77AA"/>
    <w:rsid w:val="003E7E64"/>
    <w:rsid w:val="003F094D"/>
    <w:rsid w:val="003F22FE"/>
    <w:rsid w:val="003F27D3"/>
    <w:rsid w:val="003F2A6E"/>
    <w:rsid w:val="003F2E04"/>
    <w:rsid w:val="003F3021"/>
    <w:rsid w:val="003F3D51"/>
    <w:rsid w:val="003F3DC7"/>
    <w:rsid w:val="003F480E"/>
    <w:rsid w:val="003F4D55"/>
    <w:rsid w:val="003F4FD8"/>
    <w:rsid w:val="003F50FC"/>
    <w:rsid w:val="003F55E9"/>
    <w:rsid w:val="003F5AAD"/>
    <w:rsid w:val="003F666E"/>
    <w:rsid w:val="003F7059"/>
    <w:rsid w:val="003F758E"/>
    <w:rsid w:val="00400AC3"/>
    <w:rsid w:val="004012E1"/>
    <w:rsid w:val="00402450"/>
    <w:rsid w:val="00403003"/>
    <w:rsid w:val="004039C2"/>
    <w:rsid w:val="00405367"/>
    <w:rsid w:val="00405728"/>
    <w:rsid w:val="00405EA2"/>
    <w:rsid w:val="00406AB3"/>
    <w:rsid w:val="00407E86"/>
    <w:rsid w:val="00411D17"/>
    <w:rsid w:val="00411DDF"/>
    <w:rsid w:val="0041474C"/>
    <w:rsid w:val="00415387"/>
    <w:rsid w:val="004153FE"/>
    <w:rsid w:val="0041660D"/>
    <w:rsid w:val="004171D9"/>
    <w:rsid w:val="00417622"/>
    <w:rsid w:val="00421A2B"/>
    <w:rsid w:val="00422036"/>
    <w:rsid w:val="00422211"/>
    <w:rsid w:val="004229EE"/>
    <w:rsid w:val="00422A75"/>
    <w:rsid w:val="004231B2"/>
    <w:rsid w:val="0042339E"/>
    <w:rsid w:val="004239F9"/>
    <w:rsid w:val="00424D83"/>
    <w:rsid w:val="004257D8"/>
    <w:rsid w:val="00425820"/>
    <w:rsid w:val="00426377"/>
    <w:rsid w:val="0042746A"/>
    <w:rsid w:val="00427631"/>
    <w:rsid w:val="0042797E"/>
    <w:rsid w:val="00427B3F"/>
    <w:rsid w:val="004300B5"/>
    <w:rsid w:val="00430CBC"/>
    <w:rsid w:val="00430E91"/>
    <w:rsid w:val="00431202"/>
    <w:rsid w:val="00431582"/>
    <w:rsid w:val="00432ACD"/>
    <w:rsid w:val="00432F2B"/>
    <w:rsid w:val="00433121"/>
    <w:rsid w:val="004342E8"/>
    <w:rsid w:val="00434AD2"/>
    <w:rsid w:val="0043603E"/>
    <w:rsid w:val="00436AB9"/>
    <w:rsid w:val="00441681"/>
    <w:rsid w:val="004421DB"/>
    <w:rsid w:val="00442353"/>
    <w:rsid w:val="00443077"/>
    <w:rsid w:val="00443149"/>
    <w:rsid w:val="00444C25"/>
    <w:rsid w:val="00444DAE"/>
    <w:rsid w:val="004453F7"/>
    <w:rsid w:val="004457F1"/>
    <w:rsid w:val="00446385"/>
    <w:rsid w:val="00446424"/>
    <w:rsid w:val="00446BE2"/>
    <w:rsid w:val="00450296"/>
    <w:rsid w:val="00450814"/>
    <w:rsid w:val="00450AF7"/>
    <w:rsid w:val="00450F20"/>
    <w:rsid w:val="00453470"/>
    <w:rsid w:val="004534EE"/>
    <w:rsid w:val="004537E3"/>
    <w:rsid w:val="004547FE"/>
    <w:rsid w:val="004550F4"/>
    <w:rsid w:val="00455999"/>
    <w:rsid w:val="00457EF0"/>
    <w:rsid w:val="00460296"/>
    <w:rsid w:val="00460689"/>
    <w:rsid w:val="004606C5"/>
    <w:rsid w:val="00460B8D"/>
    <w:rsid w:val="00461216"/>
    <w:rsid w:val="00461E39"/>
    <w:rsid w:val="0046202C"/>
    <w:rsid w:val="00462E28"/>
    <w:rsid w:val="00463C44"/>
    <w:rsid w:val="00464007"/>
    <w:rsid w:val="004665FA"/>
    <w:rsid w:val="00466F77"/>
    <w:rsid w:val="00470431"/>
    <w:rsid w:val="00470439"/>
    <w:rsid w:val="00470C7D"/>
    <w:rsid w:val="004712FB"/>
    <w:rsid w:val="004719C3"/>
    <w:rsid w:val="00472909"/>
    <w:rsid w:val="00472B28"/>
    <w:rsid w:val="00472F80"/>
    <w:rsid w:val="0047396C"/>
    <w:rsid w:val="00474CF7"/>
    <w:rsid w:val="0047511B"/>
    <w:rsid w:val="00475799"/>
    <w:rsid w:val="00475F51"/>
    <w:rsid w:val="0047644C"/>
    <w:rsid w:val="00476953"/>
    <w:rsid w:val="00476F47"/>
    <w:rsid w:val="0047768D"/>
    <w:rsid w:val="004776C0"/>
    <w:rsid w:val="00477C9A"/>
    <w:rsid w:val="00481278"/>
    <w:rsid w:val="00481A3B"/>
    <w:rsid w:val="00482F65"/>
    <w:rsid w:val="0048306D"/>
    <w:rsid w:val="0048372F"/>
    <w:rsid w:val="00483C77"/>
    <w:rsid w:val="00483DEF"/>
    <w:rsid w:val="00483E91"/>
    <w:rsid w:val="00484A51"/>
    <w:rsid w:val="004859DD"/>
    <w:rsid w:val="004862CD"/>
    <w:rsid w:val="004876BA"/>
    <w:rsid w:val="004903A3"/>
    <w:rsid w:val="004905E2"/>
    <w:rsid w:val="00490B75"/>
    <w:rsid w:val="0049144E"/>
    <w:rsid w:val="0049209D"/>
    <w:rsid w:val="00492761"/>
    <w:rsid w:val="00492C3C"/>
    <w:rsid w:val="00493894"/>
    <w:rsid w:val="00493FA4"/>
    <w:rsid w:val="004941EB"/>
    <w:rsid w:val="0049422C"/>
    <w:rsid w:val="00494822"/>
    <w:rsid w:val="004948CE"/>
    <w:rsid w:val="00494EF4"/>
    <w:rsid w:val="00495F41"/>
    <w:rsid w:val="0049626F"/>
    <w:rsid w:val="0049679C"/>
    <w:rsid w:val="004A17EA"/>
    <w:rsid w:val="004A1B67"/>
    <w:rsid w:val="004A284A"/>
    <w:rsid w:val="004A34A9"/>
    <w:rsid w:val="004A396A"/>
    <w:rsid w:val="004A4CC5"/>
    <w:rsid w:val="004A5CED"/>
    <w:rsid w:val="004A6567"/>
    <w:rsid w:val="004A68B5"/>
    <w:rsid w:val="004A7599"/>
    <w:rsid w:val="004A7698"/>
    <w:rsid w:val="004A7ACE"/>
    <w:rsid w:val="004A7B71"/>
    <w:rsid w:val="004B0D39"/>
    <w:rsid w:val="004B1911"/>
    <w:rsid w:val="004B19CC"/>
    <w:rsid w:val="004B212C"/>
    <w:rsid w:val="004B3068"/>
    <w:rsid w:val="004B33C0"/>
    <w:rsid w:val="004B3460"/>
    <w:rsid w:val="004B39E8"/>
    <w:rsid w:val="004B3F82"/>
    <w:rsid w:val="004B45DB"/>
    <w:rsid w:val="004B50AB"/>
    <w:rsid w:val="004B697A"/>
    <w:rsid w:val="004B788E"/>
    <w:rsid w:val="004C021C"/>
    <w:rsid w:val="004C1032"/>
    <w:rsid w:val="004C1A0E"/>
    <w:rsid w:val="004C3724"/>
    <w:rsid w:val="004C3FB0"/>
    <w:rsid w:val="004C475B"/>
    <w:rsid w:val="004C4ACB"/>
    <w:rsid w:val="004C4B17"/>
    <w:rsid w:val="004C4F03"/>
    <w:rsid w:val="004C5289"/>
    <w:rsid w:val="004C5545"/>
    <w:rsid w:val="004C5CB2"/>
    <w:rsid w:val="004C6615"/>
    <w:rsid w:val="004C7630"/>
    <w:rsid w:val="004C7773"/>
    <w:rsid w:val="004C7D61"/>
    <w:rsid w:val="004D11F6"/>
    <w:rsid w:val="004D1B9E"/>
    <w:rsid w:val="004D29FC"/>
    <w:rsid w:val="004D338E"/>
    <w:rsid w:val="004D3B1F"/>
    <w:rsid w:val="004D73A4"/>
    <w:rsid w:val="004E174A"/>
    <w:rsid w:val="004E2170"/>
    <w:rsid w:val="004E227E"/>
    <w:rsid w:val="004E327B"/>
    <w:rsid w:val="004E3A4E"/>
    <w:rsid w:val="004E52CD"/>
    <w:rsid w:val="004E560C"/>
    <w:rsid w:val="004E5D6B"/>
    <w:rsid w:val="004E6563"/>
    <w:rsid w:val="004E71AE"/>
    <w:rsid w:val="004F087C"/>
    <w:rsid w:val="004F0D36"/>
    <w:rsid w:val="004F19C7"/>
    <w:rsid w:val="004F3945"/>
    <w:rsid w:val="004F467F"/>
    <w:rsid w:val="004F5C48"/>
    <w:rsid w:val="004F6167"/>
    <w:rsid w:val="004F6878"/>
    <w:rsid w:val="004F72B1"/>
    <w:rsid w:val="0050106F"/>
    <w:rsid w:val="00501499"/>
    <w:rsid w:val="00501CB1"/>
    <w:rsid w:val="00501D63"/>
    <w:rsid w:val="005025D5"/>
    <w:rsid w:val="00502664"/>
    <w:rsid w:val="00502665"/>
    <w:rsid w:val="005034CD"/>
    <w:rsid w:val="00504265"/>
    <w:rsid w:val="0050431F"/>
    <w:rsid w:val="00504B74"/>
    <w:rsid w:val="00504F56"/>
    <w:rsid w:val="00507620"/>
    <w:rsid w:val="00507806"/>
    <w:rsid w:val="00507F57"/>
    <w:rsid w:val="00510E2E"/>
    <w:rsid w:val="00510EF7"/>
    <w:rsid w:val="00511F72"/>
    <w:rsid w:val="00512713"/>
    <w:rsid w:val="0051311D"/>
    <w:rsid w:val="00513295"/>
    <w:rsid w:val="00514998"/>
    <w:rsid w:val="00514B67"/>
    <w:rsid w:val="00514D28"/>
    <w:rsid w:val="00514E71"/>
    <w:rsid w:val="00514FE0"/>
    <w:rsid w:val="005150A2"/>
    <w:rsid w:val="005154CB"/>
    <w:rsid w:val="00516896"/>
    <w:rsid w:val="005171EA"/>
    <w:rsid w:val="005176BC"/>
    <w:rsid w:val="00517856"/>
    <w:rsid w:val="005178AB"/>
    <w:rsid w:val="005206C8"/>
    <w:rsid w:val="00521440"/>
    <w:rsid w:val="00521503"/>
    <w:rsid w:val="00521C22"/>
    <w:rsid w:val="00522A21"/>
    <w:rsid w:val="0052451C"/>
    <w:rsid w:val="00525705"/>
    <w:rsid w:val="00526424"/>
    <w:rsid w:val="005266EC"/>
    <w:rsid w:val="005267F9"/>
    <w:rsid w:val="005279B7"/>
    <w:rsid w:val="00531574"/>
    <w:rsid w:val="00532C2D"/>
    <w:rsid w:val="005330F7"/>
    <w:rsid w:val="0053485F"/>
    <w:rsid w:val="00535B84"/>
    <w:rsid w:val="005360B8"/>
    <w:rsid w:val="005363EB"/>
    <w:rsid w:val="00536FF5"/>
    <w:rsid w:val="005377A5"/>
    <w:rsid w:val="0054016D"/>
    <w:rsid w:val="00540DC4"/>
    <w:rsid w:val="00541267"/>
    <w:rsid w:val="0054145B"/>
    <w:rsid w:val="005414E8"/>
    <w:rsid w:val="00541CA8"/>
    <w:rsid w:val="0054217E"/>
    <w:rsid w:val="005450C0"/>
    <w:rsid w:val="005452C8"/>
    <w:rsid w:val="005455BC"/>
    <w:rsid w:val="00545853"/>
    <w:rsid w:val="005459F3"/>
    <w:rsid w:val="00545D00"/>
    <w:rsid w:val="0054684D"/>
    <w:rsid w:val="0054698D"/>
    <w:rsid w:val="005469CD"/>
    <w:rsid w:val="00546CA8"/>
    <w:rsid w:val="00550790"/>
    <w:rsid w:val="00550CD7"/>
    <w:rsid w:val="00550D9A"/>
    <w:rsid w:val="005513AB"/>
    <w:rsid w:val="00551D2C"/>
    <w:rsid w:val="00552193"/>
    <w:rsid w:val="00552728"/>
    <w:rsid w:val="005530CB"/>
    <w:rsid w:val="00553DE5"/>
    <w:rsid w:val="0055415F"/>
    <w:rsid w:val="00554311"/>
    <w:rsid w:val="00554EA3"/>
    <w:rsid w:val="005554C3"/>
    <w:rsid w:val="00555578"/>
    <w:rsid w:val="005555C0"/>
    <w:rsid w:val="005567C8"/>
    <w:rsid w:val="00557061"/>
    <w:rsid w:val="00557557"/>
    <w:rsid w:val="00560D1E"/>
    <w:rsid w:val="0056147B"/>
    <w:rsid w:val="00562D4B"/>
    <w:rsid w:val="00563602"/>
    <w:rsid w:val="00563A8E"/>
    <w:rsid w:val="00564134"/>
    <w:rsid w:val="00565196"/>
    <w:rsid w:val="0056521B"/>
    <w:rsid w:val="00570CBB"/>
    <w:rsid w:val="00571149"/>
    <w:rsid w:val="0057132E"/>
    <w:rsid w:val="0057188A"/>
    <w:rsid w:val="00573CDD"/>
    <w:rsid w:val="005750B1"/>
    <w:rsid w:val="005759DE"/>
    <w:rsid w:val="00575EB8"/>
    <w:rsid w:val="005765F1"/>
    <w:rsid w:val="005805DC"/>
    <w:rsid w:val="00581BCE"/>
    <w:rsid w:val="0058295A"/>
    <w:rsid w:val="00582F87"/>
    <w:rsid w:val="0058336E"/>
    <w:rsid w:val="00584092"/>
    <w:rsid w:val="0058488A"/>
    <w:rsid w:val="00585A60"/>
    <w:rsid w:val="00586223"/>
    <w:rsid w:val="00586C43"/>
    <w:rsid w:val="00586FD5"/>
    <w:rsid w:val="00587186"/>
    <w:rsid w:val="005900D4"/>
    <w:rsid w:val="00590439"/>
    <w:rsid w:val="00590B8A"/>
    <w:rsid w:val="00590FED"/>
    <w:rsid w:val="00591655"/>
    <w:rsid w:val="0059204C"/>
    <w:rsid w:val="00593D9C"/>
    <w:rsid w:val="0059462D"/>
    <w:rsid w:val="00595127"/>
    <w:rsid w:val="0059540E"/>
    <w:rsid w:val="00596D21"/>
    <w:rsid w:val="005972F4"/>
    <w:rsid w:val="00597842"/>
    <w:rsid w:val="00597A23"/>
    <w:rsid w:val="00597DB7"/>
    <w:rsid w:val="00597F99"/>
    <w:rsid w:val="005A1AA6"/>
    <w:rsid w:val="005A28D4"/>
    <w:rsid w:val="005A2C2E"/>
    <w:rsid w:val="005A345F"/>
    <w:rsid w:val="005A3FCF"/>
    <w:rsid w:val="005A5B3E"/>
    <w:rsid w:val="005A62D8"/>
    <w:rsid w:val="005A677A"/>
    <w:rsid w:val="005A6989"/>
    <w:rsid w:val="005A70E0"/>
    <w:rsid w:val="005A7B59"/>
    <w:rsid w:val="005B0087"/>
    <w:rsid w:val="005B041E"/>
    <w:rsid w:val="005B0B5F"/>
    <w:rsid w:val="005B0E30"/>
    <w:rsid w:val="005B1203"/>
    <w:rsid w:val="005B2E21"/>
    <w:rsid w:val="005B37D0"/>
    <w:rsid w:val="005B3CA7"/>
    <w:rsid w:val="005B50BB"/>
    <w:rsid w:val="005B6529"/>
    <w:rsid w:val="005B6D30"/>
    <w:rsid w:val="005B7CC0"/>
    <w:rsid w:val="005C015A"/>
    <w:rsid w:val="005C1887"/>
    <w:rsid w:val="005C1AA5"/>
    <w:rsid w:val="005C1CE3"/>
    <w:rsid w:val="005C1F4E"/>
    <w:rsid w:val="005C2407"/>
    <w:rsid w:val="005C24B8"/>
    <w:rsid w:val="005C2565"/>
    <w:rsid w:val="005C2856"/>
    <w:rsid w:val="005C2927"/>
    <w:rsid w:val="005C2D11"/>
    <w:rsid w:val="005C344A"/>
    <w:rsid w:val="005C3A04"/>
    <w:rsid w:val="005C4579"/>
    <w:rsid w:val="005C52CD"/>
    <w:rsid w:val="005C6507"/>
    <w:rsid w:val="005C7477"/>
    <w:rsid w:val="005C7674"/>
    <w:rsid w:val="005D0012"/>
    <w:rsid w:val="005D0734"/>
    <w:rsid w:val="005D0888"/>
    <w:rsid w:val="005D09B6"/>
    <w:rsid w:val="005D158B"/>
    <w:rsid w:val="005D1F94"/>
    <w:rsid w:val="005D1FD6"/>
    <w:rsid w:val="005D26E9"/>
    <w:rsid w:val="005D2843"/>
    <w:rsid w:val="005D2D53"/>
    <w:rsid w:val="005D339D"/>
    <w:rsid w:val="005D34CE"/>
    <w:rsid w:val="005D3593"/>
    <w:rsid w:val="005D3D64"/>
    <w:rsid w:val="005D3E03"/>
    <w:rsid w:val="005D519B"/>
    <w:rsid w:val="005D520D"/>
    <w:rsid w:val="005D5387"/>
    <w:rsid w:val="005D53AF"/>
    <w:rsid w:val="005D5941"/>
    <w:rsid w:val="005D5C8C"/>
    <w:rsid w:val="005D6110"/>
    <w:rsid w:val="005D65BD"/>
    <w:rsid w:val="005D679E"/>
    <w:rsid w:val="005D690E"/>
    <w:rsid w:val="005D70B8"/>
    <w:rsid w:val="005D7299"/>
    <w:rsid w:val="005D73B5"/>
    <w:rsid w:val="005D73FF"/>
    <w:rsid w:val="005E041C"/>
    <w:rsid w:val="005E05A6"/>
    <w:rsid w:val="005E08CD"/>
    <w:rsid w:val="005E1826"/>
    <w:rsid w:val="005E1B16"/>
    <w:rsid w:val="005E1ED2"/>
    <w:rsid w:val="005E25F9"/>
    <w:rsid w:val="005E2CF2"/>
    <w:rsid w:val="005E2D5C"/>
    <w:rsid w:val="005E2DE0"/>
    <w:rsid w:val="005F11C8"/>
    <w:rsid w:val="005F1489"/>
    <w:rsid w:val="005F163F"/>
    <w:rsid w:val="005F1F13"/>
    <w:rsid w:val="005F236C"/>
    <w:rsid w:val="005F2980"/>
    <w:rsid w:val="005F2E64"/>
    <w:rsid w:val="005F414D"/>
    <w:rsid w:val="005F534D"/>
    <w:rsid w:val="005F6353"/>
    <w:rsid w:val="005F7652"/>
    <w:rsid w:val="00600E4B"/>
    <w:rsid w:val="00601273"/>
    <w:rsid w:val="0060130F"/>
    <w:rsid w:val="006041FD"/>
    <w:rsid w:val="0060422B"/>
    <w:rsid w:val="006043F4"/>
    <w:rsid w:val="00604479"/>
    <w:rsid w:val="00604AE8"/>
    <w:rsid w:val="00604B30"/>
    <w:rsid w:val="00605427"/>
    <w:rsid w:val="0060584D"/>
    <w:rsid w:val="00605B72"/>
    <w:rsid w:val="0060667B"/>
    <w:rsid w:val="00606F84"/>
    <w:rsid w:val="00607ABE"/>
    <w:rsid w:val="00607E34"/>
    <w:rsid w:val="006115B7"/>
    <w:rsid w:val="006121BC"/>
    <w:rsid w:val="006122BC"/>
    <w:rsid w:val="00612A38"/>
    <w:rsid w:val="006140B0"/>
    <w:rsid w:val="0061550F"/>
    <w:rsid w:val="006178F7"/>
    <w:rsid w:val="00617B6A"/>
    <w:rsid w:val="00617C71"/>
    <w:rsid w:val="00617CD7"/>
    <w:rsid w:val="00620EB1"/>
    <w:rsid w:val="00621A15"/>
    <w:rsid w:val="0062282E"/>
    <w:rsid w:val="00622B46"/>
    <w:rsid w:val="00623D54"/>
    <w:rsid w:val="00625277"/>
    <w:rsid w:val="00627029"/>
    <w:rsid w:val="0062753F"/>
    <w:rsid w:val="00632B62"/>
    <w:rsid w:val="0063389B"/>
    <w:rsid w:val="00633902"/>
    <w:rsid w:val="0063401F"/>
    <w:rsid w:val="00634184"/>
    <w:rsid w:val="00634289"/>
    <w:rsid w:val="00636E5F"/>
    <w:rsid w:val="00637600"/>
    <w:rsid w:val="0064004C"/>
    <w:rsid w:val="00640CE2"/>
    <w:rsid w:val="0064134A"/>
    <w:rsid w:val="00642443"/>
    <w:rsid w:val="0064262A"/>
    <w:rsid w:val="00642952"/>
    <w:rsid w:val="006429FA"/>
    <w:rsid w:val="00643510"/>
    <w:rsid w:val="0064381D"/>
    <w:rsid w:val="00645022"/>
    <w:rsid w:val="0064520E"/>
    <w:rsid w:val="006457DC"/>
    <w:rsid w:val="00645DC1"/>
    <w:rsid w:val="006469BF"/>
    <w:rsid w:val="00647969"/>
    <w:rsid w:val="00647BB0"/>
    <w:rsid w:val="006505D6"/>
    <w:rsid w:val="00650657"/>
    <w:rsid w:val="0065070F"/>
    <w:rsid w:val="006507C5"/>
    <w:rsid w:val="00651288"/>
    <w:rsid w:val="0065270F"/>
    <w:rsid w:val="00652A81"/>
    <w:rsid w:val="006531FE"/>
    <w:rsid w:val="0065478A"/>
    <w:rsid w:val="00654DDE"/>
    <w:rsid w:val="00654E61"/>
    <w:rsid w:val="00654FE4"/>
    <w:rsid w:val="0065709B"/>
    <w:rsid w:val="006572DE"/>
    <w:rsid w:val="00657768"/>
    <w:rsid w:val="00657AEF"/>
    <w:rsid w:val="00657D62"/>
    <w:rsid w:val="00657F9A"/>
    <w:rsid w:val="00660141"/>
    <w:rsid w:val="006611A4"/>
    <w:rsid w:val="006613EB"/>
    <w:rsid w:val="006616E5"/>
    <w:rsid w:val="00662497"/>
    <w:rsid w:val="006646C5"/>
    <w:rsid w:val="00664771"/>
    <w:rsid w:val="00664A00"/>
    <w:rsid w:val="00665476"/>
    <w:rsid w:val="00665A31"/>
    <w:rsid w:val="00666357"/>
    <w:rsid w:val="006672AF"/>
    <w:rsid w:val="00670A9E"/>
    <w:rsid w:val="00671BB7"/>
    <w:rsid w:val="00671F53"/>
    <w:rsid w:val="006722B4"/>
    <w:rsid w:val="006733DC"/>
    <w:rsid w:val="006733F3"/>
    <w:rsid w:val="006735DC"/>
    <w:rsid w:val="00676326"/>
    <w:rsid w:val="00677089"/>
    <w:rsid w:val="00677970"/>
    <w:rsid w:val="00680475"/>
    <w:rsid w:val="006806C9"/>
    <w:rsid w:val="006823FC"/>
    <w:rsid w:val="00682EA7"/>
    <w:rsid w:val="0068377A"/>
    <w:rsid w:val="006861CE"/>
    <w:rsid w:val="00686C8F"/>
    <w:rsid w:val="006871DF"/>
    <w:rsid w:val="00687D19"/>
    <w:rsid w:val="00690645"/>
    <w:rsid w:val="0069095C"/>
    <w:rsid w:val="00691F3B"/>
    <w:rsid w:val="0069286F"/>
    <w:rsid w:val="00692C59"/>
    <w:rsid w:val="00693E04"/>
    <w:rsid w:val="00693FE3"/>
    <w:rsid w:val="00694514"/>
    <w:rsid w:val="00694681"/>
    <w:rsid w:val="006956AB"/>
    <w:rsid w:val="00695E26"/>
    <w:rsid w:val="00697404"/>
    <w:rsid w:val="00697619"/>
    <w:rsid w:val="006A114C"/>
    <w:rsid w:val="006A23C2"/>
    <w:rsid w:val="006A3747"/>
    <w:rsid w:val="006A3ACD"/>
    <w:rsid w:val="006A3BD9"/>
    <w:rsid w:val="006A606A"/>
    <w:rsid w:val="006A624E"/>
    <w:rsid w:val="006A6A85"/>
    <w:rsid w:val="006A6BA2"/>
    <w:rsid w:val="006B00B8"/>
    <w:rsid w:val="006B255B"/>
    <w:rsid w:val="006B2A3E"/>
    <w:rsid w:val="006B2D68"/>
    <w:rsid w:val="006B2ED5"/>
    <w:rsid w:val="006B3778"/>
    <w:rsid w:val="006B4892"/>
    <w:rsid w:val="006B4899"/>
    <w:rsid w:val="006B4DD4"/>
    <w:rsid w:val="006B5342"/>
    <w:rsid w:val="006B5401"/>
    <w:rsid w:val="006B6BF1"/>
    <w:rsid w:val="006B6FD2"/>
    <w:rsid w:val="006B7424"/>
    <w:rsid w:val="006B7E92"/>
    <w:rsid w:val="006C082B"/>
    <w:rsid w:val="006C0924"/>
    <w:rsid w:val="006C0D35"/>
    <w:rsid w:val="006C10CC"/>
    <w:rsid w:val="006C142E"/>
    <w:rsid w:val="006C22EB"/>
    <w:rsid w:val="006C3338"/>
    <w:rsid w:val="006C411C"/>
    <w:rsid w:val="006C4135"/>
    <w:rsid w:val="006C5170"/>
    <w:rsid w:val="006C7535"/>
    <w:rsid w:val="006C7818"/>
    <w:rsid w:val="006C7867"/>
    <w:rsid w:val="006D15D2"/>
    <w:rsid w:val="006D2A23"/>
    <w:rsid w:val="006D3F01"/>
    <w:rsid w:val="006D3FF1"/>
    <w:rsid w:val="006D455A"/>
    <w:rsid w:val="006D5060"/>
    <w:rsid w:val="006D5785"/>
    <w:rsid w:val="006D5DCE"/>
    <w:rsid w:val="006D6C7F"/>
    <w:rsid w:val="006D7522"/>
    <w:rsid w:val="006E08E8"/>
    <w:rsid w:val="006E0AC3"/>
    <w:rsid w:val="006E1015"/>
    <w:rsid w:val="006E169C"/>
    <w:rsid w:val="006E1FB4"/>
    <w:rsid w:val="006E2625"/>
    <w:rsid w:val="006E2B22"/>
    <w:rsid w:val="006E2E56"/>
    <w:rsid w:val="006E3E2E"/>
    <w:rsid w:val="006E3EA1"/>
    <w:rsid w:val="006E458C"/>
    <w:rsid w:val="006E45F2"/>
    <w:rsid w:val="006E4760"/>
    <w:rsid w:val="006E7045"/>
    <w:rsid w:val="006E7DB2"/>
    <w:rsid w:val="006F09C3"/>
    <w:rsid w:val="006F16D0"/>
    <w:rsid w:val="006F1CD7"/>
    <w:rsid w:val="006F26A2"/>
    <w:rsid w:val="006F3C7A"/>
    <w:rsid w:val="006F5122"/>
    <w:rsid w:val="006F59B1"/>
    <w:rsid w:val="006F659D"/>
    <w:rsid w:val="006F6735"/>
    <w:rsid w:val="006F74C7"/>
    <w:rsid w:val="006F7C72"/>
    <w:rsid w:val="007017E2"/>
    <w:rsid w:val="00701938"/>
    <w:rsid w:val="0070307A"/>
    <w:rsid w:val="00703C85"/>
    <w:rsid w:val="00704361"/>
    <w:rsid w:val="007053A2"/>
    <w:rsid w:val="00705E0B"/>
    <w:rsid w:val="00705FB4"/>
    <w:rsid w:val="00706445"/>
    <w:rsid w:val="00706536"/>
    <w:rsid w:val="00706720"/>
    <w:rsid w:val="007079FE"/>
    <w:rsid w:val="0071103A"/>
    <w:rsid w:val="00711606"/>
    <w:rsid w:val="0071336F"/>
    <w:rsid w:val="00713D8A"/>
    <w:rsid w:val="00713FDA"/>
    <w:rsid w:val="00714C2A"/>
    <w:rsid w:val="0071503C"/>
    <w:rsid w:val="00716029"/>
    <w:rsid w:val="00716F89"/>
    <w:rsid w:val="007201D7"/>
    <w:rsid w:val="007203FD"/>
    <w:rsid w:val="007204DA"/>
    <w:rsid w:val="00721657"/>
    <w:rsid w:val="007217BB"/>
    <w:rsid w:val="00721E3B"/>
    <w:rsid w:val="0072221F"/>
    <w:rsid w:val="0072229A"/>
    <w:rsid w:val="007224C2"/>
    <w:rsid w:val="0072277E"/>
    <w:rsid w:val="007230CF"/>
    <w:rsid w:val="007236E6"/>
    <w:rsid w:val="00723E5E"/>
    <w:rsid w:val="00724176"/>
    <w:rsid w:val="007249FC"/>
    <w:rsid w:val="007251FF"/>
    <w:rsid w:val="0072715A"/>
    <w:rsid w:val="00727536"/>
    <w:rsid w:val="007314E9"/>
    <w:rsid w:val="00731801"/>
    <w:rsid w:val="007329AD"/>
    <w:rsid w:val="00735FB8"/>
    <w:rsid w:val="007374E5"/>
    <w:rsid w:val="0073776E"/>
    <w:rsid w:val="00740754"/>
    <w:rsid w:val="00740A6D"/>
    <w:rsid w:val="00741061"/>
    <w:rsid w:val="007419F5"/>
    <w:rsid w:val="00741BB7"/>
    <w:rsid w:val="00742181"/>
    <w:rsid w:val="007425A6"/>
    <w:rsid w:val="007428D0"/>
    <w:rsid w:val="00742DEB"/>
    <w:rsid w:val="00742E73"/>
    <w:rsid w:val="00743337"/>
    <w:rsid w:val="00743465"/>
    <w:rsid w:val="00743D84"/>
    <w:rsid w:val="00744D9B"/>
    <w:rsid w:val="0074550A"/>
    <w:rsid w:val="007455FE"/>
    <w:rsid w:val="00745AD4"/>
    <w:rsid w:val="00745E99"/>
    <w:rsid w:val="007463A3"/>
    <w:rsid w:val="007468F0"/>
    <w:rsid w:val="007500F3"/>
    <w:rsid w:val="007502A3"/>
    <w:rsid w:val="00750B7B"/>
    <w:rsid w:val="00750CDF"/>
    <w:rsid w:val="007512AA"/>
    <w:rsid w:val="007516DA"/>
    <w:rsid w:val="00751F52"/>
    <w:rsid w:val="00752100"/>
    <w:rsid w:val="007521BE"/>
    <w:rsid w:val="00753711"/>
    <w:rsid w:val="00754654"/>
    <w:rsid w:val="007551EE"/>
    <w:rsid w:val="00755963"/>
    <w:rsid w:val="007569A1"/>
    <w:rsid w:val="00756B2A"/>
    <w:rsid w:val="00756F01"/>
    <w:rsid w:val="00760A0E"/>
    <w:rsid w:val="00760D19"/>
    <w:rsid w:val="00761BE4"/>
    <w:rsid w:val="00761E07"/>
    <w:rsid w:val="00762880"/>
    <w:rsid w:val="007640D0"/>
    <w:rsid w:val="007640D7"/>
    <w:rsid w:val="00766268"/>
    <w:rsid w:val="00766CDA"/>
    <w:rsid w:val="00766DDB"/>
    <w:rsid w:val="00771043"/>
    <w:rsid w:val="00771E86"/>
    <w:rsid w:val="007724D4"/>
    <w:rsid w:val="007728D3"/>
    <w:rsid w:val="00774071"/>
    <w:rsid w:val="00774B87"/>
    <w:rsid w:val="00774E15"/>
    <w:rsid w:val="00775000"/>
    <w:rsid w:val="00775303"/>
    <w:rsid w:val="007757AA"/>
    <w:rsid w:val="0077707B"/>
    <w:rsid w:val="00777CAB"/>
    <w:rsid w:val="00780404"/>
    <w:rsid w:val="0078186E"/>
    <w:rsid w:val="00782CEA"/>
    <w:rsid w:val="00782E5B"/>
    <w:rsid w:val="0078330F"/>
    <w:rsid w:val="00784080"/>
    <w:rsid w:val="0078540D"/>
    <w:rsid w:val="00785410"/>
    <w:rsid w:val="00785E9A"/>
    <w:rsid w:val="007869BB"/>
    <w:rsid w:val="00790D77"/>
    <w:rsid w:val="007913EB"/>
    <w:rsid w:val="007917D0"/>
    <w:rsid w:val="0079434A"/>
    <w:rsid w:val="007948D7"/>
    <w:rsid w:val="00794D39"/>
    <w:rsid w:val="0079567F"/>
    <w:rsid w:val="007978B4"/>
    <w:rsid w:val="00797D14"/>
    <w:rsid w:val="00797D53"/>
    <w:rsid w:val="007A05A1"/>
    <w:rsid w:val="007A075E"/>
    <w:rsid w:val="007A0DB2"/>
    <w:rsid w:val="007A1026"/>
    <w:rsid w:val="007A1CB5"/>
    <w:rsid w:val="007A2762"/>
    <w:rsid w:val="007A2D8C"/>
    <w:rsid w:val="007A347E"/>
    <w:rsid w:val="007A3DCE"/>
    <w:rsid w:val="007A4123"/>
    <w:rsid w:val="007A48A1"/>
    <w:rsid w:val="007A5F33"/>
    <w:rsid w:val="007A6AB8"/>
    <w:rsid w:val="007A6E7A"/>
    <w:rsid w:val="007A7938"/>
    <w:rsid w:val="007A7E00"/>
    <w:rsid w:val="007B0D06"/>
    <w:rsid w:val="007B0E22"/>
    <w:rsid w:val="007B4167"/>
    <w:rsid w:val="007B435F"/>
    <w:rsid w:val="007B447E"/>
    <w:rsid w:val="007B45C0"/>
    <w:rsid w:val="007B4852"/>
    <w:rsid w:val="007B5DF9"/>
    <w:rsid w:val="007B65B3"/>
    <w:rsid w:val="007B6DB0"/>
    <w:rsid w:val="007C14C2"/>
    <w:rsid w:val="007C1F5B"/>
    <w:rsid w:val="007C3540"/>
    <w:rsid w:val="007C3CD3"/>
    <w:rsid w:val="007C530F"/>
    <w:rsid w:val="007C5BA4"/>
    <w:rsid w:val="007C6613"/>
    <w:rsid w:val="007C6B01"/>
    <w:rsid w:val="007C6B7B"/>
    <w:rsid w:val="007C70E8"/>
    <w:rsid w:val="007C754B"/>
    <w:rsid w:val="007D0D32"/>
    <w:rsid w:val="007D183A"/>
    <w:rsid w:val="007D2E92"/>
    <w:rsid w:val="007D2F1A"/>
    <w:rsid w:val="007D358A"/>
    <w:rsid w:val="007D4892"/>
    <w:rsid w:val="007D51CB"/>
    <w:rsid w:val="007D54CD"/>
    <w:rsid w:val="007D5B51"/>
    <w:rsid w:val="007D5B7A"/>
    <w:rsid w:val="007D64CA"/>
    <w:rsid w:val="007D6D29"/>
    <w:rsid w:val="007D7684"/>
    <w:rsid w:val="007E035D"/>
    <w:rsid w:val="007E099C"/>
    <w:rsid w:val="007E2537"/>
    <w:rsid w:val="007E346E"/>
    <w:rsid w:val="007E407D"/>
    <w:rsid w:val="007E59E7"/>
    <w:rsid w:val="007E7978"/>
    <w:rsid w:val="007F0B66"/>
    <w:rsid w:val="007F123F"/>
    <w:rsid w:val="007F1949"/>
    <w:rsid w:val="007F23C8"/>
    <w:rsid w:val="007F246D"/>
    <w:rsid w:val="007F2F2E"/>
    <w:rsid w:val="007F3550"/>
    <w:rsid w:val="007F4032"/>
    <w:rsid w:val="007F4DA9"/>
    <w:rsid w:val="007F5561"/>
    <w:rsid w:val="007F5F6D"/>
    <w:rsid w:val="007F78C2"/>
    <w:rsid w:val="007F7A51"/>
    <w:rsid w:val="007F7F57"/>
    <w:rsid w:val="00801156"/>
    <w:rsid w:val="00801202"/>
    <w:rsid w:val="0080123C"/>
    <w:rsid w:val="008033AD"/>
    <w:rsid w:val="00804A69"/>
    <w:rsid w:val="00804CA8"/>
    <w:rsid w:val="00805408"/>
    <w:rsid w:val="00805599"/>
    <w:rsid w:val="00805C38"/>
    <w:rsid w:val="00805F3A"/>
    <w:rsid w:val="008101E9"/>
    <w:rsid w:val="00814686"/>
    <w:rsid w:val="0081562C"/>
    <w:rsid w:val="008157F3"/>
    <w:rsid w:val="00816D1A"/>
    <w:rsid w:val="00817941"/>
    <w:rsid w:val="00817A71"/>
    <w:rsid w:val="00817F10"/>
    <w:rsid w:val="00820F01"/>
    <w:rsid w:val="00821D84"/>
    <w:rsid w:val="008220CD"/>
    <w:rsid w:val="00823993"/>
    <w:rsid w:val="00823D1C"/>
    <w:rsid w:val="008256DD"/>
    <w:rsid w:val="00825E22"/>
    <w:rsid w:val="0082621B"/>
    <w:rsid w:val="00826E3E"/>
    <w:rsid w:val="00827DB5"/>
    <w:rsid w:val="00830557"/>
    <w:rsid w:val="008321A5"/>
    <w:rsid w:val="008321BE"/>
    <w:rsid w:val="008323BA"/>
    <w:rsid w:val="008327DA"/>
    <w:rsid w:val="008335BF"/>
    <w:rsid w:val="00833C8C"/>
    <w:rsid w:val="00834841"/>
    <w:rsid w:val="008351E5"/>
    <w:rsid w:val="00835AFC"/>
    <w:rsid w:val="00836186"/>
    <w:rsid w:val="008366B6"/>
    <w:rsid w:val="0083713E"/>
    <w:rsid w:val="00837278"/>
    <w:rsid w:val="00837318"/>
    <w:rsid w:val="008401F0"/>
    <w:rsid w:val="00840207"/>
    <w:rsid w:val="00840A3F"/>
    <w:rsid w:val="00840D8B"/>
    <w:rsid w:val="0084164E"/>
    <w:rsid w:val="00843A34"/>
    <w:rsid w:val="00843C0F"/>
    <w:rsid w:val="00844EBD"/>
    <w:rsid w:val="008453B4"/>
    <w:rsid w:val="0084605D"/>
    <w:rsid w:val="00846233"/>
    <w:rsid w:val="00846B41"/>
    <w:rsid w:val="008471E4"/>
    <w:rsid w:val="008477A9"/>
    <w:rsid w:val="00850BE0"/>
    <w:rsid w:val="008519C2"/>
    <w:rsid w:val="008524D8"/>
    <w:rsid w:val="00853E16"/>
    <w:rsid w:val="00854C25"/>
    <w:rsid w:val="00855011"/>
    <w:rsid w:val="00857835"/>
    <w:rsid w:val="0086002A"/>
    <w:rsid w:val="00860088"/>
    <w:rsid w:val="0086069C"/>
    <w:rsid w:val="00860E61"/>
    <w:rsid w:val="008624C2"/>
    <w:rsid w:val="008640F3"/>
    <w:rsid w:val="008645BE"/>
    <w:rsid w:val="00866B4F"/>
    <w:rsid w:val="00867A10"/>
    <w:rsid w:val="00867A5F"/>
    <w:rsid w:val="00871410"/>
    <w:rsid w:val="008716F6"/>
    <w:rsid w:val="00871E7E"/>
    <w:rsid w:val="00875AC9"/>
    <w:rsid w:val="00876234"/>
    <w:rsid w:val="0087627C"/>
    <w:rsid w:val="0087683C"/>
    <w:rsid w:val="00877213"/>
    <w:rsid w:val="00877922"/>
    <w:rsid w:val="00877ADF"/>
    <w:rsid w:val="00877B57"/>
    <w:rsid w:val="008804D0"/>
    <w:rsid w:val="008805CC"/>
    <w:rsid w:val="00881D17"/>
    <w:rsid w:val="00882FC7"/>
    <w:rsid w:val="0088336E"/>
    <w:rsid w:val="008836BE"/>
    <w:rsid w:val="00884784"/>
    <w:rsid w:val="008849CA"/>
    <w:rsid w:val="00884F89"/>
    <w:rsid w:val="00885F3F"/>
    <w:rsid w:val="0088606D"/>
    <w:rsid w:val="00891148"/>
    <w:rsid w:val="00891506"/>
    <w:rsid w:val="008915E4"/>
    <w:rsid w:val="0089191D"/>
    <w:rsid w:val="00891982"/>
    <w:rsid w:val="00891C35"/>
    <w:rsid w:val="00891D27"/>
    <w:rsid w:val="00891F92"/>
    <w:rsid w:val="008921BB"/>
    <w:rsid w:val="008925DD"/>
    <w:rsid w:val="008927E4"/>
    <w:rsid w:val="008932BC"/>
    <w:rsid w:val="00894124"/>
    <w:rsid w:val="008963DE"/>
    <w:rsid w:val="00896CB9"/>
    <w:rsid w:val="008972AD"/>
    <w:rsid w:val="008A146C"/>
    <w:rsid w:val="008A1656"/>
    <w:rsid w:val="008A24CC"/>
    <w:rsid w:val="008A4EF7"/>
    <w:rsid w:val="008A51F9"/>
    <w:rsid w:val="008A5835"/>
    <w:rsid w:val="008A58FF"/>
    <w:rsid w:val="008A5926"/>
    <w:rsid w:val="008A5C85"/>
    <w:rsid w:val="008A671F"/>
    <w:rsid w:val="008A6D7A"/>
    <w:rsid w:val="008A6EC3"/>
    <w:rsid w:val="008A739A"/>
    <w:rsid w:val="008B035E"/>
    <w:rsid w:val="008B0FB7"/>
    <w:rsid w:val="008B111B"/>
    <w:rsid w:val="008B3BD8"/>
    <w:rsid w:val="008B4381"/>
    <w:rsid w:val="008B4985"/>
    <w:rsid w:val="008B53B3"/>
    <w:rsid w:val="008B5DD1"/>
    <w:rsid w:val="008B613C"/>
    <w:rsid w:val="008B64C7"/>
    <w:rsid w:val="008B76BF"/>
    <w:rsid w:val="008C109F"/>
    <w:rsid w:val="008C1730"/>
    <w:rsid w:val="008C197C"/>
    <w:rsid w:val="008C2EFD"/>
    <w:rsid w:val="008C2FA6"/>
    <w:rsid w:val="008C3A02"/>
    <w:rsid w:val="008C3C7A"/>
    <w:rsid w:val="008C4496"/>
    <w:rsid w:val="008C4827"/>
    <w:rsid w:val="008C588A"/>
    <w:rsid w:val="008C5B7C"/>
    <w:rsid w:val="008C7BBD"/>
    <w:rsid w:val="008D1984"/>
    <w:rsid w:val="008D1C42"/>
    <w:rsid w:val="008D25D6"/>
    <w:rsid w:val="008D3358"/>
    <w:rsid w:val="008D38CF"/>
    <w:rsid w:val="008D3FAF"/>
    <w:rsid w:val="008D4976"/>
    <w:rsid w:val="008D4D46"/>
    <w:rsid w:val="008D69B1"/>
    <w:rsid w:val="008D70BB"/>
    <w:rsid w:val="008D71C2"/>
    <w:rsid w:val="008D7D4C"/>
    <w:rsid w:val="008E0F8A"/>
    <w:rsid w:val="008E12F5"/>
    <w:rsid w:val="008E157A"/>
    <w:rsid w:val="008E157D"/>
    <w:rsid w:val="008E1C38"/>
    <w:rsid w:val="008E422E"/>
    <w:rsid w:val="008E558B"/>
    <w:rsid w:val="008E6833"/>
    <w:rsid w:val="008E694F"/>
    <w:rsid w:val="008E6DE7"/>
    <w:rsid w:val="008E7D57"/>
    <w:rsid w:val="008E7E12"/>
    <w:rsid w:val="008F1ACB"/>
    <w:rsid w:val="008F1E61"/>
    <w:rsid w:val="008F24B0"/>
    <w:rsid w:val="008F2D6C"/>
    <w:rsid w:val="008F4AF9"/>
    <w:rsid w:val="008F5359"/>
    <w:rsid w:val="008F5C39"/>
    <w:rsid w:val="008F66E3"/>
    <w:rsid w:val="008F6E5F"/>
    <w:rsid w:val="008F6FBF"/>
    <w:rsid w:val="00900A62"/>
    <w:rsid w:val="00900CA2"/>
    <w:rsid w:val="00900EC4"/>
    <w:rsid w:val="009012E4"/>
    <w:rsid w:val="00901BF0"/>
    <w:rsid w:val="00902047"/>
    <w:rsid w:val="00902441"/>
    <w:rsid w:val="0090376D"/>
    <w:rsid w:val="00905285"/>
    <w:rsid w:val="00905DDC"/>
    <w:rsid w:val="00905E05"/>
    <w:rsid w:val="00907258"/>
    <w:rsid w:val="00910615"/>
    <w:rsid w:val="00911A5F"/>
    <w:rsid w:val="00911C9D"/>
    <w:rsid w:val="00912234"/>
    <w:rsid w:val="00912C9D"/>
    <w:rsid w:val="009131D1"/>
    <w:rsid w:val="00913990"/>
    <w:rsid w:val="0091400F"/>
    <w:rsid w:val="009157F4"/>
    <w:rsid w:val="00916300"/>
    <w:rsid w:val="009168B9"/>
    <w:rsid w:val="009175E0"/>
    <w:rsid w:val="00920497"/>
    <w:rsid w:val="00921523"/>
    <w:rsid w:val="00922CDA"/>
    <w:rsid w:val="00923842"/>
    <w:rsid w:val="00923C8B"/>
    <w:rsid w:val="00924848"/>
    <w:rsid w:val="00925CA5"/>
    <w:rsid w:val="00925EAC"/>
    <w:rsid w:val="00926174"/>
    <w:rsid w:val="00926314"/>
    <w:rsid w:val="0092664C"/>
    <w:rsid w:val="00926D1E"/>
    <w:rsid w:val="0093084A"/>
    <w:rsid w:val="00931581"/>
    <w:rsid w:val="0093219A"/>
    <w:rsid w:val="00932B4B"/>
    <w:rsid w:val="00932CA9"/>
    <w:rsid w:val="009343E9"/>
    <w:rsid w:val="00934C06"/>
    <w:rsid w:val="009364F9"/>
    <w:rsid w:val="009366F9"/>
    <w:rsid w:val="0093693D"/>
    <w:rsid w:val="00937C54"/>
    <w:rsid w:val="009409F1"/>
    <w:rsid w:val="00940DAC"/>
    <w:rsid w:val="00941030"/>
    <w:rsid w:val="00941318"/>
    <w:rsid w:val="00941818"/>
    <w:rsid w:val="00943751"/>
    <w:rsid w:val="00943CD2"/>
    <w:rsid w:val="009444CA"/>
    <w:rsid w:val="00945686"/>
    <w:rsid w:val="00947368"/>
    <w:rsid w:val="00947847"/>
    <w:rsid w:val="009505DF"/>
    <w:rsid w:val="009515F0"/>
    <w:rsid w:val="00951DD0"/>
    <w:rsid w:val="00952387"/>
    <w:rsid w:val="00952D30"/>
    <w:rsid w:val="00952D7D"/>
    <w:rsid w:val="009532ED"/>
    <w:rsid w:val="0095468B"/>
    <w:rsid w:val="0095569F"/>
    <w:rsid w:val="00955B2E"/>
    <w:rsid w:val="00955D48"/>
    <w:rsid w:val="00955E97"/>
    <w:rsid w:val="009564BA"/>
    <w:rsid w:val="00956C2C"/>
    <w:rsid w:val="009572D7"/>
    <w:rsid w:val="009603B4"/>
    <w:rsid w:val="00960753"/>
    <w:rsid w:val="00960F85"/>
    <w:rsid w:val="00962E2F"/>
    <w:rsid w:val="009632F1"/>
    <w:rsid w:val="00963325"/>
    <w:rsid w:val="00965061"/>
    <w:rsid w:val="009651A6"/>
    <w:rsid w:val="009651F5"/>
    <w:rsid w:val="009678A3"/>
    <w:rsid w:val="00967935"/>
    <w:rsid w:val="00967ACD"/>
    <w:rsid w:val="00970B75"/>
    <w:rsid w:val="00970F7D"/>
    <w:rsid w:val="00972C1F"/>
    <w:rsid w:val="0097422A"/>
    <w:rsid w:val="00974992"/>
    <w:rsid w:val="009749FC"/>
    <w:rsid w:val="00974FB0"/>
    <w:rsid w:val="00974FCD"/>
    <w:rsid w:val="00975DFC"/>
    <w:rsid w:val="00976016"/>
    <w:rsid w:val="0097614B"/>
    <w:rsid w:val="00976BE3"/>
    <w:rsid w:val="0097716C"/>
    <w:rsid w:val="00977423"/>
    <w:rsid w:val="00977445"/>
    <w:rsid w:val="009779EB"/>
    <w:rsid w:val="00977BC5"/>
    <w:rsid w:val="00980507"/>
    <w:rsid w:val="009808DF"/>
    <w:rsid w:val="00980949"/>
    <w:rsid w:val="00981C91"/>
    <w:rsid w:val="00982663"/>
    <w:rsid w:val="0098348E"/>
    <w:rsid w:val="009837DB"/>
    <w:rsid w:val="009846E0"/>
    <w:rsid w:val="00985143"/>
    <w:rsid w:val="00985B7C"/>
    <w:rsid w:val="00985F78"/>
    <w:rsid w:val="009863CD"/>
    <w:rsid w:val="009868EE"/>
    <w:rsid w:val="00986A96"/>
    <w:rsid w:val="00987AC6"/>
    <w:rsid w:val="009906C4"/>
    <w:rsid w:val="0099095C"/>
    <w:rsid w:val="0099166F"/>
    <w:rsid w:val="00991D8B"/>
    <w:rsid w:val="00992351"/>
    <w:rsid w:val="009926B0"/>
    <w:rsid w:val="009936DD"/>
    <w:rsid w:val="00993EA1"/>
    <w:rsid w:val="009940A4"/>
    <w:rsid w:val="00995301"/>
    <w:rsid w:val="009958DB"/>
    <w:rsid w:val="00995BD8"/>
    <w:rsid w:val="00996787"/>
    <w:rsid w:val="00996DF4"/>
    <w:rsid w:val="009A1CF5"/>
    <w:rsid w:val="009A1DBA"/>
    <w:rsid w:val="009A2199"/>
    <w:rsid w:val="009A29CC"/>
    <w:rsid w:val="009A4015"/>
    <w:rsid w:val="009A410E"/>
    <w:rsid w:val="009A51FF"/>
    <w:rsid w:val="009A5200"/>
    <w:rsid w:val="009A64F7"/>
    <w:rsid w:val="009A6633"/>
    <w:rsid w:val="009A690D"/>
    <w:rsid w:val="009A6EA3"/>
    <w:rsid w:val="009A7909"/>
    <w:rsid w:val="009B0E48"/>
    <w:rsid w:val="009B1032"/>
    <w:rsid w:val="009B1886"/>
    <w:rsid w:val="009B1973"/>
    <w:rsid w:val="009B1A52"/>
    <w:rsid w:val="009B2950"/>
    <w:rsid w:val="009B2F14"/>
    <w:rsid w:val="009B3C4E"/>
    <w:rsid w:val="009B4932"/>
    <w:rsid w:val="009B4FA3"/>
    <w:rsid w:val="009B556B"/>
    <w:rsid w:val="009B5920"/>
    <w:rsid w:val="009B67AE"/>
    <w:rsid w:val="009B732D"/>
    <w:rsid w:val="009C0DBE"/>
    <w:rsid w:val="009C1120"/>
    <w:rsid w:val="009C153E"/>
    <w:rsid w:val="009C1582"/>
    <w:rsid w:val="009C2B5A"/>
    <w:rsid w:val="009C2BD5"/>
    <w:rsid w:val="009C3003"/>
    <w:rsid w:val="009C43EC"/>
    <w:rsid w:val="009C51BB"/>
    <w:rsid w:val="009C5EDD"/>
    <w:rsid w:val="009C5F7D"/>
    <w:rsid w:val="009C6C6B"/>
    <w:rsid w:val="009D0085"/>
    <w:rsid w:val="009D00C1"/>
    <w:rsid w:val="009D0C7C"/>
    <w:rsid w:val="009D1F80"/>
    <w:rsid w:val="009D27E1"/>
    <w:rsid w:val="009D2D59"/>
    <w:rsid w:val="009D36F6"/>
    <w:rsid w:val="009D4388"/>
    <w:rsid w:val="009D464A"/>
    <w:rsid w:val="009D4722"/>
    <w:rsid w:val="009D506F"/>
    <w:rsid w:val="009D5400"/>
    <w:rsid w:val="009D54DF"/>
    <w:rsid w:val="009D5563"/>
    <w:rsid w:val="009D6C85"/>
    <w:rsid w:val="009D70A3"/>
    <w:rsid w:val="009E0494"/>
    <w:rsid w:val="009E0EF5"/>
    <w:rsid w:val="009E1B63"/>
    <w:rsid w:val="009E1E3F"/>
    <w:rsid w:val="009E34F4"/>
    <w:rsid w:val="009E35F0"/>
    <w:rsid w:val="009E3BCC"/>
    <w:rsid w:val="009E40FE"/>
    <w:rsid w:val="009E5C5C"/>
    <w:rsid w:val="009E695B"/>
    <w:rsid w:val="009F0512"/>
    <w:rsid w:val="009F0C6F"/>
    <w:rsid w:val="009F14E4"/>
    <w:rsid w:val="009F1B36"/>
    <w:rsid w:val="009F212E"/>
    <w:rsid w:val="009F2DF1"/>
    <w:rsid w:val="009F3A32"/>
    <w:rsid w:val="009F4623"/>
    <w:rsid w:val="009F5939"/>
    <w:rsid w:val="009F5FAA"/>
    <w:rsid w:val="009F68D8"/>
    <w:rsid w:val="009F6F15"/>
    <w:rsid w:val="009F7EBA"/>
    <w:rsid w:val="00A00B64"/>
    <w:rsid w:val="00A012F9"/>
    <w:rsid w:val="00A01BC4"/>
    <w:rsid w:val="00A02B11"/>
    <w:rsid w:val="00A039C5"/>
    <w:rsid w:val="00A03A12"/>
    <w:rsid w:val="00A05175"/>
    <w:rsid w:val="00A0638A"/>
    <w:rsid w:val="00A06C51"/>
    <w:rsid w:val="00A07B7A"/>
    <w:rsid w:val="00A108AC"/>
    <w:rsid w:val="00A1214F"/>
    <w:rsid w:val="00A121A9"/>
    <w:rsid w:val="00A127D1"/>
    <w:rsid w:val="00A12A56"/>
    <w:rsid w:val="00A1318D"/>
    <w:rsid w:val="00A136AF"/>
    <w:rsid w:val="00A137F9"/>
    <w:rsid w:val="00A13C49"/>
    <w:rsid w:val="00A162AD"/>
    <w:rsid w:val="00A167CC"/>
    <w:rsid w:val="00A17067"/>
    <w:rsid w:val="00A17413"/>
    <w:rsid w:val="00A17DFA"/>
    <w:rsid w:val="00A20FFF"/>
    <w:rsid w:val="00A2119C"/>
    <w:rsid w:val="00A21D60"/>
    <w:rsid w:val="00A23C35"/>
    <w:rsid w:val="00A23DB9"/>
    <w:rsid w:val="00A23E4D"/>
    <w:rsid w:val="00A245E8"/>
    <w:rsid w:val="00A253E4"/>
    <w:rsid w:val="00A25CD2"/>
    <w:rsid w:val="00A264A5"/>
    <w:rsid w:val="00A26619"/>
    <w:rsid w:val="00A27BD8"/>
    <w:rsid w:val="00A300A0"/>
    <w:rsid w:val="00A30342"/>
    <w:rsid w:val="00A3039F"/>
    <w:rsid w:val="00A314A0"/>
    <w:rsid w:val="00A3152A"/>
    <w:rsid w:val="00A3153D"/>
    <w:rsid w:val="00A31B4F"/>
    <w:rsid w:val="00A31D1D"/>
    <w:rsid w:val="00A32EB3"/>
    <w:rsid w:val="00A32FC9"/>
    <w:rsid w:val="00A35221"/>
    <w:rsid w:val="00A353B8"/>
    <w:rsid w:val="00A35811"/>
    <w:rsid w:val="00A35AA4"/>
    <w:rsid w:val="00A376D9"/>
    <w:rsid w:val="00A37C9F"/>
    <w:rsid w:val="00A413B1"/>
    <w:rsid w:val="00A41450"/>
    <w:rsid w:val="00A417B0"/>
    <w:rsid w:val="00A41FE6"/>
    <w:rsid w:val="00A42E41"/>
    <w:rsid w:val="00A43100"/>
    <w:rsid w:val="00A440EB"/>
    <w:rsid w:val="00A46150"/>
    <w:rsid w:val="00A46258"/>
    <w:rsid w:val="00A46F36"/>
    <w:rsid w:val="00A5018B"/>
    <w:rsid w:val="00A52422"/>
    <w:rsid w:val="00A53616"/>
    <w:rsid w:val="00A53A1E"/>
    <w:rsid w:val="00A56544"/>
    <w:rsid w:val="00A569F4"/>
    <w:rsid w:val="00A571A8"/>
    <w:rsid w:val="00A57962"/>
    <w:rsid w:val="00A60E50"/>
    <w:rsid w:val="00A62617"/>
    <w:rsid w:val="00A64DA5"/>
    <w:rsid w:val="00A64DFE"/>
    <w:rsid w:val="00A65B95"/>
    <w:rsid w:val="00A65F66"/>
    <w:rsid w:val="00A66F08"/>
    <w:rsid w:val="00A66FBC"/>
    <w:rsid w:val="00A677D5"/>
    <w:rsid w:val="00A679F8"/>
    <w:rsid w:val="00A71C9D"/>
    <w:rsid w:val="00A73336"/>
    <w:rsid w:val="00A735FD"/>
    <w:rsid w:val="00A74178"/>
    <w:rsid w:val="00A74888"/>
    <w:rsid w:val="00A75066"/>
    <w:rsid w:val="00A75104"/>
    <w:rsid w:val="00A757BC"/>
    <w:rsid w:val="00A775A5"/>
    <w:rsid w:val="00A775CD"/>
    <w:rsid w:val="00A81F1C"/>
    <w:rsid w:val="00A83318"/>
    <w:rsid w:val="00A836A3"/>
    <w:rsid w:val="00A8381E"/>
    <w:rsid w:val="00A838DE"/>
    <w:rsid w:val="00A83C6E"/>
    <w:rsid w:val="00A84932"/>
    <w:rsid w:val="00A84B09"/>
    <w:rsid w:val="00A852AF"/>
    <w:rsid w:val="00A856FC"/>
    <w:rsid w:val="00A85B08"/>
    <w:rsid w:val="00A86E3A"/>
    <w:rsid w:val="00A86F27"/>
    <w:rsid w:val="00A87807"/>
    <w:rsid w:val="00A9112B"/>
    <w:rsid w:val="00A91580"/>
    <w:rsid w:val="00A927EB"/>
    <w:rsid w:val="00A93184"/>
    <w:rsid w:val="00A93C70"/>
    <w:rsid w:val="00A94F25"/>
    <w:rsid w:val="00A95AAE"/>
    <w:rsid w:val="00A95B52"/>
    <w:rsid w:val="00A95D57"/>
    <w:rsid w:val="00A95EE8"/>
    <w:rsid w:val="00A9722F"/>
    <w:rsid w:val="00AA0D7B"/>
    <w:rsid w:val="00AA1AA2"/>
    <w:rsid w:val="00AA1E88"/>
    <w:rsid w:val="00AA23D9"/>
    <w:rsid w:val="00AA3F05"/>
    <w:rsid w:val="00AA45E3"/>
    <w:rsid w:val="00AA51A4"/>
    <w:rsid w:val="00AA5351"/>
    <w:rsid w:val="00AA56C3"/>
    <w:rsid w:val="00AA73D2"/>
    <w:rsid w:val="00AA73EA"/>
    <w:rsid w:val="00AA7442"/>
    <w:rsid w:val="00AA7E78"/>
    <w:rsid w:val="00AB0CE1"/>
    <w:rsid w:val="00AB0D2E"/>
    <w:rsid w:val="00AB31D4"/>
    <w:rsid w:val="00AB340F"/>
    <w:rsid w:val="00AB3834"/>
    <w:rsid w:val="00AB3D29"/>
    <w:rsid w:val="00AB3DB5"/>
    <w:rsid w:val="00AB3F53"/>
    <w:rsid w:val="00AB5569"/>
    <w:rsid w:val="00AB5660"/>
    <w:rsid w:val="00AB59A7"/>
    <w:rsid w:val="00AB63B4"/>
    <w:rsid w:val="00AB7FA8"/>
    <w:rsid w:val="00AC064D"/>
    <w:rsid w:val="00AC0BAF"/>
    <w:rsid w:val="00AC0BD3"/>
    <w:rsid w:val="00AC216A"/>
    <w:rsid w:val="00AC32E6"/>
    <w:rsid w:val="00AC3375"/>
    <w:rsid w:val="00AC4232"/>
    <w:rsid w:val="00AC5683"/>
    <w:rsid w:val="00AC64A7"/>
    <w:rsid w:val="00AC69CF"/>
    <w:rsid w:val="00AC7CD2"/>
    <w:rsid w:val="00AD00A1"/>
    <w:rsid w:val="00AD08A8"/>
    <w:rsid w:val="00AD0A64"/>
    <w:rsid w:val="00AD17FA"/>
    <w:rsid w:val="00AD3E4A"/>
    <w:rsid w:val="00AD4144"/>
    <w:rsid w:val="00AD4A35"/>
    <w:rsid w:val="00AD601A"/>
    <w:rsid w:val="00AD6276"/>
    <w:rsid w:val="00AD6932"/>
    <w:rsid w:val="00AD7EF4"/>
    <w:rsid w:val="00AE02C3"/>
    <w:rsid w:val="00AE0FAB"/>
    <w:rsid w:val="00AE182A"/>
    <w:rsid w:val="00AE228A"/>
    <w:rsid w:val="00AE432D"/>
    <w:rsid w:val="00AE56F9"/>
    <w:rsid w:val="00AE6066"/>
    <w:rsid w:val="00AE6248"/>
    <w:rsid w:val="00AE7541"/>
    <w:rsid w:val="00AE7F64"/>
    <w:rsid w:val="00AE7F9A"/>
    <w:rsid w:val="00AF06FC"/>
    <w:rsid w:val="00AF1D0F"/>
    <w:rsid w:val="00AF1F91"/>
    <w:rsid w:val="00AF221C"/>
    <w:rsid w:val="00AF2CC4"/>
    <w:rsid w:val="00AF2F42"/>
    <w:rsid w:val="00AF3A9F"/>
    <w:rsid w:val="00AF3CA5"/>
    <w:rsid w:val="00AF4617"/>
    <w:rsid w:val="00AF5416"/>
    <w:rsid w:val="00AF5DDD"/>
    <w:rsid w:val="00AF710E"/>
    <w:rsid w:val="00AF7141"/>
    <w:rsid w:val="00B00C0B"/>
    <w:rsid w:val="00B01143"/>
    <w:rsid w:val="00B0230A"/>
    <w:rsid w:val="00B0254F"/>
    <w:rsid w:val="00B0297E"/>
    <w:rsid w:val="00B02B79"/>
    <w:rsid w:val="00B03E3C"/>
    <w:rsid w:val="00B03F20"/>
    <w:rsid w:val="00B05A73"/>
    <w:rsid w:val="00B062C9"/>
    <w:rsid w:val="00B077D6"/>
    <w:rsid w:val="00B07C32"/>
    <w:rsid w:val="00B105B8"/>
    <w:rsid w:val="00B10683"/>
    <w:rsid w:val="00B10833"/>
    <w:rsid w:val="00B11E37"/>
    <w:rsid w:val="00B122A2"/>
    <w:rsid w:val="00B1296E"/>
    <w:rsid w:val="00B12C57"/>
    <w:rsid w:val="00B12E17"/>
    <w:rsid w:val="00B14274"/>
    <w:rsid w:val="00B142A1"/>
    <w:rsid w:val="00B14937"/>
    <w:rsid w:val="00B14998"/>
    <w:rsid w:val="00B15326"/>
    <w:rsid w:val="00B15835"/>
    <w:rsid w:val="00B15D5E"/>
    <w:rsid w:val="00B16620"/>
    <w:rsid w:val="00B16F11"/>
    <w:rsid w:val="00B16FA0"/>
    <w:rsid w:val="00B171C1"/>
    <w:rsid w:val="00B21442"/>
    <w:rsid w:val="00B22465"/>
    <w:rsid w:val="00B23B88"/>
    <w:rsid w:val="00B24077"/>
    <w:rsid w:val="00B24114"/>
    <w:rsid w:val="00B24229"/>
    <w:rsid w:val="00B243BA"/>
    <w:rsid w:val="00B24661"/>
    <w:rsid w:val="00B24C1F"/>
    <w:rsid w:val="00B25080"/>
    <w:rsid w:val="00B25606"/>
    <w:rsid w:val="00B25887"/>
    <w:rsid w:val="00B260C3"/>
    <w:rsid w:val="00B26FDB"/>
    <w:rsid w:val="00B27CF3"/>
    <w:rsid w:val="00B308BF"/>
    <w:rsid w:val="00B309F7"/>
    <w:rsid w:val="00B312D1"/>
    <w:rsid w:val="00B313A8"/>
    <w:rsid w:val="00B319D0"/>
    <w:rsid w:val="00B31D9F"/>
    <w:rsid w:val="00B322C1"/>
    <w:rsid w:val="00B323BF"/>
    <w:rsid w:val="00B337F1"/>
    <w:rsid w:val="00B34B20"/>
    <w:rsid w:val="00B369C0"/>
    <w:rsid w:val="00B36A64"/>
    <w:rsid w:val="00B4018A"/>
    <w:rsid w:val="00B41051"/>
    <w:rsid w:val="00B42527"/>
    <w:rsid w:val="00B42DAD"/>
    <w:rsid w:val="00B4360B"/>
    <w:rsid w:val="00B43F77"/>
    <w:rsid w:val="00B4507E"/>
    <w:rsid w:val="00B451B5"/>
    <w:rsid w:val="00B4561D"/>
    <w:rsid w:val="00B45710"/>
    <w:rsid w:val="00B46212"/>
    <w:rsid w:val="00B47A50"/>
    <w:rsid w:val="00B5023E"/>
    <w:rsid w:val="00B509B8"/>
    <w:rsid w:val="00B51BED"/>
    <w:rsid w:val="00B52926"/>
    <w:rsid w:val="00B52B91"/>
    <w:rsid w:val="00B53333"/>
    <w:rsid w:val="00B53CA4"/>
    <w:rsid w:val="00B552D8"/>
    <w:rsid w:val="00B558AA"/>
    <w:rsid w:val="00B569DD"/>
    <w:rsid w:val="00B57311"/>
    <w:rsid w:val="00B601CD"/>
    <w:rsid w:val="00B60912"/>
    <w:rsid w:val="00B60AC9"/>
    <w:rsid w:val="00B61150"/>
    <w:rsid w:val="00B61C73"/>
    <w:rsid w:val="00B61C9B"/>
    <w:rsid w:val="00B624C7"/>
    <w:rsid w:val="00B63617"/>
    <w:rsid w:val="00B63A47"/>
    <w:rsid w:val="00B640B9"/>
    <w:rsid w:val="00B64FB2"/>
    <w:rsid w:val="00B661B4"/>
    <w:rsid w:val="00B66BE5"/>
    <w:rsid w:val="00B67D1D"/>
    <w:rsid w:val="00B70F21"/>
    <w:rsid w:val="00B727F8"/>
    <w:rsid w:val="00B72C68"/>
    <w:rsid w:val="00B72F87"/>
    <w:rsid w:val="00B747D7"/>
    <w:rsid w:val="00B76B44"/>
    <w:rsid w:val="00B76BDA"/>
    <w:rsid w:val="00B76F93"/>
    <w:rsid w:val="00B7710E"/>
    <w:rsid w:val="00B77E35"/>
    <w:rsid w:val="00B80FCC"/>
    <w:rsid w:val="00B81E63"/>
    <w:rsid w:val="00B81F66"/>
    <w:rsid w:val="00B8442D"/>
    <w:rsid w:val="00B8455F"/>
    <w:rsid w:val="00B84696"/>
    <w:rsid w:val="00B84B59"/>
    <w:rsid w:val="00B84CE8"/>
    <w:rsid w:val="00B8606F"/>
    <w:rsid w:val="00B860EF"/>
    <w:rsid w:val="00B86D38"/>
    <w:rsid w:val="00B877A7"/>
    <w:rsid w:val="00B900FF"/>
    <w:rsid w:val="00B90E13"/>
    <w:rsid w:val="00B92105"/>
    <w:rsid w:val="00B92D33"/>
    <w:rsid w:val="00B93CEF"/>
    <w:rsid w:val="00B96C8F"/>
    <w:rsid w:val="00B97146"/>
    <w:rsid w:val="00B976C2"/>
    <w:rsid w:val="00BA00BA"/>
    <w:rsid w:val="00BA27E1"/>
    <w:rsid w:val="00BA2C87"/>
    <w:rsid w:val="00BA3DED"/>
    <w:rsid w:val="00BA3E12"/>
    <w:rsid w:val="00BA443E"/>
    <w:rsid w:val="00BA5CA7"/>
    <w:rsid w:val="00BA66B7"/>
    <w:rsid w:val="00BA6859"/>
    <w:rsid w:val="00BA705C"/>
    <w:rsid w:val="00BA733C"/>
    <w:rsid w:val="00BA76AF"/>
    <w:rsid w:val="00BB045C"/>
    <w:rsid w:val="00BB06ED"/>
    <w:rsid w:val="00BB0BBD"/>
    <w:rsid w:val="00BB1679"/>
    <w:rsid w:val="00BB19B4"/>
    <w:rsid w:val="00BB208E"/>
    <w:rsid w:val="00BB2616"/>
    <w:rsid w:val="00BB26C7"/>
    <w:rsid w:val="00BB311D"/>
    <w:rsid w:val="00BB3901"/>
    <w:rsid w:val="00BB3CD3"/>
    <w:rsid w:val="00BB6214"/>
    <w:rsid w:val="00BB6A40"/>
    <w:rsid w:val="00BB758B"/>
    <w:rsid w:val="00BC0713"/>
    <w:rsid w:val="00BC1292"/>
    <w:rsid w:val="00BC1B1A"/>
    <w:rsid w:val="00BC1BAF"/>
    <w:rsid w:val="00BC2186"/>
    <w:rsid w:val="00BC3A19"/>
    <w:rsid w:val="00BC3C60"/>
    <w:rsid w:val="00BC45A1"/>
    <w:rsid w:val="00BC4A71"/>
    <w:rsid w:val="00BC58F7"/>
    <w:rsid w:val="00BC6482"/>
    <w:rsid w:val="00BD192C"/>
    <w:rsid w:val="00BD1E3B"/>
    <w:rsid w:val="00BD1FE0"/>
    <w:rsid w:val="00BD2422"/>
    <w:rsid w:val="00BD2847"/>
    <w:rsid w:val="00BD2CE4"/>
    <w:rsid w:val="00BD3BDE"/>
    <w:rsid w:val="00BD3F4A"/>
    <w:rsid w:val="00BD49EB"/>
    <w:rsid w:val="00BD4B4D"/>
    <w:rsid w:val="00BD4F11"/>
    <w:rsid w:val="00BD58C3"/>
    <w:rsid w:val="00BD59BD"/>
    <w:rsid w:val="00BD5C04"/>
    <w:rsid w:val="00BD5F84"/>
    <w:rsid w:val="00BD6571"/>
    <w:rsid w:val="00BD658C"/>
    <w:rsid w:val="00BD6A29"/>
    <w:rsid w:val="00BE083C"/>
    <w:rsid w:val="00BE18C6"/>
    <w:rsid w:val="00BE2296"/>
    <w:rsid w:val="00BE3149"/>
    <w:rsid w:val="00BE4C2B"/>
    <w:rsid w:val="00BE7A14"/>
    <w:rsid w:val="00BF17A0"/>
    <w:rsid w:val="00BF211B"/>
    <w:rsid w:val="00BF2B14"/>
    <w:rsid w:val="00BF2B77"/>
    <w:rsid w:val="00BF2BF1"/>
    <w:rsid w:val="00BF3DAB"/>
    <w:rsid w:val="00BF4006"/>
    <w:rsid w:val="00BF410A"/>
    <w:rsid w:val="00BF4144"/>
    <w:rsid w:val="00BF4694"/>
    <w:rsid w:val="00BF46C5"/>
    <w:rsid w:val="00BF5521"/>
    <w:rsid w:val="00BF5A39"/>
    <w:rsid w:val="00BF6347"/>
    <w:rsid w:val="00BF6496"/>
    <w:rsid w:val="00BF6763"/>
    <w:rsid w:val="00BF7283"/>
    <w:rsid w:val="00BF787F"/>
    <w:rsid w:val="00C0044D"/>
    <w:rsid w:val="00C00F3E"/>
    <w:rsid w:val="00C012B0"/>
    <w:rsid w:val="00C018A4"/>
    <w:rsid w:val="00C028A2"/>
    <w:rsid w:val="00C02EFE"/>
    <w:rsid w:val="00C03275"/>
    <w:rsid w:val="00C04608"/>
    <w:rsid w:val="00C057C0"/>
    <w:rsid w:val="00C0614E"/>
    <w:rsid w:val="00C0704A"/>
    <w:rsid w:val="00C07929"/>
    <w:rsid w:val="00C079AB"/>
    <w:rsid w:val="00C07A86"/>
    <w:rsid w:val="00C07B00"/>
    <w:rsid w:val="00C10581"/>
    <w:rsid w:val="00C124EC"/>
    <w:rsid w:val="00C127C7"/>
    <w:rsid w:val="00C127FE"/>
    <w:rsid w:val="00C13042"/>
    <w:rsid w:val="00C130A7"/>
    <w:rsid w:val="00C131D2"/>
    <w:rsid w:val="00C169BB"/>
    <w:rsid w:val="00C16F9A"/>
    <w:rsid w:val="00C17088"/>
    <w:rsid w:val="00C202C6"/>
    <w:rsid w:val="00C2040E"/>
    <w:rsid w:val="00C2101E"/>
    <w:rsid w:val="00C210AA"/>
    <w:rsid w:val="00C2136F"/>
    <w:rsid w:val="00C21634"/>
    <w:rsid w:val="00C21BEE"/>
    <w:rsid w:val="00C21EF4"/>
    <w:rsid w:val="00C22A3B"/>
    <w:rsid w:val="00C2326F"/>
    <w:rsid w:val="00C24037"/>
    <w:rsid w:val="00C240BB"/>
    <w:rsid w:val="00C24247"/>
    <w:rsid w:val="00C245F4"/>
    <w:rsid w:val="00C24B50"/>
    <w:rsid w:val="00C24D03"/>
    <w:rsid w:val="00C25916"/>
    <w:rsid w:val="00C2675A"/>
    <w:rsid w:val="00C27113"/>
    <w:rsid w:val="00C2730C"/>
    <w:rsid w:val="00C27E49"/>
    <w:rsid w:val="00C31D08"/>
    <w:rsid w:val="00C325CE"/>
    <w:rsid w:val="00C36E27"/>
    <w:rsid w:val="00C40951"/>
    <w:rsid w:val="00C41F1B"/>
    <w:rsid w:val="00C42BDA"/>
    <w:rsid w:val="00C4305B"/>
    <w:rsid w:val="00C431A3"/>
    <w:rsid w:val="00C431AD"/>
    <w:rsid w:val="00C438E5"/>
    <w:rsid w:val="00C45513"/>
    <w:rsid w:val="00C46B5D"/>
    <w:rsid w:val="00C47235"/>
    <w:rsid w:val="00C47F18"/>
    <w:rsid w:val="00C500F4"/>
    <w:rsid w:val="00C50CD4"/>
    <w:rsid w:val="00C51FE9"/>
    <w:rsid w:val="00C52554"/>
    <w:rsid w:val="00C52DBC"/>
    <w:rsid w:val="00C534F1"/>
    <w:rsid w:val="00C53AAD"/>
    <w:rsid w:val="00C5417C"/>
    <w:rsid w:val="00C5436C"/>
    <w:rsid w:val="00C54B0E"/>
    <w:rsid w:val="00C5520E"/>
    <w:rsid w:val="00C5552D"/>
    <w:rsid w:val="00C5584F"/>
    <w:rsid w:val="00C558D4"/>
    <w:rsid w:val="00C5607E"/>
    <w:rsid w:val="00C56936"/>
    <w:rsid w:val="00C56B61"/>
    <w:rsid w:val="00C57062"/>
    <w:rsid w:val="00C57812"/>
    <w:rsid w:val="00C5796F"/>
    <w:rsid w:val="00C60078"/>
    <w:rsid w:val="00C600C5"/>
    <w:rsid w:val="00C60734"/>
    <w:rsid w:val="00C60D67"/>
    <w:rsid w:val="00C61037"/>
    <w:rsid w:val="00C62CF1"/>
    <w:rsid w:val="00C640DB"/>
    <w:rsid w:val="00C64835"/>
    <w:rsid w:val="00C653A5"/>
    <w:rsid w:val="00C65A2F"/>
    <w:rsid w:val="00C65BE6"/>
    <w:rsid w:val="00C6622B"/>
    <w:rsid w:val="00C663EF"/>
    <w:rsid w:val="00C6691D"/>
    <w:rsid w:val="00C67904"/>
    <w:rsid w:val="00C67F52"/>
    <w:rsid w:val="00C713B4"/>
    <w:rsid w:val="00C71661"/>
    <w:rsid w:val="00C72909"/>
    <w:rsid w:val="00C72A59"/>
    <w:rsid w:val="00C7397C"/>
    <w:rsid w:val="00C73C64"/>
    <w:rsid w:val="00C73E16"/>
    <w:rsid w:val="00C746C1"/>
    <w:rsid w:val="00C7483E"/>
    <w:rsid w:val="00C74892"/>
    <w:rsid w:val="00C74984"/>
    <w:rsid w:val="00C74B90"/>
    <w:rsid w:val="00C778E9"/>
    <w:rsid w:val="00C77C69"/>
    <w:rsid w:val="00C80230"/>
    <w:rsid w:val="00C80622"/>
    <w:rsid w:val="00C80740"/>
    <w:rsid w:val="00C825B2"/>
    <w:rsid w:val="00C82A75"/>
    <w:rsid w:val="00C82D6A"/>
    <w:rsid w:val="00C82F63"/>
    <w:rsid w:val="00C84FA8"/>
    <w:rsid w:val="00C851ED"/>
    <w:rsid w:val="00C85DFE"/>
    <w:rsid w:val="00C85EA9"/>
    <w:rsid w:val="00C85FA7"/>
    <w:rsid w:val="00C86CEA"/>
    <w:rsid w:val="00C87811"/>
    <w:rsid w:val="00C87C4D"/>
    <w:rsid w:val="00C92409"/>
    <w:rsid w:val="00C925B2"/>
    <w:rsid w:val="00C92D83"/>
    <w:rsid w:val="00C93011"/>
    <w:rsid w:val="00C950B9"/>
    <w:rsid w:val="00CA07A9"/>
    <w:rsid w:val="00CA0FE3"/>
    <w:rsid w:val="00CA1609"/>
    <w:rsid w:val="00CA1EF8"/>
    <w:rsid w:val="00CA276D"/>
    <w:rsid w:val="00CA2CBF"/>
    <w:rsid w:val="00CA2E59"/>
    <w:rsid w:val="00CA5EBB"/>
    <w:rsid w:val="00CA6FE3"/>
    <w:rsid w:val="00CA76E9"/>
    <w:rsid w:val="00CB0C70"/>
    <w:rsid w:val="00CB0EC8"/>
    <w:rsid w:val="00CB2256"/>
    <w:rsid w:val="00CB2B98"/>
    <w:rsid w:val="00CB32FC"/>
    <w:rsid w:val="00CB3A91"/>
    <w:rsid w:val="00CB449F"/>
    <w:rsid w:val="00CB5063"/>
    <w:rsid w:val="00CB553A"/>
    <w:rsid w:val="00CB6467"/>
    <w:rsid w:val="00CB68FF"/>
    <w:rsid w:val="00CC0F4A"/>
    <w:rsid w:val="00CC11B0"/>
    <w:rsid w:val="00CC1B03"/>
    <w:rsid w:val="00CC2097"/>
    <w:rsid w:val="00CC2EAE"/>
    <w:rsid w:val="00CC3A2E"/>
    <w:rsid w:val="00CC3C45"/>
    <w:rsid w:val="00CC4517"/>
    <w:rsid w:val="00CC4A8B"/>
    <w:rsid w:val="00CC5DB4"/>
    <w:rsid w:val="00CC69A2"/>
    <w:rsid w:val="00CC750C"/>
    <w:rsid w:val="00CC768F"/>
    <w:rsid w:val="00CD0716"/>
    <w:rsid w:val="00CD1B44"/>
    <w:rsid w:val="00CD1C23"/>
    <w:rsid w:val="00CD2260"/>
    <w:rsid w:val="00CD262C"/>
    <w:rsid w:val="00CD2940"/>
    <w:rsid w:val="00CD341E"/>
    <w:rsid w:val="00CD3CEF"/>
    <w:rsid w:val="00CD50C8"/>
    <w:rsid w:val="00CD5610"/>
    <w:rsid w:val="00CD5781"/>
    <w:rsid w:val="00CD6466"/>
    <w:rsid w:val="00CD6FBA"/>
    <w:rsid w:val="00CD75F6"/>
    <w:rsid w:val="00CE087E"/>
    <w:rsid w:val="00CE123F"/>
    <w:rsid w:val="00CE1DC8"/>
    <w:rsid w:val="00CE26BC"/>
    <w:rsid w:val="00CE29A2"/>
    <w:rsid w:val="00CE411D"/>
    <w:rsid w:val="00CE4DEC"/>
    <w:rsid w:val="00CE5A09"/>
    <w:rsid w:val="00CE6329"/>
    <w:rsid w:val="00CE66BA"/>
    <w:rsid w:val="00CE6A47"/>
    <w:rsid w:val="00CE6F48"/>
    <w:rsid w:val="00CE7304"/>
    <w:rsid w:val="00CE7FA6"/>
    <w:rsid w:val="00CF017A"/>
    <w:rsid w:val="00CF0E64"/>
    <w:rsid w:val="00CF181C"/>
    <w:rsid w:val="00CF1E1E"/>
    <w:rsid w:val="00CF2851"/>
    <w:rsid w:val="00CF308B"/>
    <w:rsid w:val="00CF34A7"/>
    <w:rsid w:val="00CF4B8A"/>
    <w:rsid w:val="00CF4DD8"/>
    <w:rsid w:val="00CF54E3"/>
    <w:rsid w:val="00CF70A9"/>
    <w:rsid w:val="00CF787C"/>
    <w:rsid w:val="00CF7CAC"/>
    <w:rsid w:val="00D00B57"/>
    <w:rsid w:val="00D00B64"/>
    <w:rsid w:val="00D01BCB"/>
    <w:rsid w:val="00D027E0"/>
    <w:rsid w:val="00D02AA9"/>
    <w:rsid w:val="00D0341E"/>
    <w:rsid w:val="00D03656"/>
    <w:rsid w:val="00D045EC"/>
    <w:rsid w:val="00D04C01"/>
    <w:rsid w:val="00D05269"/>
    <w:rsid w:val="00D05411"/>
    <w:rsid w:val="00D060D2"/>
    <w:rsid w:val="00D061BD"/>
    <w:rsid w:val="00D06818"/>
    <w:rsid w:val="00D117DB"/>
    <w:rsid w:val="00D11CE2"/>
    <w:rsid w:val="00D11E61"/>
    <w:rsid w:val="00D12F24"/>
    <w:rsid w:val="00D13618"/>
    <w:rsid w:val="00D13EC2"/>
    <w:rsid w:val="00D13FAB"/>
    <w:rsid w:val="00D1481B"/>
    <w:rsid w:val="00D15957"/>
    <w:rsid w:val="00D15AB1"/>
    <w:rsid w:val="00D15D8B"/>
    <w:rsid w:val="00D17D3B"/>
    <w:rsid w:val="00D208B9"/>
    <w:rsid w:val="00D20CED"/>
    <w:rsid w:val="00D20F3F"/>
    <w:rsid w:val="00D21CB5"/>
    <w:rsid w:val="00D22176"/>
    <w:rsid w:val="00D221E6"/>
    <w:rsid w:val="00D2341E"/>
    <w:rsid w:val="00D2512A"/>
    <w:rsid w:val="00D251EB"/>
    <w:rsid w:val="00D25412"/>
    <w:rsid w:val="00D261B9"/>
    <w:rsid w:val="00D30102"/>
    <w:rsid w:val="00D30407"/>
    <w:rsid w:val="00D30473"/>
    <w:rsid w:val="00D3094E"/>
    <w:rsid w:val="00D30A67"/>
    <w:rsid w:val="00D31E11"/>
    <w:rsid w:val="00D3218E"/>
    <w:rsid w:val="00D33C61"/>
    <w:rsid w:val="00D33E08"/>
    <w:rsid w:val="00D341BE"/>
    <w:rsid w:val="00D34C60"/>
    <w:rsid w:val="00D3504B"/>
    <w:rsid w:val="00D3514F"/>
    <w:rsid w:val="00D35E60"/>
    <w:rsid w:val="00D36991"/>
    <w:rsid w:val="00D376AD"/>
    <w:rsid w:val="00D43049"/>
    <w:rsid w:val="00D43227"/>
    <w:rsid w:val="00D43404"/>
    <w:rsid w:val="00D43AC7"/>
    <w:rsid w:val="00D448D8"/>
    <w:rsid w:val="00D459A4"/>
    <w:rsid w:val="00D46EB9"/>
    <w:rsid w:val="00D47D9B"/>
    <w:rsid w:val="00D500A3"/>
    <w:rsid w:val="00D5031C"/>
    <w:rsid w:val="00D51148"/>
    <w:rsid w:val="00D51723"/>
    <w:rsid w:val="00D51B82"/>
    <w:rsid w:val="00D52725"/>
    <w:rsid w:val="00D527FA"/>
    <w:rsid w:val="00D52BC0"/>
    <w:rsid w:val="00D52FD6"/>
    <w:rsid w:val="00D54856"/>
    <w:rsid w:val="00D55D0B"/>
    <w:rsid w:val="00D55E69"/>
    <w:rsid w:val="00D55F43"/>
    <w:rsid w:val="00D56442"/>
    <w:rsid w:val="00D56F4D"/>
    <w:rsid w:val="00D57BE6"/>
    <w:rsid w:val="00D61C5A"/>
    <w:rsid w:val="00D61F8C"/>
    <w:rsid w:val="00D622E1"/>
    <w:rsid w:val="00D6233B"/>
    <w:rsid w:val="00D63646"/>
    <w:rsid w:val="00D63C71"/>
    <w:rsid w:val="00D64527"/>
    <w:rsid w:val="00D64E89"/>
    <w:rsid w:val="00D652E5"/>
    <w:rsid w:val="00D65377"/>
    <w:rsid w:val="00D6717F"/>
    <w:rsid w:val="00D701E7"/>
    <w:rsid w:val="00D70A98"/>
    <w:rsid w:val="00D71BA9"/>
    <w:rsid w:val="00D71CBF"/>
    <w:rsid w:val="00D71D5C"/>
    <w:rsid w:val="00D73392"/>
    <w:rsid w:val="00D73F3A"/>
    <w:rsid w:val="00D74240"/>
    <w:rsid w:val="00D7521C"/>
    <w:rsid w:val="00D756C1"/>
    <w:rsid w:val="00D75B08"/>
    <w:rsid w:val="00D76437"/>
    <w:rsid w:val="00D76575"/>
    <w:rsid w:val="00D76D88"/>
    <w:rsid w:val="00D809D0"/>
    <w:rsid w:val="00D82A58"/>
    <w:rsid w:val="00D82BCD"/>
    <w:rsid w:val="00D8376A"/>
    <w:rsid w:val="00D8401F"/>
    <w:rsid w:val="00D84082"/>
    <w:rsid w:val="00D8451B"/>
    <w:rsid w:val="00D84D7F"/>
    <w:rsid w:val="00D8640F"/>
    <w:rsid w:val="00D876DC"/>
    <w:rsid w:val="00D92E41"/>
    <w:rsid w:val="00D93989"/>
    <w:rsid w:val="00D9410D"/>
    <w:rsid w:val="00D943CB"/>
    <w:rsid w:val="00D9594C"/>
    <w:rsid w:val="00D960AC"/>
    <w:rsid w:val="00D976ED"/>
    <w:rsid w:val="00DA046E"/>
    <w:rsid w:val="00DA0BFA"/>
    <w:rsid w:val="00DA1B78"/>
    <w:rsid w:val="00DA273B"/>
    <w:rsid w:val="00DA2F1E"/>
    <w:rsid w:val="00DA358C"/>
    <w:rsid w:val="00DA4287"/>
    <w:rsid w:val="00DA46C9"/>
    <w:rsid w:val="00DA4F77"/>
    <w:rsid w:val="00DA5447"/>
    <w:rsid w:val="00DA5AFA"/>
    <w:rsid w:val="00DA5F24"/>
    <w:rsid w:val="00DA6020"/>
    <w:rsid w:val="00DA6077"/>
    <w:rsid w:val="00DA6381"/>
    <w:rsid w:val="00DA6A06"/>
    <w:rsid w:val="00DA7EF0"/>
    <w:rsid w:val="00DB0E56"/>
    <w:rsid w:val="00DB11E7"/>
    <w:rsid w:val="00DB1ABA"/>
    <w:rsid w:val="00DB206B"/>
    <w:rsid w:val="00DB29E4"/>
    <w:rsid w:val="00DB2A91"/>
    <w:rsid w:val="00DB4422"/>
    <w:rsid w:val="00DB4F4E"/>
    <w:rsid w:val="00DB5602"/>
    <w:rsid w:val="00DB7324"/>
    <w:rsid w:val="00DB7F69"/>
    <w:rsid w:val="00DC03F8"/>
    <w:rsid w:val="00DC0CB2"/>
    <w:rsid w:val="00DC1138"/>
    <w:rsid w:val="00DC18BE"/>
    <w:rsid w:val="00DC1B8C"/>
    <w:rsid w:val="00DC2B6D"/>
    <w:rsid w:val="00DC33B1"/>
    <w:rsid w:val="00DC35D5"/>
    <w:rsid w:val="00DC4450"/>
    <w:rsid w:val="00DC4DC3"/>
    <w:rsid w:val="00DC54C3"/>
    <w:rsid w:val="00DC71F8"/>
    <w:rsid w:val="00DD0A6B"/>
    <w:rsid w:val="00DD1369"/>
    <w:rsid w:val="00DD174C"/>
    <w:rsid w:val="00DD3E00"/>
    <w:rsid w:val="00DD3E15"/>
    <w:rsid w:val="00DD420E"/>
    <w:rsid w:val="00DD491B"/>
    <w:rsid w:val="00DD4D12"/>
    <w:rsid w:val="00DD6BB1"/>
    <w:rsid w:val="00DD6BB2"/>
    <w:rsid w:val="00DD7212"/>
    <w:rsid w:val="00DE03C7"/>
    <w:rsid w:val="00DE0A0D"/>
    <w:rsid w:val="00DE0A37"/>
    <w:rsid w:val="00DE1A18"/>
    <w:rsid w:val="00DE234D"/>
    <w:rsid w:val="00DE24EF"/>
    <w:rsid w:val="00DE31B5"/>
    <w:rsid w:val="00DE3801"/>
    <w:rsid w:val="00DE47B8"/>
    <w:rsid w:val="00DE4A6B"/>
    <w:rsid w:val="00DE4D52"/>
    <w:rsid w:val="00DE4FBC"/>
    <w:rsid w:val="00DE5FA6"/>
    <w:rsid w:val="00DE62B0"/>
    <w:rsid w:val="00DE63A4"/>
    <w:rsid w:val="00DE7A7F"/>
    <w:rsid w:val="00DF1BBB"/>
    <w:rsid w:val="00DF1C84"/>
    <w:rsid w:val="00DF3829"/>
    <w:rsid w:val="00DF4AF7"/>
    <w:rsid w:val="00DF51D0"/>
    <w:rsid w:val="00DF6C39"/>
    <w:rsid w:val="00DF73A4"/>
    <w:rsid w:val="00E00017"/>
    <w:rsid w:val="00E00E69"/>
    <w:rsid w:val="00E00F57"/>
    <w:rsid w:val="00E018BB"/>
    <w:rsid w:val="00E01D50"/>
    <w:rsid w:val="00E02519"/>
    <w:rsid w:val="00E02578"/>
    <w:rsid w:val="00E02DD5"/>
    <w:rsid w:val="00E04770"/>
    <w:rsid w:val="00E05522"/>
    <w:rsid w:val="00E060CA"/>
    <w:rsid w:val="00E06D3D"/>
    <w:rsid w:val="00E07DE4"/>
    <w:rsid w:val="00E10964"/>
    <w:rsid w:val="00E111B4"/>
    <w:rsid w:val="00E113F4"/>
    <w:rsid w:val="00E14139"/>
    <w:rsid w:val="00E1420D"/>
    <w:rsid w:val="00E1528F"/>
    <w:rsid w:val="00E1556D"/>
    <w:rsid w:val="00E15872"/>
    <w:rsid w:val="00E16A67"/>
    <w:rsid w:val="00E17949"/>
    <w:rsid w:val="00E21FF6"/>
    <w:rsid w:val="00E22268"/>
    <w:rsid w:val="00E228B5"/>
    <w:rsid w:val="00E22FA5"/>
    <w:rsid w:val="00E23441"/>
    <w:rsid w:val="00E235B1"/>
    <w:rsid w:val="00E23685"/>
    <w:rsid w:val="00E23724"/>
    <w:rsid w:val="00E23C06"/>
    <w:rsid w:val="00E24952"/>
    <w:rsid w:val="00E24E51"/>
    <w:rsid w:val="00E2549E"/>
    <w:rsid w:val="00E25689"/>
    <w:rsid w:val="00E25A73"/>
    <w:rsid w:val="00E2645F"/>
    <w:rsid w:val="00E302FD"/>
    <w:rsid w:val="00E3154E"/>
    <w:rsid w:val="00E31A45"/>
    <w:rsid w:val="00E32C81"/>
    <w:rsid w:val="00E33385"/>
    <w:rsid w:val="00E343C8"/>
    <w:rsid w:val="00E34D16"/>
    <w:rsid w:val="00E352F3"/>
    <w:rsid w:val="00E35FA0"/>
    <w:rsid w:val="00E360FC"/>
    <w:rsid w:val="00E36C0A"/>
    <w:rsid w:val="00E407C7"/>
    <w:rsid w:val="00E40997"/>
    <w:rsid w:val="00E41CE9"/>
    <w:rsid w:val="00E41E3D"/>
    <w:rsid w:val="00E4240F"/>
    <w:rsid w:val="00E43958"/>
    <w:rsid w:val="00E43EBD"/>
    <w:rsid w:val="00E455F8"/>
    <w:rsid w:val="00E4653B"/>
    <w:rsid w:val="00E47A72"/>
    <w:rsid w:val="00E508A7"/>
    <w:rsid w:val="00E50F2A"/>
    <w:rsid w:val="00E51452"/>
    <w:rsid w:val="00E51ABF"/>
    <w:rsid w:val="00E5201C"/>
    <w:rsid w:val="00E521C2"/>
    <w:rsid w:val="00E53945"/>
    <w:rsid w:val="00E54559"/>
    <w:rsid w:val="00E54B6C"/>
    <w:rsid w:val="00E55ABB"/>
    <w:rsid w:val="00E604A7"/>
    <w:rsid w:val="00E607B6"/>
    <w:rsid w:val="00E61DF9"/>
    <w:rsid w:val="00E624B0"/>
    <w:rsid w:val="00E626EC"/>
    <w:rsid w:val="00E63B0F"/>
    <w:rsid w:val="00E63C31"/>
    <w:rsid w:val="00E63CAC"/>
    <w:rsid w:val="00E67DAD"/>
    <w:rsid w:val="00E67FC2"/>
    <w:rsid w:val="00E70066"/>
    <w:rsid w:val="00E70877"/>
    <w:rsid w:val="00E70AE6"/>
    <w:rsid w:val="00E70E6A"/>
    <w:rsid w:val="00E70FFB"/>
    <w:rsid w:val="00E7181E"/>
    <w:rsid w:val="00E71968"/>
    <w:rsid w:val="00E72358"/>
    <w:rsid w:val="00E73CCD"/>
    <w:rsid w:val="00E73DF8"/>
    <w:rsid w:val="00E73F6E"/>
    <w:rsid w:val="00E74386"/>
    <w:rsid w:val="00E744D3"/>
    <w:rsid w:val="00E74827"/>
    <w:rsid w:val="00E74F4A"/>
    <w:rsid w:val="00E758F5"/>
    <w:rsid w:val="00E75EF6"/>
    <w:rsid w:val="00E75F96"/>
    <w:rsid w:val="00E76FAA"/>
    <w:rsid w:val="00E77AC3"/>
    <w:rsid w:val="00E81CBE"/>
    <w:rsid w:val="00E82B91"/>
    <w:rsid w:val="00E83178"/>
    <w:rsid w:val="00E834C5"/>
    <w:rsid w:val="00E83636"/>
    <w:rsid w:val="00E83B64"/>
    <w:rsid w:val="00E841A5"/>
    <w:rsid w:val="00E84A8F"/>
    <w:rsid w:val="00E85E1F"/>
    <w:rsid w:val="00E864EF"/>
    <w:rsid w:val="00E86598"/>
    <w:rsid w:val="00E909DA"/>
    <w:rsid w:val="00E90B9E"/>
    <w:rsid w:val="00E91342"/>
    <w:rsid w:val="00E91919"/>
    <w:rsid w:val="00E91C6B"/>
    <w:rsid w:val="00E91CB6"/>
    <w:rsid w:val="00E91D01"/>
    <w:rsid w:val="00E93801"/>
    <w:rsid w:val="00E9424B"/>
    <w:rsid w:val="00E94877"/>
    <w:rsid w:val="00E94A57"/>
    <w:rsid w:val="00E94AE8"/>
    <w:rsid w:val="00E94C12"/>
    <w:rsid w:val="00E94D91"/>
    <w:rsid w:val="00E959D1"/>
    <w:rsid w:val="00E95AE6"/>
    <w:rsid w:val="00E95D02"/>
    <w:rsid w:val="00E95DEA"/>
    <w:rsid w:val="00E95EE6"/>
    <w:rsid w:val="00E97970"/>
    <w:rsid w:val="00E97DEC"/>
    <w:rsid w:val="00EA0BC6"/>
    <w:rsid w:val="00EA180F"/>
    <w:rsid w:val="00EA381E"/>
    <w:rsid w:val="00EA4DA4"/>
    <w:rsid w:val="00EA522B"/>
    <w:rsid w:val="00EA522C"/>
    <w:rsid w:val="00EA534E"/>
    <w:rsid w:val="00EA546F"/>
    <w:rsid w:val="00EA6369"/>
    <w:rsid w:val="00EA637B"/>
    <w:rsid w:val="00EA6CF6"/>
    <w:rsid w:val="00EA7190"/>
    <w:rsid w:val="00EA7500"/>
    <w:rsid w:val="00EB04DE"/>
    <w:rsid w:val="00EB05EA"/>
    <w:rsid w:val="00EB072B"/>
    <w:rsid w:val="00EB23BA"/>
    <w:rsid w:val="00EB243E"/>
    <w:rsid w:val="00EB30B0"/>
    <w:rsid w:val="00EB4039"/>
    <w:rsid w:val="00EB4E5D"/>
    <w:rsid w:val="00EB5969"/>
    <w:rsid w:val="00EB5D79"/>
    <w:rsid w:val="00EB69E3"/>
    <w:rsid w:val="00EB77F7"/>
    <w:rsid w:val="00EB7D02"/>
    <w:rsid w:val="00EC0144"/>
    <w:rsid w:val="00EC06F2"/>
    <w:rsid w:val="00EC1272"/>
    <w:rsid w:val="00EC2226"/>
    <w:rsid w:val="00EC34E8"/>
    <w:rsid w:val="00EC4630"/>
    <w:rsid w:val="00EC51AC"/>
    <w:rsid w:val="00EC6E1A"/>
    <w:rsid w:val="00EC718B"/>
    <w:rsid w:val="00EC76C6"/>
    <w:rsid w:val="00EC793A"/>
    <w:rsid w:val="00EC7C45"/>
    <w:rsid w:val="00ED075A"/>
    <w:rsid w:val="00ED0962"/>
    <w:rsid w:val="00ED0BA4"/>
    <w:rsid w:val="00ED1921"/>
    <w:rsid w:val="00ED2744"/>
    <w:rsid w:val="00ED2D8B"/>
    <w:rsid w:val="00ED2EBC"/>
    <w:rsid w:val="00ED2F87"/>
    <w:rsid w:val="00ED4188"/>
    <w:rsid w:val="00ED4494"/>
    <w:rsid w:val="00ED4C78"/>
    <w:rsid w:val="00ED4F60"/>
    <w:rsid w:val="00ED5011"/>
    <w:rsid w:val="00ED5A71"/>
    <w:rsid w:val="00ED6CDD"/>
    <w:rsid w:val="00ED7CED"/>
    <w:rsid w:val="00EE0D29"/>
    <w:rsid w:val="00EE11DF"/>
    <w:rsid w:val="00EE125E"/>
    <w:rsid w:val="00EE176D"/>
    <w:rsid w:val="00EE1F36"/>
    <w:rsid w:val="00EE209E"/>
    <w:rsid w:val="00EE46E4"/>
    <w:rsid w:val="00EE496B"/>
    <w:rsid w:val="00EE4CA1"/>
    <w:rsid w:val="00EE59C1"/>
    <w:rsid w:val="00EE69B9"/>
    <w:rsid w:val="00EE77B7"/>
    <w:rsid w:val="00EF10F8"/>
    <w:rsid w:val="00EF2E63"/>
    <w:rsid w:val="00EF48C3"/>
    <w:rsid w:val="00EF5397"/>
    <w:rsid w:val="00EF579B"/>
    <w:rsid w:val="00EF7A98"/>
    <w:rsid w:val="00F0125D"/>
    <w:rsid w:val="00F01E6A"/>
    <w:rsid w:val="00F02081"/>
    <w:rsid w:val="00F02FA4"/>
    <w:rsid w:val="00F03549"/>
    <w:rsid w:val="00F041FD"/>
    <w:rsid w:val="00F0481B"/>
    <w:rsid w:val="00F0550B"/>
    <w:rsid w:val="00F059AC"/>
    <w:rsid w:val="00F05D5F"/>
    <w:rsid w:val="00F06E10"/>
    <w:rsid w:val="00F07E3B"/>
    <w:rsid w:val="00F07EB6"/>
    <w:rsid w:val="00F104F1"/>
    <w:rsid w:val="00F11064"/>
    <w:rsid w:val="00F11E90"/>
    <w:rsid w:val="00F1231E"/>
    <w:rsid w:val="00F12873"/>
    <w:rsid w:val="00F15E29"/>
    <w:rsid w:val="00F160A6"/>
    <w:rsid w:val="00F20968"/>
    <w:rsid w:val="00F2219A"/>
    <w:rsid w:val="00F2315C"/>
    <w:rsid w:val="00F23C3C"/>
    <w:rsid w:val="00F24B16"/>
    <w:rsid w:val="00F24EE9"/>
    <w:rsid w:val="00F26272"/>
    <w:rsid w:val="00F2649C"/>
    <w:rsid w:val="00F26589"/>
    <w:rsid w:val="00F27E48"/>
    <w:rsid w:val="00F307EA"/>
    <w:rsid w:val="00F30A29"/>
    <w:rsid w:val="00F32953"/>
    <w:rsid w:val="00F32ED7"/>
    <w:rsid w:val="00F333DD"/>
    <w:rsid w:val="00F33C6B"/>
    <w:rsid w:val="00F34735"/>
    <w:rsid w:val="00F34D3B"/>
    <w:rsid w:val="00F35F40"/>
    <w:rsid w:val="00F3706A"/>
    <w:rsid w:val="00F40D1C"/>
    <w:rsid w:val="00F41BEC"/>
    <w:rsid w:val="00F43846"/>
    <w:rsid w:val="00F43B6E"/>
    <w:rsid w:val="00F443E2"/>
    <w:rsid w:val="00F4452C"/>
    <w:rsid w:val="00F44C0F"/>
    <w:rsid w:val="00F44C51"/>
    <w:rsid w:val="00F45BD2"/>
    <w:rsid w:val="00F50A56"/>
    <w:rsid w:val="00F51D37"/>
    <w:rsid w:val="00F525F6"/>
    <w:rsid w:val="00F53137"/>
    <w:rsid w:val="00F53306"/>
    <w:rsid w:val="00F54590"/>
    <w:rsid w:val="00F54F76"/>
    <w:rsid w:val="00F55354"/>
    <w:rsid w:val="00F55EE2"/>
    <w:rsid w:val="00F56DD2"/>
    <w:rsid w:val="00F5784D"/>
    <w:rsid w:val="00F6034A"/>
    <w:rsid w:val="00F60512"/>
    <w:rsid w:val="00F63BAD"/>
    <w:rsid w:val="00F64172"/>
    <w:rsid w:val="00F641F4"/>
    <w:rsid w:val="00F64AF1"/>
    <w:rsid w:val="00F652AB"/>
    <w:rsid w:val="00F65E43"/>
    <w:rsid w:val="00F65EDC"/>
    <w:rsid w:val="00F70D82"/>
    <w:rsid w:val="00F71A28"/>
    <w:rsid w:val="00F71D0D"/>
    <w:rsid w:val="00F71E78"/>
    <w:rsid w:val="00F73DAA"/>
    <w:rsid w:val="00F7444C"/>
    <w:rsid w:val="00F75694"/>
    <w:rsid w:val="00F7600E"/>
    <w:rsid w:val="00F765F4"/>
    <w:rsid w:val="00F767F1"/>
    <w:rsid w:val="00F76DDD"/>
    <w:rsid w:val="00F7710C"/>
    <w:rsid w:val="00F772CA"/>
    <w:rsid w:val="00F8053A"/>
    <w:rsid w:val="00F806DD"/>
    <w:rsid w:val="00F80EDD"/>
    <w:rsid w:val="00F81369"/>
    <w:rsid w:val="00F82298"/>
    <w:rsid w:val="00F839B0"/>
    <w:rsid w:val="00F83C3D"/>
    <w:rsid w:val="00F854C1"/>
    <w:rsid w:val="00F857F0"/>
    <w:rsid w:val="00F87CF8"/>
    <w:rsid w:val="00F9038A"/>
    <w:rsid w:val="00F904B5"/>
    <w:rsid w:val="00F908A6"/>
    <w:rsid w:val="00F91D5E"/>
    <w:rsid w:val="00F9204D"/>
    <w:rsid w:val="00F9352D"/>
    <w:rsid w:val="00F93A42"/>
    <w:rsid w:val="00F95D4C"/>
    <w:rsid w:val="00F96054"/>
    <w:rsid w:val="00F9694F"/>
    <w:rsid w:val="00F974EB"/>
    <w:rsid w:val="00FA00D8"/>
    <w:rsid w:val="00FA0A48"/>
    <w:rsid w:val="00FA0A70"/>
    <w:rsid w:val="00FA26A5"/>
    <w:rsid w:val="00FA3146"/>
    <w:rsid w:val="00FA331A"/>
    <w:rsid w:val="00FA3C5C"/>
    <w:rsid w:val="00FA3DE9"/>
    <w:rsid w:val="00FA4D4B"/>
    <w:rsid w:val="00FA5293"/>
    <w:rsid w:val="00FA59F1"/>
    <w:rsid w:val="00FA5EA6"/>
    <w:rsid w:val="00FA7C69"/>
    <w:rsid w:val="00FA7D24"/>
    <w:rsid w:val="00FB28CD"/>
    <w:rsid w:val="00FB2D64"/>
    <w:rsid w:val="00FB453F"/>
    <w:rsid w:val="00FB55AD"/>
    <w:rsid w:val="00FB637B"/>
    <w:rsid w:val="00FB6BDD"/>
    <w:rsid w:val="00FB6C8B"/>
    <w:rsid w:val="00FB72A2"/>
    <w:rsid w:val="00FB7721"/>
    <w:rsid w:val="00FC000C"/>
    <w:rsid w:val="00FC0EA2"/>
    <w:rsid w:val="00FC113F"/>
    <w:rsid w:val="00FC1C7A"/>
    <w:rsid w:val="00FC1FAF"/>
    <w:rsid w:val="00FC2534"/>
    <w:rsid w:val="00FC2E63"/>
    <w:rsid w:val="00FC3870"/>
    <w:rsid w:val="00FC40DA"/>
    <w:rsid w:val="00FC44F6"/>
    <w:rsid w:val="00FC491B"/>
    <w:rsid w:val="00FC50CD"/>
    <w:rsid w:val="00FC5A99"/>
    <w:rsid w:val="00FC6ED0"/>
    <w:rsid w:val="00FC7A1D"/>
    <w:rsid w:val="00FC7EFB"/>
    <w:rsid w:val="00FD0DCC"/>
    <w:rsid w:val="00FD1081"/>
    <w:rsid w:val="00FD1880"/>
    <w:rsid w:val="00FD331F"/>
    <w:rsid w:val="00FD35B7"/>
    <w:rsid w:val="00FD3BEB"/>
    <w:rsid w:val="00FD3E49"/>
    <w:rsid w:val="00FD4E8D"/>
    <w:rsid w:val="00FD5395"/>
    <w:rsid w:val="00FD5C8C"/>
    <w:rsid w:val="00FD7871"/>
    <w:rsid w:val="00FE3902"/>
    <w:rsid w:val="00FE4C46"/>
    <w:rsid w:val="00FE568C"/>
    <w:rsid w:val="00FE5919"/>
    <w:rsid w:val="00FE6C85"/>
    <w:rsid w:val="00FE7657"/>
    <w:rsid w:val="00FE7E3C"/>
    <w:rsid w:val="00FF103D"/>
    <w:rsid w:val="00FF2002"/>
    <w:rsid w:val="00FF2F75"/>
    <w:rsid w:val="00FF4F32"/>
    <w:rsid w:val="00FF500D"/>
    <w:rsid w:val="00FF54CA"/>
    <w:rsid w:val="00FF763F"/>
    <w:rsid w:val="00FF769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6E5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F2A"/>
    <w:pPr>
      <w:tabs>
        <w:tab w:val="center" w:pos="4320"/>
        <w:tab w:val="right" w:pos="8640"/>
      </w:tabs>
    </w:pPr>
  </w:style>
  <w:style w:type="character" w:customStyle="1" w:styleId="HeaderChar">
    <w:name w:val="Header Char"/>
    <w:basedOn w:val="DefaultParagraphFont"/>
    <w:link w:val="Header"/>
    <w:uiPriority w:val="99"/>
    <w:rsid w:val="00015F2A"/>
  </w:style>
  <w:style w:type="character" w:styleId="PageNumber">
    <w:name w:val="page number"/>
    <w:basedOn w:val="DefaultParagraphFont"/>
    <w:uiPriority w:val="99"/>
    <w:semiHidden/>
    <w:unhideWhenUsed/>
    <w:rsid w:val="00015F2A"/>
  </w:style>
  <w:style w:type="character" w:customStyle="1" w:styleId="EndnoteTextChar">
    <w:name w:val="Endnote Text Char"/>
    <w:basedOn w:val="DefaultParagraphFont"/>
    <w:link w:val="EndnoteText"/>
    <w:rsid w:val="006B7424"/>
  </w:style>
  <w:style w:type="paragraph" w:styleId="EndnoteText">
    <w:name w:val="endnote text"/>
    <w:basedOn w:val="Normal"/>
    <w:link w:val="EndnoteTextChar"/>
    <w:unhideWhenUsed/>
    <w:rsid w:val="006B7424"/>
  </w:style>
  <w:style w:type="paragraph" w:styleId="FootnoteText">
    <w:name w:val="footnote text"/>
    <w:basedOn w:val="Normal"/>
    <w:link w:val="FootnoteTextChar"/>
    <w:uiPriority w:val="99"/>
    <w:unhideWhenUsed/>
    <w:rsid w:val="00CF017A"/>
  </w:style>
  <w:style w:type="character" w:customStyle="1" w:styleId="FootnoteTextChar">
    <w:name w:val="Footnote Text Char"/>
    <w:basedOn w:val="DefaultParagraphFont"/>
    <w:link w:val="FootnoteText"/>
    <w:uiPriority w:val="99"/>
    <w:rsid w:val="00CF017A"/>
  </w:style>
  <w:style w:type="character" w:styleId="FootnoteReference">
    <w:name w:val="footnote reference"/>
    <w:basedOn w:val="DefaultParagraphFont"/>
    <w:uiPriority w:val="99"/>
    <w:unhideWhenUsed/>
    <w:rsid w:val="00CF017A"/>
    <w:rPr>
      <w:vertAlign w:val="superscript"/>
    </w:rPr>
  </w:style>
  <w:style w:type="character" w:styleId="Strong">
    <w:name w:val="Strong"/>
    <w:basedOn w:val="DefaultParagraphFont"/>
    <w:uiPriority w:val="22"/>
    <w:qFormat/>
    <w:rsid w:val="00092776"/>
    <w:rPr>
      <w:b/>
      <w:bCs/>
    </w:rPr>
  </w:style>
  <w:style w:type="paragraph" w:styleId="NormalWeb">
    <w:name w:val="Normal (Web)"/>
    <w:basedOn w:val="Normal"/>
    <w:uiPriority w:val="99"/>
    <w:unhideWhenUsed/>
    <w:rsid w:val="009C1120"/>
    <w:pPr>
      <w:spacing w:before="100" w:beforeAutospacing="1" w:after="100" w:afterAutospacing="1"/>
    </w:pPr>
    <w:rPr>
      <w:rFonts w:ascii="Times" w:hAnsi="Times" w:cs="Times New Roman"/>
      <w:sz w:val="20"/>
      <w:szCs w:val="20"/>
      <w:lang w:val="en-GB"/>
    </w:rPr>
  </w:style>
  <w:style w:type="table" w:styleId="TableGrid">
    <w:name w:val="Table Grid"/>
    <w:basedOn w:val="TableNormal"/>
    <w:uiPriority w:val="59"/>
    <w:rsid w:val="007B0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0D06"/>
    <w:pPr>
      <w:ind w:left="720"/>
      <w:contextualSpacing/>
    </w:pPr>
  </w:style>
  <w:style w:type="character" w:styleId="CommentReference">
    <w:name w:val="annotation reference"/>
    <w:basedOn w:val="DefaultParagraphFont"/>
    <w:uiPriority w:val="99"/>
    <w:semiHidden/>
    <w:unhideWhenUsed/>
    <w:rsid w:val="00E61DF9"/>
    <w:rPr>
      <w:sz w:val="18"/>
      <w:szCs w:val="18"/>
    </w:rPr>
  </w:style>
  <w:style w:type="paragraph" w:styleId="CommentText">
    <w:name w:val="annotation text"/>
    <w:basedOn w:val="Normal"/>
    <w:link w:val="CommentTextChar"/>
    <w:uiPriority w:val="99"/>
    <w:semiHidden/>
    <w:unhideWhenUsed/>
    <w:rsid w:val="00E61DF9"/>
  </w:style>
  <w:style w:type="character" w:customStyle="1" w:styleId="CommentTextChar">
    <w:name w:val="Comment Text Char"/>
    <w:basedOn w:val="DefaultParagraphFont"/>
    <w:link w:val="CommentText"/>
    <w:uiPriority w:val="99"/>
    <w:semiHidden/>
    <w:rsid w:val="00E61DF9"/>
  </w:style>
  <w:style w:type="paragraph" w:styleId="CommentSubject">
    <w:name w:val="annotation subject"/>
    <w:basedOn w:val="CommentText"/>
    <w:next w:val="CommentText"/>
    <w:link w:val="CommentSubjectChar"/>
    <w:uiPriority w:val="99"/>
    <w:semiHidden/>
    <w:unhideWhenUsed/>
    <w:rsid w:val="00E61DF9"/>
    <w:rPr>
      <w:b/>
      <w:bCs/>
      <w:sz w:val="20"/>
      <w:szCs w:val="20"/>
    </w:rPr>
  </w:style>
  <w:style w:type="character" w:customStyle="1" w:styleId="CommentSubjectChar">
    <w:name w:val="Comment Subject Char"/>
    <w:basedOn w:val="CommentTextChar"/>
    <w:link w:val="CommentSubject"/>
    <w:uiPriority w:val="99"/>
    <w:semiHidden/>
    <w:rsid w:val="00E61DF9"/>
    <w:rPr>
      <w:b/>
      <w:bCs/>
      <w:sz w:val="20"/>
      <w:szCs w:val="20"/>
    </w:rPr>
  </w:style>
  <w:style w:type="paragraph" w:styleId="BalloonText">
    <w:name w:val="Balloon Text"/>
    <w:basedOn w:val="Normal"/>
    <w:link w:val="BalloonTextChar"/>
    <w:uiPriority w:val="99"/>
    <w:semiHidden/>
    <w:unhideWhenUsed/>
    <w:rsid w:val="00E61D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F9"/>
    <w:rPr>
      <w:rFonts w:ascii="Lucida Grande" w:hAnsi="Lucida Grande" w:cs="Lucida Grande"/>
      <w:sz w:val="18"/>
      <w:szCs w:val="18"/>
    </w:rPr>
  </w:style>
  <w:style w:type="paragraph" w:customStyle="1" w:styleId="Default">
    <w:name w:val="Default"/>
    <w:rsid w:val="0012016E"/>
    <w:pPr>
      <w:widowControl w:val="0"/>
      <w:autoSpaceDE w:val="0"/>
      <w:autoSpaceDN w:val="0"/>
      <w:adjustRightInd w:val="0"/>
    </w:pPr>
    <w:rPr>
      <w:rFonts w:ascii="Times New Roman" w:hAnsi="Times New Roman" w:cs="Times New Roman"/>
      <w:color w:val="000000"/>
    </w:rPr>
  </w:style>
  <w:style w:type="paragraph" w:customStyle="1" w:styleId="refs">
    <w:name w:val="refs"/>
    <w:basedOn w:val="Normal"/>
    <w:rsid w:val="00521C22"/>
    <w:pPr>
      <w:spacing w:line="360" w:lineRule="auto"/>
      <w:ind w:left="240" w:hanging="240"/>
    </w:pPr>
    <w:rPr>
      <w:rFonts w:ascii="Garamond" w:eastAsia="#궁서체" w:hAnsi="Garamond" w:cs="Times New Roman"/>
      <w:sz w:val="22"/>
      <w:szCs w:val="22"/>
      <w:lang w:val="en-CA" w:eastAsia="ko-KR"/>
    </w:rPr>
  </w:style>
  <w:style w:type="character" w:styleId="Hyperlink">
    <w:name w:val="Hyperlink"/>
    <w:basedOn w:val="DefaultParagraphFont"/>
    <w:uiPriority w:val="99"/>
    <w:unhideWhenUsed/>
    <w:rsid w:val="00100ECD"/>
    <w:rPr>
      <w:color w:val="0000FF" w:themeColor="hyperlink"/>
      <w:u w:val="single"/>
    </w:rPr>
  </w:style>
  <w:style w:type="character" w:styleId="EndnoteReference">
    <w:name w:val="endnote reference"/>
    <w:basedOn w:val="DefaultParagraphFont"/>
    <w:uiPriority w:val="99"/>
    <w:semiHidden/>
    <w:unhideWhenUsed/>
    <w:rsid w:val="000753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92277">
      <w:bodyDiv w:val="1"/>
      <w:marLeft w:val="0"/>
      <w:marRight w:val="0"/>
      <w:marTop w:val="0"/>
      <w:marBottom w:val="0"/>
      <w:divBdr>
        <w:top w:val="none" w:sz="0" w:space="0" w:color="auto"/>
        <w:left w:val="none" w:sz="0" w:space="0" w:color="auto"/>
        <w:bottom w:val="none" w:sz="0" w:space="0" w:color="auto"/>
        <w:right w:val="none" w:sz="0" w:space="0" w:color="auto"/>
      </w:divBdr>
      <w:divsChild>
        <w:div w:id="1201630009">
          <w:marLeft w:val="547"/>
          <w:marRight w:val="0"/>
          <w:marTop w:val="115"/>
          <w:marBottom w:val="0"/>
          <w:divBdr>
            <w:top w:val="none" w:sz="0" w:space="0" w:color="auto"/>
            <w:left w:val="none" w:sz="0" w:space="0" w:color="auto"/>
            <w:bottom w:val="none" w:sz="0" w:space="0" w:color="auto"/>
            <w:right w:val="none" w:sz="0" w:space="0" w:color="auto"/>
          </w:divBdr>
        </w:div>
      </w:divsChild>
    </w:div>
    <w:div w:id="12190480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E7E41-AC1F-834F-BA1D-B7758973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9</Pages>
  <Words>4419</Words>
  <Characters>25192</Characters>
  <Application>Microsoft Macintosh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The Institute of Education, London</Company>
  <LinksUpToDate>false</LinksUpToDate>
  <CharactersWithSpaces>29552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William Marginson</dc:creator>
  <cp:keywords/>
  <dc:description/>
  <cp:lastModifiedBy>Simon Marginson</cp:lastModifiedBy>
  <cp:revision>15</cp:revision>
  <cp:lastPrinted>2016-10-28T12:36:00Z</cp:lastPrinted>
  <dcterms:created xsi:type="dcterms:W3CDTF">2016-10-29T03:45:00Z</dcterms:created>
  <dcterms:modified xsi:type="dcterms:W3CDTF">2016-11-17T21:52:00Z</dcterms:modified>
</cp:coreProperties>
</file>