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DB94" w14:textId="6FD8A604" w:rsidR="00106F46" w:rsidRPr="00431C42" w:rsidRDefault="00106F46" w:rsidP="00DF6211">
      <w:pPr>
        <w:rPr>
          <w:rFonts w:eastAsia="Times New Roman"/>
        </w:rPr>
      </w:pPr>
      <w:r w:rsidRPr="00D47DAA">
        <w:rPr>
          <w:bCs/>
          <w:color w:val="000000" w:themeColor="text1"/>
        </w:rPr>
        <w:t>[</w:t>
      </w:r>
      <w:r w:rsidR="001D6F1F" w:rsidRPr="00D47DAA">
        <w:rPr>
          <w:bCs/>
          <w:color w:val="000000" w:themeColor="text1"/>
        </w:rPr>
        <w:t>Revis</w:t>
      </w:r>
      <w:r w:rsidRPr="00D47DAA">
        <w:rPr>
          <w:bCs/>
          <w:color w:val="000000" w:themeColor="text1"/>
        </w:rPr>
        <w:t xml:space="preserve">ed for </w:t>
      </w:r>
      <w:r w:rsidR="00F161F1" w:rsidRPr="00D47DAA">
        <w:rPr>
          <w:bCs/>
          <w:i/>
          <w:color w:val="000000" w:themeColor="text1"/>
        </w:rPr>
        <w:t>Higher Education Quarterly</w:t>
      </w:r>
      <w:r w:rsidRPr="00D47DAA">
        <w:rPr>
          <w:bCs/>
          <w:color w:val="000000" w:themeColor="text1"/>
        </w:rPr>
        <w:t xml:space="preserve">, </w:t>
      </w:r>
      <w:r w:rsidR="001D6F1F" w:rsidRPr="00D47DAA">
        <w:rPr>
          <w:bCs/>
          <w:color w:val="000000" w:themeColor="text1"/>
        </w:rPr>
        <w:t>30 June</w:t>
      </w:r>
      <w:r w:rsidRPr="00D47DAA">
        <w:rPr>
          <w:bCs/>
          <w:color w:val="000000" w:themeColor="text1"/>
        </w:rPr>
        <w:t xml:space="preserve"> 2017</w:t>
      </w:r>
      <w:r w:rsidR="00D47DAA">
        <w:rPr>
          <w:bCs/>
          <w:color w:val="000000" w:themeColor="text1"/>
        </w:rPr>
        <w:t xml:space="preserve">, published online on 22 September </w:t>
      </w:r>
      <w:r w:rsidR="00431C42">
        <w:rPr>
          <w:bCs/>
          <w:color w:val="000000" w:themeColor="text1"/>
        </w:rPr>
        <w:t>2017,</w:t>
      </w:r>
      <w:r w:rsidR="00D47DAA" w:rsidRPr="00431C42">
        <w:rPr>
          <w:bCs/>
          <w:color w:val="000000" w:themeColor="text1"/>
        </w:rPr>
        <w:t xml:space="preserve"> </w:t>
      </w:r>
      <w:r w:rsidR="00431C42" w:rsidRPr="00431C42">
        <w:rPr>
          <w:rStyle w:val="article-headermeta-info-label"/>
          <w:rFonts w:eastAsia="Times New Roman"/>
          <w:bCs/>
          <w:color w:val="333333"/>
          <w:bdr w:val="none" w:sz="0" w:space="0" w:color="auto" w:frame="1"/>
        </w:rPr>
        <w:t>DOI:</w:t>
      </w:r>
      <w:r w:rsidR="0086127D">
        <w:rPr>
          <w:rStyle w:val="apple-converted-space"/>
          <w:rFonts w:eastAsia="Times New Roman"/>
          <w:bCs/>
          <w:color w:val="333333"/>
          <w:bdr w:val="none" w:sz="0" w:space="0" w:color="auto" w:frame="1"/>
        </w:rPr>
        <w:t xml:space="preserve"> </w:t>
      </w:r>
      <w:r w:rsidR="00431C42" w:rsidRPr="00431C42">
        <w:rPr>
          <w:rStyle w:val="article-headermeta-info-data"/>
          <w:rFonts w:eastAsia="Times New Roman"/>
          <w:color w:val="333333"/>
          <w:bdr w:val="none" w:sz="0" w:space="0" w:color="auto" w:frame="1"/>
        </w:rPr>
        <w:t>10.1111/hequ.12140</w:t>
      </w:r>
      <w:r w:rsidRPr="00431C42">
        <w:rPr>
          <w:bCs/>
          <w:color w:val="000000" w:themeColor="text1"/>
        </w:rPr>
        <w:t>]</w:t>
      </w:r>
    </w:p>
    <w:p w14:paraId="47362102" w14:textId="77777777" w:rsidR="00C668E3" w:rsidRPr="00D47DAA" w:rsidRDefault="00C668E3" w:rsidP="00DF6211">
      <w:pPr>
        <w:rPr>
          <w:b/>
          <w:bCs/>
          <w:color w:val="000000" w:themeColor="text1"/>
          <w:sz w:val="32"/>
          <w:szCs w:val="32"/>
        </w:rPr>
      </w:pPr>
    </w:p>
    <w:p w14:paraId="379B112B" w14:textId="298768F2" w:rsidR="0047644C" w:rsidRPr="00D47DAA" w:rsidRDefault="003A258A" w:rsidP="00DF6211">
      <w:pPr>
        <w:rPr>
          <w:b/>
          <w:bCs/>
          <w:color w:val="000000" w:themeColor="text1"/>
          <w:sz w:val="32"/>
          <w:szCs w:val="32"/>
        </w:rPr>
      </w:pPr>
      <w:r w:rsidRPr="00D47DAA">
        <w:rPr>
          <w:b/>
          <w:bCs/>
          <w:color w:val="000000" w:themeColor="text1"/>
          <w:sz w:val="32"/>
          <w:szCs w:val="32"/>
        </w:rPr>
        <w:t xml:space="preserve">And the Sky is Grey: </w:t>
      </w:r>
      <w:r w:rsidR="002712E9" w:rsidRPr="00D47DAA">
        <w:rPr>
          <w:b/>
          <w:bCs/>
          <w:color w:val="000000" w:themeColor="text1"/>
          <w:sz w:val="32"/>
          <w:szCs w:val="32"/>
        </w:rPr>
        <w:t>The a</w:t>
      </w:r>
      <w:r w:rsidRPr="00D47DAA">
        <w:rPr>
          <w:b/>
          <w:bCs/>
          <w:color w:val="000000" w:themeColor="text1"/>
          <w:sz w:val="32"/>
          <w:szCs w:val="32"/>
        </w:rPr>
        <w:t xml:space="preserve">mbivalent outcomes of the California Master Plan for Higher Education </w:t>
      </w:r>
    </w:p>
    <w:p w14:paraId="52EE632E" w14:textId="77777777" w:rsidR="0047644C" w:rsidRPr="00D47DAA" w:rsidRDefault="0047644C" w:rsidP="00DF6211">
      <w:pPr>
        <w:rPr>
          <w:color w:val="000000" w:themeColor="text1"/>
        </w:rPr>
      </w:pPr>
    </w:p>
    <w:p w14:paraId="523BCD54" w14:textId="3D745361" w:rsidR="00D53075" w:rsidRPr="00D47DAA" w:rsidRDefault="00106F46" w:rsidP="00DF6211">
      <w:pPr>
        <w:rPr>
          <w:color w:val="000000" w:themeColor="text1"/>
        </w:rPr>
      </w:pPr>
      <w:r w:rsidRPr="00D47DAA">
        <w:rPr>
          <w:color w:val="000000" w:themeColor="text1"/>
        </w:rPr>
        <w:t>Simon Marginson</w:t>
      </w:r>
      <w:r w:rsidR="00FB2B9E" w:rsidRPr="00D47DAA">
        <w:rPr>
          <w:color w:val="000000" w:themeColor="text1"/>
        </w:rPr>
        <w:t xml:space="preserve"> </w:t>
      </w:r>
    </w:p>
    <w:p w14:paraId="6740CB35" w14:textId="77777777" w:rsidR="00C668E3" w:rsidRPr="00D47DAA" w:rsidRDefault="00C668E3" w:rsidP="00DF6211">
      <w:pPr>
        <w:pStyle w:val="FootnoteText"/>
        <w:rPr>
          <w:rFonts w:ascii="Times New Roman" w:hAnsi="Times New Roman" w:cs="Times New Roman"/>
          <w:color w:val="000000" w:themeColor="text1"/>
          <w:lang w:val="en-GB"/>
        </w:rPr>
      </w:pPr>
      <w:r w:rsidRPr="00D47DAA">
        <w:rPr>
          <w:rFonts w:ascii="Times New Roman" w:hAnsi="Times New Roman" w:cs="Times New Roman"/>
          <w:color w:val="000000" w:themeColor="text1"/>
          <w:lang w:val="en-GB"/>
        </w:rPr>
        <w:t xml:space="preserve">UCL Institute </w:t>
      </w:r>
      <w:bookmarkStart w:id="0" w:name="_GoBack"/>
      <w:bookmarkEnd w:id="0"/>
      <w:r w:rsidRPr="00D47DAA">
        <w:rPr>
          <w:rFonts w:ascii="Times New Roman" w:hAnsi="Times New Roman" w:cs="Times New Roman"/>
          <w:color w:val="000000" w:themeColor="text1"/>
          <w:lang w:val="en-GB"/>
        </w:rPr>
        <w:t xml:space="preserve">of Education, University College London, UK. </w:t>
      </w:r>
    </w:p>
    <w:p w14:paraId="32AF8030" w14:textId="77777777" w:rsidR="00C668E3" w:rsidRPr="00D47DAA" w:rsidRDefault="00C668E3" w:rsidP="00DF6211">
      <w:pPr>
        <w:pStyle w:val="FootnoteText"/>
        <w:rPr>
          <w:rFonts w:ascii="Times New Roman" w:hAnsi="Times New Roman" w:cs="Times New Roman"/>
          <w:color w:val="000000" w:themeColor="text1"/>
          <w:lang w:val="en-GB"/>
        </w:rPr>
      </w:pPr>
    </w:p>
    <w:p w14:paraId="11D58403" w14:textId="77777777" w:rsidR="00C668E3" w:rsidRPr="00D47DAA" w:rsidRDefault="00C668E3" w:rsidP="00DF6211">
      <w:pPr>
        <w:pStyle w:val="FootnoteText"/>
        <w:rPr>
          <w:rFonts w:ascii="Times New Roman" w:hAnsi="Times New Roman" w:cs="Times New Roman"/>
          <w:color w:val="000000" w:themeColor="text1"/>
          <w:lang w:val="en-GB"/>
        </w:rPr>
      </w:pPr>
    </w:p>
    <w:p w14:paraId="3BC097E1" w14:textId="34A317D2" w:rsidR="00C668E3" w:rsidRPr="00D47DAA" w:rsidRDefault="00C668E3" w:rsidP="00DF6211">
      <w:pPr>
        <w:pStyle w:val="FootnoteText"/>
        <w:rPr>
          <w:rFonts w:ascii="Times New Roman" w:hAnsi="Times New Roman" w:cs="Times New Roman"/>
          <w:color w:val="000000" w:themeColor="text1"/>
          <w:lang w:val="en-GB"/>
        </w:rPr>
      </w:pPr>
      <w:r w:rsidRPr="00D47DAA">
        <w:rPr>
          <w:rFonts w:ascii="Times New Roman" w:hAnsi="Times New Roman" w:cs="Times New Roman"/>
          <w:i/>
          <w:color w:val="000000" w:themeColor="text1"/>
          <w:lang w:val="en-GB"/>
        </w:rPr>
        <w:t>Address:</w:t>
      </w:r>
      <w:r w:rsidRPr="00D47DAA">
        <w:rPr>
          <w:rFonts w:ascii="Times New Roman" w:hAnsi="Times New Roman" w:cs="Times New Roman"/>
          <w:color w:val="000000" w:themeColor="text1"/>
          <w:lang w:val="en-GB"/>
        </w:rPr>
        <w:t xml:space="preserve"> UCL Institute of Education, University College London, 20 Bedford Way, London, WC1H 0AL, United Kingdom</w:t>
      </w:r>
    </w:p>
    <w:p w14:paraId="6FD5AD0D" w14:textId="77777777" w:rsidR="00C668E3" w:rsidRPr="00D47DAA" w:rsidRDefault="00C668E3" w:rsidP="00DF6211">
      <w:pPr>
        <w:pStyle w:val="FootnoteText"/>
        <w:rPr>
          <w:rFonts w:ascii="Times New Roman" w:hAnsi="Times New Roman" w:cs="Times New Roman"/>
          <w:i/>
          <w:color w:val="000000" w:themeColor="text1"/>
          <w:lang w:val="en-GB"/>
        </w:rPr>
      </w:pPr>
    </w:p>
    <w:p w14:paraId="668F7498" w14:textId="77777777" w:rsidR="00C668E3" w:rsidRPr="00D47DAA" w:rsidRDefault="00C668E3" w:rsidP="00DF6211">
      <w:pPr>
        <w:pStyle w:val="FootnoteText"/>
        <w:rPr>
          <w:rFonts w:ascii="Times New Roman" w:hAnsi="Times New Roman" w:cs="Times New Roman"/>
          <w:color w:val="000000" w:themeColor="text1"/>
          <w:lang w:val="en-GB"/>
        </w:rPr>
      </w:pPr>
      <w:r w:rsidRPr="00D47DAA">
        <w:rPr>
          <w:rFonts w:ascii="Times New Roman" w:hAnsi="Times New Roman" w:cs="Times New Roman"/>
          <w:i/>
          <w:color w:val="000000" w:themeColor="text1"/>
          <w:lang w:val="en-GB"/>
        </w:rPr>
        <w:t>Phone:</w:t>
      </w:r>
      <w:r w:rsidRPr="00D47DAA">
        <w:rPr>
          <w:rFonts w:ascii="Times New Roman" w:hAnsi="Times New Roman" w:cs="Times New Roman"/>
          <w:color w:val="000000" w:themeColor="text1"/>
          <w:lang w:val="en-GB"/>
        </w:rPr>
        <w:t xml:space="preserve"> +44 (0) 7876323949</w:t>
      </w:r>
    </w:p>
    <w:p w14:paraId="735CBCC9" w14:textId="77777777" w:rsidR="00C668E3" w:rsidRPr="00D47DAA" w:rsidRDefault="00C668E3" w:rsidP="00DF6211">
      <w:pPr>
        <w:rPr>
          <w:i/>
          <w:color w:val="000000" w:themeColor="text1"/>
        </w:rPr>
      </w:pPr>
    </w:p>
    <w:p w14:paraId="7E88F58B" w14:textId="2878CD9A" w:rsidR="00C668E3" w:rsidRPr="00D47DAA" w:rsidRDefault="00C668E3" w:rsidP="00DF6211">
      <w:pPr>
        <w:rPr>
          <w:b/>
          <w:color w:val="000000" w:themeColor="text1"/>
        </w:rPr>
      </w:pPr>
      <w:r w:rsidRPr="00D47DAA">
        <w:rPr>
          <w:i/>
          <w:color w:val="000000" w:themeColor="text1"/>
        </w:rPr>
        <w:t>Email:</w:t>
      </w:r>
      <w:r w:rsidRPr="00D47DAA">
        <w:rPr>
          <w:color w:val="000000" w:themeColor="text1"/>
        </w:rPr>
        <w:t xml:space="preserve"> s.marginson@ucl.ac.uk</w:t>
      </w:r>
    </w:p>
    <w:p w14:paraId="029D333B" w14:textId="77777777" w:rsidR="00C668E3" w:rsidRPr="00D47DAA" w:rsidRDefault="00C668E3" w:rsidP="00DF6211">
      <w:pPr>
        <w:rPr>
          <w:b/>
          <w:color w:val="000000" w:themeColor="text1"/>
        </w:rPr>
      </w:pPr>
    </w:p>
    <w:p w14:paraId="2A0FD0E5" w14:textId="6675E02B" w:rsidR="00C668E3" w:rsidRPr="00D47DAA" w:rsidRDefault="00C668E3" w:rsidP="00DF6211">
      <w:pPr>
        <w:rPr>
          <w:color w:val="000000" w:themeColor="text1"/>
        </w:rPr>
      </w:pPr>
      <w:r w:rsidRPr="00D47DAA">
        <w:rPr>
          <w:i/>
          <w:color w:val="000000" w:themeColor="text1"/>
        </w:rPr>
        <w:t>Author bio:</w:t>
      </w:r>
      <w:r w:rsidRPr="00D47DAA">
        <w:rPr>
          <w:b/>
          <w:color w:val="000000" w:themeColor="text1"/>
        </w:rPr>
        <w:t xml:space="preserve"> </w:t>
      </w:r>
      <w:r w:rsidRPr="00D47DAA">
        <w:rPr>
          <w:color w:val="000000" w:themeColor="text1"/>
        </w:rPr>
        <w:t xml:space="preserve">Simon Marginson is Professor of International Higher Education at the UCL Institute of Education, University College London, and Director of the ESRC/HEFCE Centre for Global Higher Education. He is also Editor-in-Chief of </w:t>
      </w:r>
      <w:r w:rsidRPr="00D47DAA">
        <w:rPr>
          <w:i/>
          <w:color w:val="000000" w:themeColor="text1"/>
        </w:rPr>
        <w:t>Higher Education</w:t>
      </w:r>
      <w:r w:rsidRPr="00D47DAA">
        <w:rPr>
          <w:color w:val="000000" w:themeColor="text1"/>
        </w:rPr>
        <w:t xml:space="preserve">. </w:t>
      </w:r>
    </w:p>
    <w:p w14:paraId="3942B467" w14:textId="77777777" w:rsidR="00C668E3" w:rsidRPr="00D47DAA" w:rsidRDefault="00C668E3" w:rsidP="00DF6211">
      <w:pPr>
        <w:rPr>
          <w:b/>
          <w:color w:val="000000" w:themeColor="text1"/>
        </w:rPr>
      </w:pPr>
    </w:p>
    <w:p w14:paraId="084A05C4" w14:textId="77777777" w:rsidR="00DF6211" w:rsidRPr="00D47DAA" w:rsidRDefault="00DF6211" w:rsidP="00DF6211">
      <w:pPr>
        <w:rPr>
          <w:b/>
          <w:color w:val="000000" w:themeColor="text1"/>
          <w:sz w:val="28"/>
          <w:szCs w:val="28"/>
        </w:rPr>
      </w:pPr>
    </w:p>
    <w:p w14:paraId="63C30851" w14:textId="4D09B3F8" w:rsidR="00C668E3" w:rsidRPr="00D47DAA" w:rsidRDefault="00C668E3" w:rsidP="00DF6211">
      <w:pPr>
        <w:rPr>
          <w:b/>
          <w:color w:val="000000" w:themeColor="text1"/>
          <w:sz w:val="28"/>
          <w:szCs w:val="28"/>
        </w:rPr>
      </w:pPr>
      <w:r w:rsidRPr="00D47DAA">
        <w:rPr>
          <w:b/>
          <w:color w:val="000000" w:themeColor="text1"/>
          <w:sz w:val="28"/>
          <w:szCs w:val="28"/>
        </w:rPr>
        <w:t>Abstract</w:t>
      </w:r>
    </w:p>
    <w:p w14:paraId="07EBEFBF" w14:textId="77777777" w:rsidR="00C668E3" w:rsidRPr="00D47DAA" w:rsidRDefault="00C668E3" w:rsidP="00DF6211">
      <w:pPr>
        <w:rPr>
          <w:color w:val="000000" w:themeColor="text1"/>
        </w:rPr>
      </w:pPr>
    </w:p>
    <w:p w14:paraId="7660435A" w14:textId="4BFBF9E4" w:rsidR="00BF6B8A" w:rsidRPr="00D47DAA" w:rsidRDefault="003A258A" w:rsidP="00DF6211">
      <w:pPr>
        <w:rPr>
          <w:rFonts w:eastAsia="Times New Roman"/>
          <w:color w:val="000000" w:themeColor="text1"/>
        </w:rPr>
      </w:pPr>
      <w:r w:rsidRPr="00D47DAA">
        <w:rPr>
          <w:rFonts w:eastAsia="Times New Roman"/>
          <w:color w:val="000000" w:themeColor="text1"/>
          <w:shd w:val="clear" w:color="auto" w:fill="FFFFFF"/>
        </w:rPr>
        <w:t>In the</w:t>
      </w:r>
      <w:r w:rsidR="00BF6B8A" w:rsidRPr="00D47DAA">
        <w:rPr>
          <w:rFonts w:eastAsia="Times New Roman"/>
          <w:color w:val="000000" w:themeColor="text1"/>
          <w:shd w:val="clear" w:color="auto" w:fill="FFFFFF"/>
        </w:rPr>
        <w:t xml:space="preserve"> </w:t>
      </w:r>
      <w:r w:rsidRPr="00D47DAA">
        <w:rPr>
          <w:rFonts w:eastAsia="Times New Roman"/>
          <w:color w:val="000000" w:themeColor="text1"/>
          <w:shd w:val="clear" w:color="auto" w:fill="FFFFFF"/>
        </w:rPr>
        <w:t xml:space="preserve">1960 </w:t>
      </w:r>
      <w:r w:rsidR="00BF6B8A" w:rsidRPr="00D47DAA">
        <w:rPr>
          <w:rFonts w:eastAsia="Times New Roman"/>
          <w:color w:val="000000" w:themeColor="text1"/>
          <w:shd w:val="clear" w:color="auto" w:fill="FFFFFF"/>
        </w:rPr>
        <w:t>Master Plan for Higher Education</w:t>
      </w:r>
      <w:r w:rsidRPr="00D47DAA">
        <w:rPr>
          <w:rFonts w:eastAsia="Times New Roman"/>
          <w:color w:val="000000" w:themeColor="text1"/>
          <w:shd w:val="clear" w:color="auto" w:fill="FFFFFF"/>
        </w:rPr>
        <w:t>,</w:t>
      </w:r>
      <w:r w:rsidR="00BF6B8A" w:rsidRPr="00D47DAA">
        <w:rPr>
          <w:rFonts w:eastAsia="Times New Roman"/>
          <w:color w:val="000000" w:themeColor="text1"/>
          <w:shd w:val="clear" w:color="auto" w:fill="FFFFFF"/>
        </w:rPr>
        <w:t xml:space="preserve"> California</w:t>
      </w:r>
      <w:r w:rsidRPr="00D47DAA">
        <w:rPr>
          <w:rFonts w:eastAsia="Times New Roman"/>
          <w:color w:val="000000" w:themeColor="text1"/>
          <w:shd w:val="clear" w:color="auto" w:fill="FFFFFF"/>
        </w:rPr>
        <w:t xml:space="preserve"> in the United States famously combined the principles of</w:t>
      </w:r>
      <w:r w:rsidR="00BF6B8A" w:rsidRPr="00D47DAA">
        <w:rPr>
          <w:rFonts w:eastAsia="Times New Roman"/>
          <w:color w:val="000000" w:themeColor="text1"/>
          <w:shd w:val="clear" w:color="auto" w:fill="FFFFFF"/>
        </w:rPr>
        <w:t xml:space="preserve"> excellence </w:t>
      </w:r>
      <w:r w:rsidRPr="00D47DAA">
        <w:rPr>
          <w:rFonts w:eastAsia="Times New Roman"/>
          <w:color w:val="000000" w:themeColor="text1"/>
          <w:shd w:val="clear" w:color="auto" w:fill="FFFFFF"/>
        </w:rPr>
        <w:t>and</w:t>
      </w:r>
      <w:r w:rsidR="00BF6B8A" w:rsidRPr="00D47DAA">
        <w:rPr>
          <w:rFonts w:eastAsia="Times New Roman"/>
          <w:color w:val="000000" w:themeColor="text1"/>
          <w:shd w:val="clear" w:color="auto" w:fill="FFFFFF"/>
        </w:rPr>
        <w:t xml:space="preserve"> access within a </w:t>
      </w:r>
      <w:r w:rsidR="00924A1C" w:rsidRPr="00D47DAA">
        <w:rPr>
          <w:rFonts w:eastAsia="Times New Roman"/>
          <w:color w:val="000000" w:themeColor="text1"/>
          <w:shd w:val="clear" w:color="auto" w:fill="FFFFFF"/>
        </w:rPr>
        <w:t xml:space="preserve">steep </w:t>
      </w:r>
      <w:r w:rsidRPr="00D47DAA">
        <w:rPr>
          <w:rFonts w:eastAsia="Times New Roman"/>
          <w:color w:val="000000" w:themeColor="text1"/>
          <w:shd w:val="clear" w:color="auto" w:fill="FFFFFF"/>
        </w:rPr>
        <w:t>three-</w:t>
      </w:r>
      <w:r w:rsidR="00BF6B8A" w:rsidRPr="00D47DAA">
        <w:rPr>
          <w:rFonts w:eastAsia="Times New Roman"/>
          <w:color w:val="000000" w:themeColor="text1"/>
          <w:shd w:val="clear" w:color="auto" w:fill="FFFFFF"/>
        </w:rPr>
        <w:t xml:space="preserve">tiered system of higher education. </w:t>
      </w:r>
      <w:r w:rsidRPr="00D47DAA">
        <w:rPr>
          <w:rFonts w:eastAsia="Times New Roman"/>
          <w:color w:val="000000" w:themeColor="text1"/>
          <w:shd w:val="clear" w:color="auto" w:fill="FFFFFF"/>
        </w:rPr>
        <w:t xml:space="preserve">It fashioned the world’s strongest system of public research universities, while creating an open access system that brought college to millions of American families to the first time. </w:t>
      </w:r>
      <w:r w:rsidR="009B5718" w:rsidRPr="00D47DAA">
        <w:rPr>
          <w:rFonts w:eastAsia="Times New Roman"/>
          <w:color w:val="000000" w:themeColor="text1"/>
          <w:shd w:val="clear" w:color="auto" w:fill="FFFFFF"/>
        </w:rPr>
        <w:t xml:space="preserve">Since 1960 the Master Plan has been admired and </w:t>
      </w:r>
      <w:r w:rsidR="00924A1C" w:rsidRPr="00D47DAA">
        <w:rPr>
          <w:rFonts w:eastAsia="Times New Roman"/>
          <w:color w:val="000000" w:themeColor="text1"/>
          <w:shd w:val="clear" w:color="auto" w:fill="FFFFFF"/>
        </w:rPr>
        <w:t>influential</w:t>
      </w:r>
      <w:r w:rsidR="009B5718" w:rsidRPr="00D47DAA">
        <w:rPr>
          <w:rFonts w:eastAsia="Times New Roman"/>
          <w:color w:val="000000" w:themeColor="text1"/>
          <w:shd w:val="clear" w:color="auto" w:fill="FFFFFF"/>
        </w:rPr>
        <w:t xml:space="preserve"> across the world. </w:t>
      </w:r>
      <w:r w:rsidR="00BF6B8A" w:rsidRPr="00D47DAA">
        <w:rPr>
          <w:rFonts w:eastAsia="Times New Roman"/>
          <w:color w:val="000000" w:themeColor="text1"/>
          <w:shd w:val="clear" w:color="auto" w:fill="FFFFFF"/>
        </w:rPr>
        <w:t xml:space="preserve">Yet the political </w:t>
      </w:r>
      <w:r w:rsidRPr="00D47DAA">
        <w:rPr>
          <w:rFonts w:eastAsia="Times New Roman"/>
          <w:color w:val="000000" w:themeColor="text1"/>
          <w:shd w:val="clear" w:color="auto" w:fill="FFFFFF"/>
        </w:rPr>
        <w:t xml:space="preserve">and fiscal </w:t>
      </w:r>
      <w:r w:rsidR="00BF6B8A" w:rsidRPr="00D47DAA">
        <w:rPr>
          <w:rFonts w:eastAsia="Times New Roman"/>
          <w:color w:val="000000" w:themeColor="text1"/>
          <w:shd w:val="clear" w:color="auto" w:fill="FFFFFF"/>
        </w:rPr>
        <w:t xml:space="preserve">conditions supporting the </w:t>
      </w:r>
      <w:r w:rsidRPr="00D47DAA">
        <w:rPr>
          <w:rFonts w:eastAsia="Times New Roman"/>
          <w:color w:val="000000" w:themeColor="text1"/>
          <w:shd w:val="clear" w:color="auto" w:fill="FFFFFF"/>
        </w:rPr>
        <w:t>Master Plan</w:t>
      </w:r>
      <w:r w:rsidR="00BF6B8A" w:rsidRPr="00D47DAA">
        <w:rPr>
          <w:rFonts w:eastAsia="Times New Roman"/>
          <w:color w:val="000000" w:themeColor="text1"/>
          <w:shd w:val="clear" w:color="auto" w:fill="FFFFFF"/>
        </w:rPr>
        <w:t xml:space="preserve"> have </w:t>
      </w:r>
      <w:r w:rsidR="009B5718" w:rsidRPr="00D47DAA">
        <w:rPr>
          <w:rFonts w:eastAsia="Times New Roman"/>
          <w:color w:val="000000" w:themeColor="text1"/>
          <w:shd w:val="clear" w:color="auto" w:fill="FFFFFF"/>
        </w:rPr>
        <w:t xml:space="preserve">now </w:t>
      </w:r>
      <w:r w:rsidR="00BF6B8A" w:rsidRPr="00D47DAA">
        <w:rPr>
          <w:rFonts w:eastAsia="Times New Roman"/>
          <w:color w:val="000000" w:themeColor="text1"/>
          <w:shd w:val="clear" w:color="auto" w:fill="FFFFFF"/>
        </w:rPr>
        <w:t>evaporated</w:t>
      </w:r>
      <w:r w:rsidR="009B5718" w:rsidRPr="00D47DAA">
        <w:rPr>
          <w:rFonts w:eastAsia="Times New Roman"/>
          <w:color w:val="000000" w:themeColor="text1"/>
          <w:shd w:val="clear" w:color="auto" w:fill="FFFFFF"/>
        </w:rPr>
        <w:t>.</w:t>
      </w:r>
      <w:r w:rsidRPr="00D47DAA">
        <w:rPr>
          <w:rFonts w:eastAsia="Times New Roman"/>
          <w:color w:val="000000" w:themeColor="text1"/>
          <w:shd w:val="clear" w:color="auto" w:fill="FFFFFF"/>
        </w:rPr>
        <w:t xml:space="preserve"> California turns away hundreds of thousands of prospective students each</w:t>
      </w:r>
      <w:r w:rsidR="009B5718" w:rsidRPr="00D47DAA">
        <w:rPr>
          <w:rFonts w:eastAsia="Times New Roman"/>
          <w:color w:val="000000" w:themeColor="text1"/>
          <w:shd w:val="clear" w:color="auto" w:fill="FFFFFF"/>
        </w:rPr>
        <w:t xml:space="preserve"> year</w:t>
      </w:r>
      <w:r w:rsidRPr="00D47DAA">
        <w:rPr>
          <w:rFonts w:eastAsia="Times New Roman"/>
          <w:color w:val="000000" w:themeColor="text1"/>
          <w:shd w:val="clear" w:color="auto" w:fill="FFFFFF"/>
        </w:rPr>
        <w:t xml:space="preserve">, and the University of California, </w:t>
      </w:r>
      <w:r w:rsidR="001D6F1F" w:rsidRPr="00D47DAA">
        <w:rPr>
          <w:rFonts w:eastAsia="Times New Roman"/>
          <w:color w:val="000000" w:themeColor="text1"/>
          <w:shd w:val="clear" w:color="auto" w:fill="FFFFFF"/>
        </w:rPr>
        <w:t>facing</w:t>
      </w:r>
      <w:r w:rsidRPr="00D47DAA">
        <w:rPr>
          <w:rFonts w:eastAsia="Times New Roman"/>
          <w:color w:val="000000" w:themeColor="text1"/>
          <w:shd w:val="clear" w:color="auto" w:fill="FFFFFF"/>
        </w:rPr>
        <w:t xml:space="preserve"> spiralling deficits, finds it more difficult to </w:t>
      </w:r>
      <w:r w:rsidR="001D6F1F" w:rsidRPr="00D47DAA">
        <w:rPr>
          <w:rFonts w:eastAsia="Times New Roman"/>
          <w:color w:val="000000" w:themeColor="text1"/>
          <w:shd w:val="clear" w:color="auto" w:fill="FFFFFF"/>
        </w:rPr>
        <w:t xml:space="preserve">maintain operating costs and </w:t>
      </w:r>
      <w:r w:rsidRPr="00D47DAA">
        <w:rPr>
          <w:rFonts w:eastAsia="Times New Roman"/>
          <w:color w:val="000000" w:themeColor="text1"/>
          <w:shd w:val="clear" w:color="auto" w:fill="FFFFFF"/>
        </w:rPr>
        <w:t xml:space="preserve">compete </w:t>
      </w:r>
      <w:r w:rsidR="003450E4" w:rsidRPr="00D47DAA">
        <w:rPr>
          <w:rFonts w:eastAsia="Times New Roman"/>
          <w:color w:val="000000" w:themeColor="text1"/>
          <w:shd w:val="clear" w:color="auto" w:fill="FFFFFF"/>
        </w:rPr>
        <w:t xml:space="preserve">with top private universities </w:t>
      </w:r>
      <w:r w:rsidRPr="00D47DAA">
        <w:rPr>
          <w:rFonts w:eastAsia="Times New Roman"/>
          <w:color w:val="000000" w:themeColor="text1"/>
          <w:shd w:val="clear" w:color="auto" w:fill="FFFFFF"/>
        </w:rPr>
        <w:t xml:space="preserve">for leading researchers. </w:t>
      </w:r>
      <w:r w:rsidR="00BF6B8A" w:rsidRPr="00D47DAA">
        <w:rPr>
          <w:rFonts w:eastAsia="Times New Roman"/>
          <w:color w:val="000000" w:themeColor="text1"/>
          <w:shd w:val="clear" w:color="auto" w:fill="FFFFFF"/>
        </w:rPr>
        <w:t xml:space="preserve">The article </w:t>
      </w:r>
      <w:r w:rsidR="001D6F1F" w:rsidRPr="00D47DAA">
        <w:rPr>
          <w:rFonts w:eastAsia="Times New Roman"/>
          <w:color w:val="000000" w:themeColor="text1"/>
          <w:shd w:val="clear" w:color="auto" w:fill="FFFFFF"/>
        </w:rPr>
        <w:t>discusses</w:t>
      </w:r>
      <w:r w:rsidR="00BF6B8A" w:rsidRPr="00D47DAA">
        <w:rPr>
          <w:rFonts w:eastAsia="Times New Roman"/>
          <w:color w:val="000000" w:themeColor="text1"/>
          <w:shd w:val="clear" w:color="auto" w:fill="FFFFFF"/>
        </w:rPr>
        <w:t xml:space="preserve"> the rise and partial fall of the Californian system as embodied in the Master Plan, and </w:t>
      </w:r>
      <w:r w:rsidR="001D6F1F" w:rsidRPr="00D47DAA">
        <w:rPr>
          <w:rFonts w:eastAsia="Times New Roman"/>
          <w:color w:val="000000" w:themeColor="text1"/>
          <w:shd w:val="clear" w:color="auto" w:fill="FFFFFF"/>
        </w:rPr>
        <w:t>identifies</w:t>
      </w:r>
      <w:r w:rsidR="00BF6B8A" w:rsidRPr="00D47DAA">
        <w:rPr>
          <w:rFonts w:eastAsia="Times New Roman"/>
          <w:color w:val="000000" w:themeColor="text1"/>
          <w:shd w:val="clear" w:color="auto" w:fill="FFFFFF"/>
        </w:rPr>
        <w:t xml:space="preserve"> </w:t>
      </w:r>
      <w:r w:rsidR="001D6F1F" w:rsidRPr="00D47DAA">
        <w:rPr>
          <w:rFonts w:eastAsia="Times New Roman"/>
          <w:color w:val="000000" w:themeColor="text1"/>
          <w:shd w:val="clear" w:color="auto" w:fill="FFFFFF"/>
        </w:rPr>
        <w:t xml:space="preserve">general </w:t>
      </w:r>
      <w:r w:rsidR="00BF6B8A" w:rsidRPr="00D47DAA">
        <w:rPr>
          <w:rFonts w:eastAsia="Times New Roman"/>
          <w:color w:val="000000" w:themeColor="text1"/>
          <w:shd w:val="clear" w:color="auto" w:fill="FFFFFF"/>
        </w:rPr>
        <w:t xml:space="preserve">lessons for </w:t>
      </w:r>
      <w:r w:rsidRPr="00D47DAA">
        <w:rPr>
          <w:rFonts w:eastAsia="Times New Roman"/>
          <w:color w:val="000000" w:themeColor="text1"/>
          <w:shd w:val="clear" w:color="auto" w:fill="FFFFFF"/>
        </w:rPr>
        <w:t>higher education systems</w:t>
      </w:r>
      <w:r w:rsidR="00BF6B8A" w:rsidRPr="00D47DAA">
        <w:rPr>
          <w:rFonts w:eastAsia="Times New Roman"/>
          <w:color w:val="000000" w:themeColor="text1"/>
          <w:shd w:val="clear" w:color="auto" w:fill="FFFFFF"/>
        </w:rPr>
        <w:t>.</w:t>
      </w:r>
    </w:p>
    <w:p w14:paraId="694F9323" w14:textId="77777777" w:rsidR="00403ABA" w:rsidRPr="00D47DAA" w:rsidRDefault="00403ABA" w:rsidP="00DF6211">
      <w:pPr>
        <w:rPr>
          <w:color w:val="000000" w:themeColor="text1"/>
        </w:rPr>
      </w:pPr>
    </w:p>
    <w:p w14:paraId="1B7DD9F5" w14:textId="3B25FD13" w:rsidR="00C668E3" w:rsidRPr="00D47DAA" w:rsidRDefault="00C668E3" w:rsidP="00DF6211">
      <w:pPr>
        <w:rPr>
          <w:b/>
          <w:color w:val="000000" w:themeColor="text1"/>
          <w:sz w:val="28"/>
          <w:szCs w:val="28"/>
        </w:rPr>
      </w:pPr>
      <w:r w:rsidRPr="00D47DAA">
        <w:rPr>
          <w:b/>
          <w:color w:val="000000" w:themeColor="text1"/>
          <w:sz w:val="28"/>
          <w:szCs w:val="28"/>
        </w:rPr>
        <w:t>Keywords</w:t>
      </w:r>
    </w:p>
    <w:p w14:paraId="461F55A9" w14:textId="77777777" w:rsidR="00C668E3" w:rsidRPr="00D47DAA" w:rsidRDefault="00C668E3" w:rsidP="00DF6211">
      <w:pPr>
        <w:rPr>
          <w:color w:val="000000" w:themeColor="text1"/>
        </w:rPr>
      </w:pPr>
    </w:p>
    <w:p w14:paraId="3B6AA316" w14:textId="7AF115DD" w:rsidR="00C668E3" w:rsidRPr="00D47DAA" w:rsidRDefault="00C668E3" w:rsidP="00DF6211">
      <w:pPr>
        <w:rPr>
          <w:color w:val="000000" w:themeColor="text1"/>
        </w:rPr>
      </w:pPr>
      <w:r w:rsidRPr="00D47DAA">
        <w:rPr>
          <w:color w:val="000000" w:themeColor="text1"/>
        </w:rPr>
        <w:t>California, Educational planning, Participation</w:t>
      </w:r>
      <w:r w:rsidR="005E4A6D" w:rsidRPr="00D47DAA">
        <w:rPr>
          <w:color w:val="000000" w:themeColor="text1"/>
        </w:rPr>
        <w:t xml:space="preserve">, Research, Economic inequality, </w:t>
      </w:r>
      <w:r w:rsidR="003A258A" w:rsidRPr="00D47DAA">
        <w:rPr>
          <w:color w:val="000000" w:themeColor="text1"/>
        </w:rPr>
        <w:t>Social</w:t>
      </w:r>
      <w:r w:rsidR="005E4A6D" w:rsidRPr="00D47DAA">
        <w:rPr>
          <w:color w:val="000000" w:themeColor="text1"/>
        </w:rPr>
        <w:t xml:space="preserve"> stratification</w:t>
      </w:r>
    </w:p>
    <w:p w14:paraId="545BFD77" w14:textId="77777777" w:rsidR="00C668E3" w:rsidRPr="00D47DAA" w:rsidRDefault="00C668E3" w:rsidP="00DF6211">
      <w:pPr>
        <w:rPr>
          <w:color w:val="000000" w:themeColor="text1"/>
        </w:rPr>
      </w:pPr>
    </w:p>
    <w:p w14:paraId="123669D1" w14:textId="77777777" w:rsidR="00C668E3" w:rsidRPr="00D47DAA" w:rsidRDefault="00C668E3" w:rsidP="00DF6211">
      <w:pPr>
        <w:rPr>
          <w:b/>
          <w:color w:val="000000" w:themeColor="text1"/>
          <w:sz w:val="28"/>
          <w:szCs w:val="28"/>
        </w:rPr>
      </w:pPr>
      <w:r w:rsidRPr="00D47DAA">
        <w:rPr>
          <w:b/>
          <w:color w:val="000000" w:themeColor="text1"/>
          <w:sz w:val="28"/>
          <w:szCs w:val="28"/>
        </w:rPr>
        <w:br w:type="page"/>
      </w:r>
    </w:p>
    <w:p w14:paraId="1CAE7673" w14:textId="77777777" w:rsidR="00924A1C" w:rsidRPr="00D47DAA" w:rsidRDefault="00924A1C" w:rsidP="00DF6211">
      <w:pPr>
        <w:rPr>
          <w:b/>
          <w:color w:val="000000" w:themeColor="text1"/>
          <w:sz w:val="28"/>
          <w:szCs w:val="28"/>
        </w:rPr>
      </w:pPr>
      <w:r w:rsidRPr="00D47DAA">
        <w:rPr>
          <w:b/>
          <w:color w:val="000000" w:themeColor="text1"/>
          <w:sz w:val="28"/>
          <w:szCs w:val="28"/>
        </w:rPr>
        <w:lastRenderedPageBreak/>
        <w:t>Introduction</w:t>
      </w:r>
    </w:p>
    <w:p w14:paraId="426689D6" w14:textId="77777777" w:rsidR="00924A1C" w:rsidRPr="00D47DAA" w:rsidRDefault="00924A1C" w:rsidP="00DF6211">
      <w:pPr>
        <w:rPr>
          <w:color w:val="000000" w:themeColor="text1"/>
        </w:rPr>
      </w:pPr>
    </w:p>
    <w:p w14:paraId="14AAA67B" w14:textId="0170EB62" w:rsidR="009445B2" w:rsidRPr="00D47DAA" w:rsidRDefault="002712E9" w:rsidP="009445B2">
      <w:pPr>
        <w:rPr>
          <w:rFonts w:eastAsia="Times New Roman"/>
          <w:color w:val="000000" w:themeColor="text1"/>
        </w:rPr>
      </w:pPr>
      <w:r w:rsidRPr="00D47DAA">
        <w:rPr>
          <w:color w:val="000000" w:themeColor="text1"/>
        </w:rPr>
        <w:t>In</w:t>
      </w:r>
      <w:r w:rsidR="00D71CBF" w:rsidRPr="00D47DAA">
        <w:rPr>
          <w:color w:val="000000" w:themeColor="text1"/>
        </w:rPr>
        <w:t xml:space="preserve"> </w:t>
      </w:r>
      <w:r w:rsidR="00514FE0" w:rsidRPr="00D47DAA">
        <w:rPr>
          <w:color w:val="000000" w:themeColor="text1"/>
        </w:rPr>
        <w:t>the United States</w:t>
      </w:r>
      <w:r w:rsidRPr="00D47DAA">
        <w:rPr>
          <w:color w:val="000000" w:themeColor="text1"/>
        </w:rPr>
        <w:t xml:space="preserve"> the late 1950s and 1960s were a time of </w:t>
      </w:r>
      <w:r w:rsidR="003C3FDB" w:rsidRPr="00D47DAA">
        <w:rPr>
          <w:color w:val="000000" w:themeColor="text1"/>
        </w:rPr>
        <w:t xml:space="preserve">tremendous optimism, </w:t>
      </w:r>
      <w:r w:rsidR="00514FE0" w:rsidRPr="00D47DAA">
        <w:rPr>
          <w:color w:val="000000" w:themeColor="text1"/>
        </w:rPr>
        <w:t xml:space="preserve">rising </w:t>
      </w:r>
      <w:r w:rsidRPr="00D47DAA">
        <w:rPr>
          <w:color w:val="000000" w:themeColor="text1"/>
        </w:rPr>
        <w:t>aspirations</w:t>
      </w:r>
      <w:r w:rsidR="00514FE0" w:rsidRPr="00D47DAA">
        <w:rPr>
          <w:color w:val="000000" w:themeColor="text1"/>
        </w:rPr>
        <w:t xml:space="preserve"> </w:t>
      </w:r>
      <w:r w:rsidRPr="00D47DAA">
        <w:rPr>
          <w:color w:val="000000" w:themeColor="text1"/>
        </w:rPr>
        <w:t xml:space="preserve">and </w:t>
      </w:r>
      <w:r w:rsidR="007B21F3" w:rsidRPr="00D47DAA">
        <w:rPr>
          <w:color w:val="000000" w:themeColor="text1"/>
        </w:rPr>
        <w:t>fecund</w:t>
      </w:r>
      <w:r w:rsidRPr="00D47DAA">
        <w:rPr>
          <w:color w:val="000000" w:themeColor="text1"/>
        </w:rPr>
        <w:t xml:space="preserve"> public and private creativity in many </w:t>
      </w:r>
      <w:r w:rsidR="006C753B" w:rsidRPr="00D47DAA">
        <w:rPr>
          <w:color w:val="000000" w:themeColor="text1"/>
        </w:rPr>
        <w:t xml:space="preserve">social </w:t>
      </w:r>
      <w:r w:rsidRPr="00D47DAA">
        <w:rPr>
          <w:color w:val="000000" w:themeColor="text1"/>
        </w:rPr>
        <w:t>spheres</w:t>
      </w:r>
      <w:r w:rsidR="00CD60AF" w:rsidRPr="00D47DAA">
        <w:rPr>
          <w:color w:val="000000" w:themeColor="text1"/>
        </w:rPr>
        <w:t>. S</w:t>
      </w:r>
      <w:r w:rsidRPr="00D47DAA">
        <w:rPr>
          <w:color w:val="000000" w:themeColor="text1"/>
        </w:rPr>
        <w:t>ystems, infrastructure and institutions of lasting value were built.</w:t>
      </w:r>
      <w:r w:rsidR="00514FE0" w:rsidRPr="00D47DAA">
        <w:rPr>
          <w:color w:val="000000" w:themeColor="text1"/>
        </w:rPr>
        <w:t xml:space="preserve"> </w:t>
      </w:r>
      <w:r w:rsidR="00057693" w:rsidRPr="00D47DAA">
        <w:rPr>
          <w:color w:val="000000" w:themeColor="text1"/>
        </w:rPr>
        <w:t>In higher education policy</w:t>
      </w:r>
      <w:r w:rsidR="003C3FDB" w:rsidRPr="00D47DAA">
        <w:rPr>
          <w:color w:val="000000" w:themeColor="text1"/>
        </w:rPr>
        <w:t>,</w:t>
      </w:r>
      <w:r w:rsidR="00057693" w:rsidRPr="00D47DAA">
        <w:rPr>
          <w:color w:val="000000" w:themeColor="text1"/>
        </w:rPr>
        <w:t xml:space="preserve"> the spirit of the time was manifest in</w:t>
      </w:r>
      <w:r w:rsidR="008471E4" w:rsidRPr="00D47DAA">
        <w:rPr>
          <w:color w:val="000000" w:themeColor="text1"/>
        </w:rPr>
        <w:t xml:space="preserve"> the </w:t>
      </w:r>
      <w:r w:rsidR="00E95BC5" w:rsidRPr="00D47DAA">
        <w:rPr>
          <w:i/>
          <w:color w:val="000000" w:themeColor="text1"/>
        </w:rPr>
        <w:t xml:space="preserve">California </w:t>
      </w:r>
      <w:r w:rsidR="008471E4" w:rsidRPr="00D47DAA">
        <w:rPr>
          <w:i/>
          <w:color w:val="000000" w:themeColor="text1"/>
        </w:rPr>
        <w:t xml:space="preserve">Master Plan </w:t>
      </w:r>
      <w:r w:rsidR="003C3FDB" w:rsidRPr="00D47DAA">
        <w:rPr>
          <w:i/>
          <w:color w:val="000000" w:themeColor="text1"/>
        </w:rPr>
        <w:t>for Higher E</w:t>
      </w:r>
      <w:r w:rsidR="00057693" w:rsidRPr="00D47DAA">
        <w:rPr>
          <w:i/>
          <w:color w:val="000000" w:themeColor="text1"/>
        </w:rPr>
        <w:t>ducation</w:t>
      </w:r>
      <w:r w:rsidR="00E95BC5" w:rsidRPr="00D47DAA">
        <w:rPr>
          <w:color w:val="000000" w:themeColor="text1"/>
        </w:rPr>
        <w:t xml:space="preserve">, tabled on 1 February 1960 </w:t>
      </w:r>
      <w:r w:rsidR="009445B2" w:rsidRPr="00D47DAA">
        <w:rPr>
          <w:color w:val="000000" w:themeColor="text1"/>
        </w:rPr>
        <w:t>(</w:t>
      </w:r>
      <w:r w:rsidR="009445B2" w:rsidRPr="00D47DAA">
        <w:rPr>
          <w:rFonts w:eastAsia="Times New Roman"/>
          <w:color w:val="000000" w:themeColor="text1"/>
          <w:shd w:val="clear" w:color="auto" w:fill="FFFFFF"/>
        </w:rPr>
        <w:t>California State Department of Education, 1960).</w:t>
      </w:r>
    </w:p>
    <w:p w14:paraId="52A61BC6" w14:textId="69A9E7A9" w:rsidR="00924A1C" w:rsidRPr="00D47DAA" w:rsidRDefault="003E5E0C" w:rsidP="003E5E0C">
      <w:pPr>
        <w:ind w:firstLine="454"/>
        <w:rPr>
          <w:color w:val="000000" w:themeColor="text1"/>
        </w:rPr>
      </w:pPr>
      <w:r w:rsidRPr="00D47DAA">
        <w:rPr>
          <w:color w:val="000000" w:themeColor="text1"/>
        </w:rPr>
        <w:t xml:space="preserve">The Master Plan </w:t>
      </w:r>
      <w:r w:rsidR="006E1C93" w:rsidRPr="00D47DAA">
        <w:rPr>
          <w:color w:val="000000" w:themeColor="text1"/>
        </w:rPr>
        <w:t xml:space="preserve">was </w:t>
      </w:r>
      <w:r w:rsidR="00176CA7" w:rsidRPr="00D47DAA">
        <w:rPr>
          <w:color w:val="000000" w:themeColor="text1"/>
        </w:rPr>
        <w:t>a</w:t>
      </w:r>
      <w:r w:rsidR="003C3FDB" w:rsidRPr="00D47DAA">
        <w:rPr>
          <w:color w:val="000000" w:themeColor="text1"/>
        </w:rPr>
        <w:t xml:space="preserve"> </w:t>
      </w:r>
      <w:r w:rsidR="0061075B" w:rsidRPr="00D47DAA">
        <w:rPr>
          <w:color w:val="000000" w:themeColor="text1"/>
        </w:rPr>
        <w:t>15</w:t>
      </w:r>
      <w:r w:rsidR="003C3FDB" w:rsidRPr="00D47DAA">
        <w:rPr>
          <w:color w:val="000000" w:themeColor="text1"/>
        </w:rPr>
        <w:t>-</w:t>
      </w:r>
      <w:r w:rsidR="006E1C93" w:rsidRPr="00D47DAA">
        <w:rPr>
          <w:color w:val="000000" w:themeColor="text1"/>
        </w:rPr>
        <w:t xml:space="preserve">year agenda for </w:t>
      </w:r>
      <w:r w:rsidR="00176CA7" w:rsidRPr="00D47DAA">
        <w:rPr>
          <w:color w:val="000000" w:themeColor="text1"/>
        </w:rPr>
        <w:t>growing educational</w:t>
      </w:r>
      <w:r w:rsidR="006E1C93" w:rsidRPr="00D47DAA">
        <w:rPr>
          <w:color w:val="000000" w:themeColor="text1"/>
        </w:rPr>
        <w:t xml:space="preserve"> opportunity</w:t>
      </w:r>
      <w:r w:rsidR="00176CA7" w:rsidRPr="00D47DAA">
        <w:rPr>
          <w:color w:val="000000" w:themeColor="text1"/>
        </w:rPr>
        <w:t>. It</w:t>
      </w:r>
      <w:r w:rsidR="006E1C93" w:rsidRPr="00D47DAA">
        <w:rPr>
          <w:color w:val="000000" w:themeColor="text1"/>
        </w:rPr>
        <w:t xml:space="preserve"> </w:t>
      </w:r>
      <w:r w:rsidRPr="00D47DAA">
        <w:rPr>
          <w:color w:val="000000" w:themeColor="text1"/>
        </w:rPr>
        <w:t xml:space="preserve">ticked all the boxes: growth, </w:t>
      </w:r>
      <w:r w:rsidR="00176CA7" w:rsidRPr="00D47DAA">
        <w:rPr>
          <w:color w:val="000000" w:themeColor="text1"/>
        </w:rPr>
        <w:t>site plan</w:t>
      </w:r>
      <w:r w:rsidR="003C3FDB" w:rsidRPr="00D47DAA">
        <w:rPr>
          <w:color w:val="000000" w:themeColor="text1"/>
        </w:rPr>
        <w:t xml:space="preserve">, </w:t>
      </w:r>
      <w:r w:rsidRPr="00D47DAA">
        <w:rPr>
          <w:color w:val="000000" w:themeColor="text1"/>
        </w:rPr>
        <w:t xml:space="preserve">access, </w:t>
      </w:r>
      <w:r w:rsidR="00176CA7" w:rsidRPr="00D47DAA">
        <w:rPr>
          <w:color w:val="000000" w:themeColor="text1"/>
        </w:rPr>
        <w:t xml:space="preserve">research </w:t>
      </w:r>
      <w:r w:rsidRPr="00D47DAA">
        <w:rPr>
          <w:color w:val="000000" w:themeColor="text1"/>
        </w:rPr>
        <w:t xml:space="preserve">excellence, fiscal realism. </w:t>
      </w:r>
      <w:r w:rsidR="006C163E" w:rsidRPr="00D47DAA">
        <w:rPr>
          <w:color w:val="000000" w:themeColor="text1"/>
        </w:rPr>
        <w:t>E</w:t>
      </w:r>
      <w:r w:rsidR="00F5560D" w:rsidRPr="00D47DAA">
        <w:rPr>
          <w:color w:val="000000" w:themeColor="text1"/>
        </w:rPr>
        <w:t>nthusiastically</w:t>
      </w:r>
      <w:r w:rsidR="006E1C93" w:rsidRPr="00D47DAA">
        <w:rPr>
          <w:color w:val="000000" w:themeColor="text1"/>
        </w:rPr>
        <w:t xml:space="preserve"> </w:t>
      </w:r>
      <w:r w:rsidRPr="00D47DAA">
        <w:rPr>
          <w:color w:val="000000" w:themeColor="text1"/>
        </w:rPr>
        <w:t>backed by the state governor</w:t>
      </w:r>
      <w:r w:rsidR="006E1C93" w:rsidRPr="00D47DAA">
        <w:rPr>
          <w:color w:val="000000" w:themeColor="text1"/>
        </w:rPr>
        <w:t>, the legislature</w:t>
      </w:r>
      <w:r w:rsidRPr="00D47DAA">
        <w:rPr>
          <w:color w:val="000000" w:themeColor="text1"/>
        </w:rPr>
        <w:t xml:space="preserve"> and every higher education interest group</w:t>
      </w:r>
      <w:r w:rsidR="006C163E" w:rsidRPr="00D47DAA">
        <w:rPr>
          <w:color w:val="000000" w:themeColor="text1"/>
        </w:rPr>
        <w:t>, o</w:t>
      </w:r>
      <w:r w:rsidRPr="00D47DAA">
        <w:rPr>
          <w:color w:val="000000" w:themeColor="text1"/>
        </w:rPr>
        <w:t xml:space="preserve">n the 17 October 1960 it </w:t>
      </w:r>
      <w:r w:rsidR="00176CA7" w:rsidRPr="00D47DAA">
        <w:rPr>
          <w:color w:val="000000" w:themeColor="text1"/>
        </w:rPr>
        <w:t>was made</w:t>
      </w:r>
      <w:r w:rsidR="006C163E" w:rsidRPr="00D47DAA">
        <w:rPr>
          <w:color w:val="000000" w:themeColor="text1"/>
        </w:rPr>
        <w:t xml:space="preserve"> </w:t>
      </w:r>
      <w:r w:rsidR="006E1C93" w:rsidRPr="00D47DAA">
        <w:rPr>
          <w:color w:val="000000" w:themeColor="text1"/>
        </w:rPr>
        <w:t>America’s flavo</w:t>
      </w:r>
      <w:r w:rsidR="00F5560D" w:rsidRPr="00D47DAA">
        <w:rPr>
          <w:color w:val="000000" w:themeColor="text1"/>
        </w:rPr>
        <w:t>u</w:t>
      </w:r>
      <w:r w:rsidR="006E1C93" w:rsidRPr="00D47DAA">
        <w:rPr>
          <w:color w:val="000000" w:themeColor="text1"/>
        </w:rPr>
        <w:t>r of the week</w:t>
      </w:r>
      <w:r w:rsidR="00176CA7" w:rsidRPr="00D47DAA">
        <w:rPr>
          <w:color w:val="000000" w:themeColor="text1"/>
        </w:rPr>
        <w:t xml:space="preserve"> when it featured</w:t>
      </w:r>
      <w:r w:rsidR="006E1C93" w:rsidRPr="00D47DAA">
        <w:rPr>
          <w:color w:val="000000" w:themeColor="text1"/>
        </w:rPr>
        <w:t xml:space="preserve"> on </w:t>
      </w:r>
      <w:r w:rsidRPr="00D47DAA">
        <w:rPr>
          <w:color w:val="000000" w:themeColor="text1"/>
        </w:rPr>
        <w:t xml:space="preserve">the front cover of </w:t>
      </w:r>
      <w:r w:rsidRPr="00D47DAA">
        <w:rPr>
          <w:i/>
          <w:color w:val="000000" w:themeColor="text1"/>
        </w:rPr>
        <w:t>Time</w:t>
      </w:r>
      <w:r w:rsidRPr="00D47DAA">
        <w:rPr>
          <w:color w:val="000000" w:themeColor="text1"/>
        </w:rPr>
        <w:t xml:space="preserve"> magazine. </w:t>
      </w:r>
      <w:r w:rsidR="006E1C93" w:rsidRPr="00D47DAA">
        <w:rPr>
          <w:color w:val="000000" w:themeColor="text1"/>
        </w:rPr>
        <w:t xml:space="preserve">The flavour lasted. </w:t>
      </w:r>
      <w:r w:rsidR="00E95BC5" w:rsidRPr="00D47DAA">
        <w:rPr>
          <w:color w:val="000000" w:themeColor="text1"/>
        </w:rPr>
        <w:t xml:space="preserve">When the Master Plan reached the end of its forecast life in </w:t>
      </w:r>
      <w:r w:rsidR="0061075B" w:rsidRPr="00D47DAA">
        <w:rPr>
          <w:color w:val="000000" w:themeColor="text1"/>
        </w:rPr>
        <w:t>1975</w:t>
      </w:r>
      <w:r w:rsidR="00E95BC5" w:rsidRPr="00D47DAA">
        <w:rPr>
          <w:color w:val="000000" w:themeColor="text1"/>
        </w:rPr>
        <w:t xml:space="preserve"> it was simply continued without a break. Over the</w:t>
      </w:r>
      <w:r w:rsidRPr="00D47DAA">
        <w:rPr>
          <w:color w:val="000000" w:themeColor="text1"/>
        </w:rPr>
        <w:t xml:space="preserve"> decades </w:t>
      </w:r>
      <w:r w:rsidR="00E95BC5" w:rsidRPr="00D47DAA">
        <w:rPr>
          <w:color w:val="000000" w:themeColor="text1"/>
        </w:rPr>
        <w:t>its</w:t>
      </w:r>
      <w:r w:rsidRPr="00D47DAA">
        <w:rPr>
          <w:color w:val="000000" w:themeColor="text1"/>
        </w:rPr>
        <w:t xml:space="preserve"> </w:t>
      </w:r>
      <w:r w:rsidR="00E95BC5" w:rsidRPr="00D47DAA">
        <w:rPr>
          <w:color w:val="000000" w:themeColor="text1"/>
        </w:rPr>
        <w:t xml:space="preserve">discursive </w:t>
      </w:r>
      <w:r w:rsidRPr="00D47DAA">
        <w:rPr>
          <w:color w:val="000000" w:themeColor="text1"/>
        </w:rPr>
        <w:t xml:space="preserve">influence </w:t>
      </w:r>
      <w:r w:rsidR="00E95BC5" w:rsidRPr="00D47DAA">
        <w:rPr>
          <w:color w:val="000000" w:themeColor="text1"/>
        </w:rPr>
        <w:t>radiated outwards</w:t>
      </w:r>
      <w:r w:rsidRPr="00D47DAA">
        <w:rPr>
          <w:color w:val="000000" w:themeColor="text1"/>
        </w:rPr>
        <w:t xml:space="preserve"> from California</w:t>
      </w:r>
      <w:r w:rsidR="00E95BC5" w:rsidRPr="00D47DAA">
        <w:rPr>
          <w:color w:val="000000" w:themeColor="text1"/>
        </w:rPr>
        <w:t>,</w:t>
      </w:r>
      <w:r w:rsidRPr="00D47DAA">
        <w:rPr>
          <w:color w:val="000000" w:themeColor="text1"/>
        </w:rPr>
        <w:t xml:space="preserve"> across the nation and across the world. The 1960s American coupling of excellence and access, the world-class research university together with open participation and a ladder of educational opportunity, </w:t>
      </w:r>
      <w:r w:rsidR="006E1C93" w:rsidRPr="00D47DAA">
        <w:rPr>
          <w:color w:val="000000" w:themeColor="text1"/>
        </w:rPr>
        <w:t xml:space="preserve">came to </w:t>
      </w:r>
      <w:r w:rsidRPr="00D47DAA">
        <w:rPr>
          <w:color w:val="000000" w:themeColor="text1"/>
        </w:rPr>
        <w:t xml:space="preserve">set </w:t>
      </w:r>
      <w:r w:rsidR="006E1C93" w:rsidRPr="00D47DAA">
        <w:rPr>
          <w:color w:val="000000" w:themeColor="text1"/>
        </w:rPr>
        <w:t xml:space="preserve">policy </w:t>
      </w:r>
      <w:r w:rsidRPr="00D47DAA">
        <w:rPr>
          <w:color w:val="000000" w:themeColor="text1"/>
        </w:rPr>
        <w:t>benchmarks for higher education in many countries. In 1963</w:t>
      </w:r>
      <w:r w:rsidR="00E95BC5" w:rsidRPr="00D47DAA">
        <w:rPr>
          <w:color w:val="000000" w:themeColor="text1"/>
        </w:rPr>
        <w:t>,</w:t>
      </w:r>
      <w:r w:rsidRPr="00D47DAA">
        <w:rPr>
          <w:color w:val="000000" w:themeColor="text1"/>
        </w:rPr>
        <w:t xml:space="preserve"> the Organisation for Economic Cooperation and Development (OECD) urged member nations to adopt ‘development plans of the California type’. A generation later in 1989, the OECD said the Master Plan was ‘recognised throughout the OECD world as a blueprint for preserving universal postsecondary education opportunity, while preserving the separate “missions” of the three types of public institutions’ (Douglass</w:t>
      </w:r>
      <w:r w:rsidR="002C073F" w:rsidRPr="00D47DAA">
        <w:rPr>
          <w:color w:val="000000" w:themeColor="text1"/>
        </w:rPr>
        <w:t>,</w:t>
      </w:r>
      <w:r w:rsidRPr="00D47DAA">
        <w:rPr>
          <w:color w:val="000000" w:themeColor="text1"/>
        </w:rPr>
        <w:t xml:space="preserve"> 2000, pp. 311-312). </w:t>
      </w:r>
    </w:p>
    <w:p w14:paraId="23D3E32C" w14:textId="48995556" w:rsidR="00924A1C" w:rsidRPr="00D47DAA" w:rsidRDefault="00924A1C" w:rsidP="00DF6211">
      <w:pPr>
        <w:rPr>
          <w:color w:val="000000" w:themeColor="text1"/>
        </w:rPr>
      </w:pPr>
      <w:r w:rsidRPr="00D47DAA">
        <w:rPr>
          <w:color w:val="000000" w:themeColor="text1"/>
        </w:rPr>
        <w:tab/>
      </w:r>
      <w:r w:rsidR="007D546E" w:rsidRPr="00D47DAA">
        <w:rPr>
          <w:color w:val="000000" w:themeColor="text1"/>
        </w:rPr>
        <w:t xml:space="preserve">In </w:t>
      </w:r>
      <w:proofErr w:type="gramStart"/>
      <w:r w:rsidR="007D546E" w:rsidRPr="00D47DAA">
        <w:rPr>
          <w:i/>
          <w:color w:val="000000" w:themeColor="text1"/>
        </w:rPr>
        <w:t>The</w:t>
      </w:r>
      <w:proofErr w:type="gramEnd"/>
      <w:r w:rsidR="007D546E" w:rsidRPr="00D47DAA">
        <w:rPr>
          <w:i/>
          <w:color w:val="000000" w:themeColor="text1"/>
        </w:rPr>
        <w:t xml:space="preserve"> California Idea and American Higher Education</w:t>
      </w:r>
      <w:r w:rsidR="00176CA7" w:rsidRPr="00D47DAA">
        <w:rPr>
          <w:color w:val="000000" w:themeColor="text1"/>
        </w:rPr>
        <w:t xml:space="preserve"> (2000) </w:t>
      </w:r>
      <w:r w:rsidR="007D546E" w:rsidRPr="00D47DAA">
        <w:rPr>
          <w:color w:val="000000" w:themeColor="text1"/>
        </w:rPr>
        <w:t>John Douglass provides a history of the lead up to the Master Plan</w:t>
      </w:r>
      <w:r w:rsidR="00FA6945" w:rsidRPr="00D47DAA">
        <w:rPr>
          <w:color w:val="000000" w:themeColor="text1"/>
        </w:rPr>
        <w:t xml:space="preserve"> and the civic virtues that animated it</w:t>
      </w:r>
      <w:r w:rsidR="007D546E" w:rsidRPr="00D47DAA">
        <w:rPr>
          <w:color w:val="000000" w:themeColor="text1"/>
        </w:rPr>
        <w:t xml:space="preserve">. The most comprehensive (and most nuanced and interesting) account of the </w:t>
      </w:r>
      <w:r w:rsidR="006C753B" w:rsidRPr="00D47DAA">
        <w:rPr>
          <w:color w:val="000000" w:themeColor="text1"/>
        </w:rPr>
        <w:t>genesis</w:t>
      </w:r>
      <w:r w:rsidR="007D546E" w:rsidRPr="00D47DAA">
        <w:rPr>
          <w:color w:val="000000" w:themeColor="text1"/>
        </w:rPr>
        <w:t xml:space="preserve"> </w:t>
      </w:r>
      <w:r w:rsidR="00176CA7" w:rsidRPr="00D47DAA">
        <w:rPr>
          <w:color w:val="000000" w:themeColor="text1"/>
        </w:rPr>
        <w:t xml:space="preserve">and </w:t>
      </w:r>
      <w:r w:rsidR="006C753B" w:rsidRPr="00D47DAA">
        <w:rPr>
          <w:color w:val="000000" w:themeColor="text1"/>
        </w:rPr>
        <w:t>application</w:t>
      </w:r>
      <w:r w:rsidR="00176CA7" w:rsidRPr="00D47DAA">
        <w:rPr>
          <w:color w:val="000000" w:themeColor="text1"/>
        </w:rPr>
        <w:t xml:space="preserve"> </w:t>
      </w:r>
      <w:r w:rsidR="007D546E" w:rsidRPr="00D47DAA">
        <w:rPr>
          <w:color w:val="000000" w:themeColor="text1"/>
        </w:rPr>
        <w:t xml:space="preserve">of the Plan </w:t>
      </w:r>
      <w:r w:rsidR="00176CA7" w:rsidRPr="00D47DAA">
        <w:rPr>
          <w:color w:val="000000" w:themeColor="text1"/>
        </w:rPr>
        <w:t xml:space="preserve">is </w:t>
      </w:r>
      <w:r w:rsidR="006C753B" w:rsidRPr="00D47DAA">
        <w:rPr>
          <w:color w:val="000000" w:themeColor="text1"/>
        </w:rPr>
        <w:t>by</w:t>
      </w:r>
      <w:r w:rsidR="00176CA7" w:rsidRPr="00D47DAA">
        <w:rPr>
          <w:color w:val="000000" w:themeColor="text1"/>
        </w:rPr>
        <w:t xml:space="preserve"> </w:t>
      </w:r>
      <w:r w:rsidR="007D546E" w:rsidRPr="00D47DAA">
        <w:rPr>
          <w:color w:val="000000" w:themeColor="text1"/>
        </w:rPr>
        <w:t xml:space="preserve">its principal architect, Clark Kerr, President of the University of California from 1958 to 1967 (Kerr, 2001b). </w:t>
      </w:r>
      <w:r w:rsidRPr="00D47DAA">
        <w:rPr>
          <w:color w:val="000000" w:themeColor="text1"/>
        </w:rPr>
        <w:t xml:space="preserve">The Plan </w:t>
      </w:r>
      <w:r w:rsidR="00F5560D" w:rsidRPr="00D47DAA">
        <w:rPr>
          <w:color w:val="000000" w:themeColor="text1"/>
        </w:rPr>
        <w:t>was</w:t>
      </w:r>
      <w:r w:rsidR="00D10F09" w:rsidRPr="00D47DAA">
        <w:rPr>
          <w:color w:val="000000" w:themeColor="text1"/>
        </w:rPr>
        <w:t xml:space="preserve"> </w:t>
      </w:r>
      <w:r w:rsidR="00F5560D" w:rsidRPr="00D47DAA">
        <w:rPr>
          <w:color w:val="000000" w:themeColor="text1"/>
        </w:rPr>
        <w:t>much</w:t>
      </w:r>
      <w:r w:rsidR="00CD60AF" w:rsidRPr="00D47DAA">
        <w:rPr>
          <w:color w:val="000000" w:themeColor="text1"/>
        </w:rPr>
        <w:t xml:space="preserve"> </w:t>
      </w:r>
      <w:r w:rsidR="002C4322" w:rsidRPr="00D47DAA">
        <w:rPr>
          <w:color w:val="000000" w:themeColor="text1"/>
        </w:rPr>
        <w:t>discussed</w:t>
      </w:r>
      <w:r w:rsidRPr="00D47DAA">
        <w:rPr>
          <w:color w:val="000000" w:themeColor="text1"/>
        </w:rPr>
        <w:t xml:space="preserve"> </w:t>
      </w:r>
      <w:r w:rsidR="007D546E" w:rsidRPr="00D47DAA">
        <w:rPr>
          <w:color w:val="000000" w:themeColor="text1"/>
        </w:rPr>
        <w:t>by scholars in</w:t>
      </w:r>
      <w:r w:rsidRPr="00D47DAA">
        <w:rPr>
          <w:color w:val="000000" w:themeColor="text1"/>
        </w:rPr>
        <w:t xml:space="preserve"> </w:t>
      </w:r>
      <w:r w:rsidR="006C163E" w:rsidRPr="00D47DAA">
        <w:rPr>
          <w:color w:val="000000" w:themeColor="text1"/>
        </w:rPr>
        <w:t>its</w:t>
      </w:r>
      <w:r w:rsidR="00D10F09" w:rsidRPr="00D47DAA">
        <w:rPr>
          <w:color w:val="000000" w:themeColor="text1"/>
        </w:rPr>
        <w:t xml:space="preserve"> first three decades</w:t>
      </w:r>
      <w:r w:rsidR="007D546E" w:rsidRPr="00D47DAA">
        <w:rPr>
          <w:color w:val="000000" w:themeColor="text1"/>
        </w:rPr>
        <w:t>,</w:t>
      </w:r>
      <w:r w:rsidR="00D10F09" w:rsidRPr="00D47DAA">
        <w:rPr>
          <w:color w:val="000000" w:themeColor="text1"/>
        </w:rPr>
        <w:t xml:space="preserve"> </w:t>
      </w:r>
      <w:r w:rsidRPr="00D47DAA">
        <w:rPr>
          <w:color w:val="000000" w:themeColor="text1"/>
        </w:rPr>
        <w:t xml:space="preserve">when </w:t>
      </w:r>
      <w:r w:rsidR="00D10F09" w:rsidRPr="00D47DAA">
        <w:rPr>
          <w:color w:val="000000" w:themeColor="text1"/>
        </w:rPr>
        <w:t>the achievement</w:t>
      </w:r>
      <w:r w:rsidRPr="00D47DAA">
        <w:rPr>
          <w:color w:val="000000" w:themeColor="text1"/>
        </w:rPr>
        <w:t xml:space="preserve"> </w:t>
      </w:r>
      <w:r w:rsidR="002B1938" w:rsidRPr="00D47DAA">
        <w:rPr>
          <w:color w:val="000000" w:themeColor="text1"/>
        </w:rPr>
        <w:t xml:space="preserve">was hegemonic and </w:t>
      </w:r>
      <w:r w:rsidR="007D546E" w:rsidRPr="00D47DAA">
        <w:rPr>
          <w:color w:val="000000" w:themeColor="text1"/>
        </w:rPr>
        <w:t xml:space="preserve">visible </w:t>
      </w:r>
      <w:r w:rsidRPr="00D47DAA">
        <w:rPr>
          <w:color w:val="000000" w:themeColor="text1"/>
        </w:rPr>
        <w:t>problems</w:t>
      </w:r>
      <w:r w:rsidR="002B1938" w:rsidRPr="00D47DAA">
        <w:rPr>
          <w:color w:val="000000" w:themeColor="text1"/>
        </w:rPr>
        <w:t xml:space="preserve"> few</w:t>
      </w:r>
      <w:r w:rsidR="00F5560D" w:rsidRPr="00D47DAA">
        <w:rPr>
          <w:color w:val="000000" w:themeColor="text1"/>
        </w:rPr>
        <w:t xml:space="preserve">, though </w:t>
      </w:r>
      <w:r w:rsidR="006C753B" w:rsidRPr="00D47DAA">
        <w:rPr>
          <w:color w:val="000000" w:themeColor="text1"/>
        </w:rPr>
        <w:t xml:space="preserve">it was </w:t>
      </w:r>
      <w:r w:rsidR="00F5560D" w:rsidRPr="00D47DAA">
        <w:rPr>
          <w:color w:val="000000" w:themeColor="text1"/>
        </w:rPr>
        <w:t xml:space="preserve">rarely subject to </w:t>
      </w:r>
      <w:r w:rsidR="006C163E" w:rsidRPr="00D47DAA">
        <w:rPr>
          <w:color w:val="000000" w:themeColor="text1"/>
        </w:rPr>
        <w:t>searching</w:t>
      </w:r>
      <w:r w:rsidR="00F5560D" w:rsidRPr="00D47DAA">
        <w:rPr>
          <w:color w:val="000000" w:themeColor="text1"/>
        </w:rPr>
        <w:t xml:space="preserve"> scrutiny</w:t>
      </w:r>
      <w:r w:rsidR="002925DE" w:rsidRPr="00D47DAA">
        <w:rPr>
          <w:color w:val="000000" w:themeColor="text1"/>
        </w:rPr>
        <w:t xml:space="preserve">. </w:t>
      </w:r>
      <w:r w:rsidR="006C163E" w:rsidRPr="00D47DAA">
        <w:rPr>
          <w:color w:val="000000" w:themeColor="text1"/>
        </w:rPr>
        <w:t xml:space="preserve">In the </w:t>
      </w:r>
      <w:proofErr w:type="gramStart"/>
      <w:r w:rsidR="006C163E" w:rsidRPr="00D47DAA">
        <w:rPr>
          <w:color w:val="000000" w:themeColor="text1"/>
        </w:rPr>
        <w:t>1990s attention</w:t>
      </w:r>
      <w:proofErr w:type="gramEnd"/>
      <w:r w:rsidR="006C163E" w:rsidRPr="00D47DAA">
        <w:rPr>
          <w:color w:val="000000" w:themeColor="text1"/>
        </w:rPr>
        <w:t xml:space="preserve"> shifted from universal access</w:t>
      </w:r>
      <w:r w:rsidR="0083459D" w:rsidRPr="00D47DAA">
        <w:rPr>
          <w:color w:val="000000" w:themeColor="text1"/>
        </w:rPr>
        <w:t>,</w:t>
      </w:r>
      <w:r w:rsidR="006C163E" w:rsidRPr="00D47DAA">
        <w:rPr>
          <w:color w:val="000000" w:themeColor="text1"/>
        </w:rPr>
        <w:t xml:space="preserve"> to educational justice for diverse co</w:t>
      </w:r>
      <w:r w:rsidR="007D546E" w:rsidRPr="00D47DAA">
        <w:rPr>
          <w:color w:val="000000" w:themeColor="text1"/>
        </w:rPr>
        <w:t xml:space="preserve">mmunities </w:t>
      </w:r>
      <w:r w:rsidR="006C163E" w:rsidRPr="00D47DAA">
        <w:rPr>
          <w:color w:val="000000" w:themeColor="text1"/>
        </w:rPr>
        <w:t>and the affirmative action controversy (</w:t>
      </w:r>
      <w:proofErr w:type="spellStart"/>
      <w:r w:rsidR="006C163E" w:rsidRPr="00D47DAA">
        <w:rPr>
          <w:color w:val="000000" w:themeColor="text1"/>
        </w:rPr>
        <w:t>Pusser</w:t>
      </w:r>
      <w:proofErr w:type="spellEnd"/>
      <w:r w:rsidR="000567B5" w:rsidRPr="00D47DAA">
        <w:rPr>
          <w:color w:val="000000" w:themeColor="text1"/>
        </w:rPr>
        <w:t>, 2006).</w:t>
      </w:r>
      <w:r w:rsidR="006C163E" w:rsidRPr="00D47DAA">
        <w:rPr>
          <w:color w:val="000000" w:themeColor="text1"/>
        </w:rPr>
        <w:t xml:space="preserve"> </w:t>
      </w:r>
      <w:r w:rsidR="009108BE" w:rsidRPr="00D47DAA">
        <w:rPr>
          <w:color w:val="000000" w:themeColor="text1"/>
        </w:rPr>
        <w:t>The</w:t>
      </w:r>
      <w:r w:rsidR="007D546E" w:rsidRPr="00D47DAA">
        <w:rPr>
          <w:color w:val="000000" w:themeColor="text1"/>
        </w:rPr>
        <w:t xml:space="preserve">n the erosion of the Plan became </w:t>
      </w:r>
      <w:r w:rsidR="00FA6945" w:rsidRPr="00D47DAA">
        <w:rPr>
          <w:color w:val="000000" w:themeColor="text1"/>
        </w:rPr>
        <w:t xml:space="preserve">more </w:t>
      </w:r>
      <w:r w:rsidR="007D546E" w:rsidRPr="00D47DAA">
        <w:rPr>
          <w:color w:val="000000" w:themeColor="text1"/>
        </w:rPr>
        <w:t>obvious, especially after state budget cuts in the 2008 recession</w:t>
      </w:r>
      <w:r w:rsidR="0083459D" w:rsidRPr="00D47DAA">
        <w:rPr>
          <w:color w:val="000000" w:themeColor="text1"/>
        </w:rPr>
        <w:t xml:space="preserve"> (Douglass, 2013)</w:t>
      </w:r>
      <w:r w:rsidR="00176CA7" w:rsidRPr="00D47DAA">
        <w:rPr>
          <w:color w:val="000000" w:themeColor="text1"/>
        </w:rPr>
        <w:t xml:space="preserve">. </w:t>
      </w:r>
      <w:r w:rsidR="00FA6945" w:rsidRPr="00D47DAA">
        <w:rPr>
          <w:color w:val="000000" w:themeColor="text1"/>
        </w:rPr>
        <w:t>C</w:t>
      </w:r>
      <w:r w:rsidR="00176CA7" w:rsidRPr="00D47DAA">
        <w:rPr>
          <w:color w:val="000000" w:themeColor="text1"/>
        </w:rPr>
        <w:t xml:space="preserve">hapters in </w:t>
      </w:r>
      <w:r w:rsidR="00E44AD4" w:rsidRPr="00D47DAA">
        <w:rPr>
          <w:color w:val="000000" w:themeColor="text1"/>
        </w:rPr>
        <w:t>a</w:t>
      </w:r>
      <w:r w:rsidR="00176CA7" w:rsidRPr="00D47DAA">
        <w:rPr>
          <w:color w:val="000000" w:themeColor="text1"/>
        </w:rPr>
        <w:t xml:space="preserve"> </w:t>
      </w:r>
      <w:r w:rsidR="002C4322" w:rsidRPr="00D47DAA">
        <w:rPr>
          <w:color w:val="000000" w:themeColor="text1"/>
        </w:rPr>
        <w:t>collection edited by Sheldon Rothblatt (2012)</w:t>
      </w:r>
      <w:r w:rsidR="00176CA7" w:rsidRPr="00D47DAA">
        <w:rPr>
          <w:color w:val="000000" w:themeColor="text1"/>
        </w:rPr>
        <w:t xml:space="preserve">, especially </w:t>
      </w:r>
      <w:r w:rsidR="00FA6945" w:rsidRPr="00D47DAA">
        <w:rPr>
          <w:color w:val="000000" w:themeColor="text1"/>
        </w:rPr>
        <w:t>those of</w:t>
      </w:r>
      <w:r w:rsidR="00176CA7" w:rsidRPr="00D47DAA">
        <w:rPr>
          <w:color w:val="000000" w:themeColor="text1"/>
        </w:rPr>
        <w:t xml:space="preserve"> </w:t>
      </w:r>
      <w:r w:rsidR="00E44AD4" w:rsidRPr="00D47DAA">
        <w:rPr>
          <w:color w:val="000000" w:themeColor="text1"/>
        </w:rPr>
        <w:t xml:space="preserve">Rothblatt and Patrick Callan, </w:t>
      </w:r>
      <w:r w:rsidR="00AA4921" w:rsidRPr="00D47DAA">
        <w:rPr>
          <w:color w:val="000000" w:themeColor="text1"/>
        </w:rPr>
        <w:t>constitute</w:t>
      </w:r>
      <w:r w:rsidR="00E44AD4" w:rsidRPr="00D47DAA">
        <w:rPr>
          <w:color w:val="000000" w:themeColor="text1"/>
        </w:rPr>
        <w:t xml:space="preserve"> </w:t>
      </w:r>
      <w:r w:rsidR="00AA4921" w:rsidRPr="00D47DAA">
        <w:rPr>
          <w:color w:val="000000" w:themeColor="text1"/>
        </w:rPr>
        <w:t>a sharp</w:t>
      </w:r>
      <w:r w:rsidR="00E44AD4" w:rsidRPr="00D47DAA">
        <w:rPr>
          <w:color w:val="000000" w:themeColor="text1"/>
        </w:rPr>
        <w:t xml:space="preserve"> reappraisal</w:t>
      </w:r>
      <w:r w:rsidR="00FA6945" w:rsidRPr="00D47DAA">
        <w:rPr>
          <w:color w:val="000000" w:themeColor="text1"/>
        </w:rPr>
        <w:t xml:space="preserve"> by former colleagues of Kerr.</w:t>
      </w:r>
      <w:r w:rsidR="00E44AD4" w:rsidRPr="00D47DAA">
        <w:rPr>
          <w:color w:val="000000" w:themeColor="text1"/>
        </w:rPr>
        <w:t xml:space="preserve"> They </w:t>
      </w:r>
      <w:r w:rsidR="00FA6945" w:rsidRPr="00D47DAA">
        <w:rPr>
          <w:color w:val="000000" w:themeColor="text1"/>
        </w:rPr>
        <w:t>highlight</w:t>
      </w:r>
      <w:r w:rsidR="009108BE" w:rsidRPr="00D47DAA">
        <w:rPr>
          <w:color w:val="000000" w:themeColor="text1"/>
        </w:rPr>
        <w:t xml:space="preserve"> </w:t>
      </w:r>
      <w:r w:rsidR="00E44AD4" w:rsidRPr="00D47DAA">
        <w:rPr>
          <w:color w:val="000000" w:themeColor="text1"/>
        </w:rPr>
        <w:t xml:space="preserve">inner </w:t>
      </w:r>
      <w:r w:rsidR="009108BE" w:rsidRPr="00D47DAA">
        <w:rPr>
          <w:color w:val="000000" w:themeColor="text1"/>
        </w:rPr>
        <w:t xml:space="preserve">tensions </w:t>
      </w:r>
      <w:r w:rsidR="00E44AD4" w:rsidRPr="00D47DAA">
        <w:rPr>
          <w:color w:val="000000" w:themeColor="text1"/>
        </w:rPr>
        <w:t>in</w:t>
      </w:r>
      <w:r w:rsidR="009108BE" w:rsidRPr="00D47DAA">
        <w:rPr>
          <w:color w:val="000000" w:themeColor="text1"/>
        </w:rPr>
        <w:t xml:space="preserve"> the Plan</w:t>
      </w:r>
      <w:r w:rsidR="00AA4921" w:rsidRPr="00D47DAA">
        <w:rPr>
          <w:color w:val="000000" w:themeColor="text1"/>
        </w:rPr>
        <w:t xml:space="preserve">, </w:t>
      </w:r>
      <w:r w:rsidR="00E44AD4" w:rsidRPr="00D47DAA">
        <w:rPr>
          <w:color w:val="000000" w:themeColor="text1"/>
        </w:rPr>
        <w:t>exposed by</w:t>
      </w:r>
      <w:r w:rsidR="00E62E9D" w:rsidRPr="00D47DAA">
        <w:rPr>
          <w:color w:val="000000" w:themeColor="text1"/>
        </w:rPr>
        <w:t xml:space="preserve"> the changing demograph</w:t>
      </w:r>
      <w:r w:rsidR="00E44AD4" w:rsidRPr="00D47DAA">
        <w:rPr>
          <w:color w:val="000000" w:themeColor="text1"/>
        </w:rPr>
        <w:t>ics</w:t>
      </w:r>
      <w:r w:rsidR="00E62E9D" w:rsidRPr="00D47DAA">
        <w:rPr>
          <w:color w:val="000000" w:themeColor="text1"/>
        </w:rPr>
        <w:t xml:space="preserve"> and fiscal politics of California. </w:t>
      </w:r>
    </w:p>
    <w:p w14:paraId="6D31C39B" w14:textId="5443DCAD" w:rsidR="003C3FDB" w:rsidRPr="00D47DAA" w:rsidRDefault="00ED29BF" w:rsidP="00DF6211">
      <w:pPr>
        <w:rPr>
          <w:color w:val="000000" w:themeColor="text1"/>
        </w:rPr>
      </w:pPr>
      <w:r w:rsidRPr="00D47DAA">
        <w:rPr>
          <w:color w:val="000000" w:themeColor="text1"/>
        </w:rPr>
        <w:tab/>
      </w:r>
      <w:r w:rsidR="00176CA7" w:rsidRPr="00D47DAA">
        <w:rPr>
          <w:color w:val="000000" w:themeColor="text1"/>
        </w:rPr>
        <w:t>Except for Douglass</w:t>
      </w:r>
      <w:r w:rsidR="003C3FDB" w:rsidRPr="00D47DAA">
        <w:rPr>
          <w:color w:val="000000" w:themeColor="text1"/>
        </w:rPr>
        <w:t xml:space="preserve"> these accounts share a common limitation. They explore, advocate or critique the Plan largely within the framework of higher education policy and systems. </w:t>
      </w:r>
      <w:r w:rsidR="002E7C93" w:rsidRPr="00D47DAA">
        <w:rPr>
          <w:color w:val="000000" w:themeColor="text1"/>
        </w:rPr>
        <w:t>This article will argue that the long-term trajectory of the plan, especially its inability to secure the system premised on social equality of opportunity that was implied in 1960, must be explained in terms of its larger setting. T</w:t>
      </w:r>
      <w:r w:rsidR="003C3FDB" w:rsidRPr="00D47DAA">
        <w:rPr>
          <w:color w:val="000000" w:themeColor="text1"/>
        </w:rPr>
        <w:t xml:space="preserve">he Master Plan for Higher Education was more than </w:t>
      </w:r>
      <w:r w:rsidR="00E938DC" w:rsidRPr="00D47DAA">
        <w:rPr>
          <w:color w:val="000000" w:themeColor="text1"/>
        </w:rPr>
        <w:t>an</w:t>
      </w:r>
      <w:r w:rsidR="003C3FDB" w:rsidRPr="00D47DAA">
        <w:rPr>
          <w:color w:val="000000" w:themeColor="text1"/>
        </w:rPr>
        <w:t xml:space="preserve"> act of rational plan</w:t>
      </w:r>
      <w:r w:rsidR="00E938DC" w:rsidRPr="00D47DAA">
        <w:rPr>
          <w:color w:val="000000" w:themeColor="text1"/>
        </w:rPr>
        <w:t>ning</w:t>
      </w:r>
      <w:r w:rsidR="005A2BF0" w:rsidRPr="00D47DAA">
        <w:rPr>
          <w:color w:val="000000" w:themeColor="text1"/>
        </w:rPr>
        <w:t xml:space="preserve"> and its conditions of possibility exceeded higher education itself</w:t>
      </w:r>
      <w:r w:rsidR="003C3FDB" w:rsidRPr="00D47DAA">
        <w:rPr>
          <w:color w:val="000000" w:themeColor="text1"/>
        </w:rPr>
        <w:t xml:space="preserve">. It was the </w:t>
      </w:r>
      <w:r w:rsidR="00E938DC" w:rsidRPr="00D47DAA">
        <w:rPr>
          <w:color w:val="000000" w:themeColor="text1"/>
        </w:rPr>
        <w:t xml:space="preserve">determined </w:t>
      </w:r>
      <w:r w:rsidR="003C3FDB" w:rsidRPr="00D47DAA">
        <w:rPr>
          <w:color w:val="000000" w:themeColor="text1"/>
        </w:rPr>
        <w:t>product of a distinct</w:t>
      </w:r>
      <w:r w:rsidR="00457F45" w:rsidRPr="00D47DAA">
        <w:rPr>
          <w:color w:val="000000" w:themeColor="text1"/>
        </w:rPr>
        <w:t>ive</w:t>
      </w:r>
      <w:r w:rsidR="003C3FDB" w:rsidRPr="00D47DAA">
        <w:rPr>
          <w:color w:val="000000" w:themeColor="text1"/>
        </w:rPr>
        <w:t xml:space="preserve"> set of </w:t>
      </w:r>
      <w:r w:rsidR="005A2BF0" w:rsidRPr="00D47DAA">
        <w:rPr>
          <w:color w:val="000000" w:themeColor="text1"/>
        </w:rPr>
        <w:t xml:space="preserve">public </w:t>
      </w:r>
      <w:r w:rsidR="003C3FDB" w:rsidRPr="00D47DAA">
        <w:rPr>
          <w:color w:val="000000" w:themeColor="text1"/>
        </w:rPr>
        <w:t xml:space="preserve">values. In the </w:t>
      </w:r>
      <w:r w:rsidR="00E938DC" w:rsidRPr="00D47DAA">
        <w:rPr>
          <w:color w:val="000000" w:themeColor="text1"/>
        </w:rPr>
        <w:t xml:space="preserve">late 1950s and </w:t>
      </w:r>
      <w:r w:rsidR="003C3FDB" w:rsidRPr="00D47DAA">
        <w:rPr>
          <w:color w:val="000000" w:themeColor="text1"/>
        </w:rPr>
        <w:t>early 1960s government in America did not carry the stigma it acquired</w:t>
      </w:r>
      <w:r w:rsidR="00142DD6" w:rsidRPr="00D47DAA">
        <w:rPr>
          <w:color w:val="000000" w:themeColor="text1"/>
        </w:rPr>
        <w:t xml:space="preserve"> a generation later</w:t>
      </w:r>
      <w:r w:rsidR="003C3FDB" w:rsidRPr="00D47DAA">
        <w:rPr>
          <w:color w:val="000000" w:themeColor="text1"/>
        </w:rPr>
        <w:t xml:space="preserve">. It was still understood as the network of programmes and agencies that had steered the nation through the 1930s Depression, the New Deal and World War II amid a great patriotic effort. For many, if not most, Americans, government was the site of positive action for the </w:t>
      </w:r>
      <w:r w:rsidR="00142DD6" w:rsidRPr="00D47DAA">
        <w:rPr>
          <w:color w:val="000000" w:themeColor="text1"/>
        </w:rPr>
        <w:t xml:space="preserve">public good, for the </w:t>
      </w:r>
      <w:r w:rsidR="003C3FDB" w:rsidRPr="00D47DAA">
        <w:rPr>
          <w:color w:val="000000" w:themeColor="text1"/>
        </w:rPr>
        <w:t>collective well-being of society</w:t>
      </w:r>
      <w:r w:rsidR="00142DD6" w:rsidRPr="00D47DAA">
        <w:rPr>
          <w:color w:val="000000" w:themeColor="text1"/>
        </w:rPr>
        <w:t>,</w:t>
      </w:r>
      <w:r w:rsidR="003C3FDB" w:rsidRPr="00D47DAA">
        <w:rPr>
          <w:color w:val="000000" w:themeColor="text1"/>
        </w:rPr>
        <w:t xml:space="preserve"> and a scientifically-informed future</w:t>
      </w:r>
      <w:r w:rsidR="00142DD6" w:rsidRPr="00D47DAA">
        <w:rPr>
          <w:color w:val="000000" w:themeColor="text1"/>
        </w:rPr>
        <w:t xml:space="preserve"> in which the sky was no longer the limit. The Master Plan, which elevated science and </w:t>
      </w:r>
      <w:r w:rsidR="005A2BF0" w:rsidRPr="00D47DAA">
        <w:rPr>
          <w:color w:val="000000" w:themeColor="text1"/>
        </w:rPr>
        <w:t>social</w:t>
      </w:r>
      <w:r w:rsidR="00142DD6" w:rsidRPr="00D47DAA">
        <w:rPr>
          <w:color w:val="000000" w:themeColor="text1"/>
        </w:rPr>
        <w:t xml:space="preserve"> </w:t>
      </w:r>
      <w:r w:rsidR="00731D40" w:rsidRPr="00D47DAA">
        <w:rPr>
          <w:color w:val="000000" w:themeColor="text1"/>
        </w:rPr>
        <w:t>equality</w:t>
      </w:r>
      <w:r w:rsidR="00142DD6" w:rsidRPr="00D47DAA">
        <w:rPr>
          <w:color w:val="000000" w:themeColor="text1"/>
        </w:rPr>
        <w:t xml:space="preserve"> </w:t>
      </w:r>
      <w:r w:rsidR="005A2BF0" w:rsidRPr="00D47DAA">
        <w:rPr>
          <w:color w:val="000000" w:themeColor="text1"/>
        </w:rPr>
        <w:t>together</w:t>
      </w:r>
      <w:r w:rsidR="00142DD6" w:rsidRPr="00D47DAA">
        <w:rPr>
          <w:color w:val="000000" w:themeColor="text1"/>
        </w:rPr>
        <w:t xml:space="preserve">, was on the scale of other </w:t>
      </w:r>
      <w:r w:rsidR="00457F45" w:rsidRPr="00D47DAA">
        <w:rPr>
          <w:color w:val="000000" w:themeColor="text1"/>
        </w:rPr>
        <w:t xml:space="preserve">ambitious </w:t>
      </w:r>
      <w:r w:rsidR="00E938DC" w:rsidRPr="00D47DAA">
        <w:rPr>
          <w:color w:val="000000" w:themeColor="text1"/>
        </w:rPr>
        <w:t xml:space="preserve">government </w:t>
      </w:r>
      <w:r w:rsidR="00142DD6" w:rsidRPr="00D47DAA">
        <w:rPr>
          <w:color w:val="000000" w:themeColor="text1"/>
        </w:rPr>
        <w:t xml:space="preserve">projects of the </w:t>
      </w:r>
      <w:r w:rsidR="00E938DC" w:rsidRPr="00D47DAA">
        <w:rPr>
          <w:color w:val="000000" w:themeColor="text1"/>
        </w:rPr>
        <w:t>day, like</w:t>
      </w:r>
      <w:r w:rsidR="005A2BF0" w:rsidRPr="00D47DAA">
        <w:rPr>
          <w:color w:val="000000" w:themeColor="text1"/>
        </w:rPr>
        <w:t xml:space="preserve"> </w:t>
      </w:r>
      <w:r w:rsidR="00457F45" w:rsidRPr="00D47DAA">
        <w:rPr>
          <w:color w:val="000000" w:themeColor="text1"/>
        </w:rPr>
        <w:t>the space race,</w:t>
      </w:r>
      <w:r w:rsidR="00E938DC" w:rsidRPr="00D47DAA">
        <w:rPr>
          <w:color w:val="000000" w:themeColor="text1"/>
        </w:rPr>
        <w:t xml:space="preserve"> and </w:t>
      </w:r>
      <w:r w:rsidR="00457F45" w:rsidRPr="00D47DAA">
        <w:rPr>
          <w:color w:val="000000" w:themeColor="text1"/>
        </w:rPr>
        <w:t xml:space="preserve">President </w:t>
      </w:r>
      <w:r w:rsidR="00142DD6" w:rsidRPr="00D47DAA">
        <w:rPr>
          <w:color w:val="000000" w:themeColor="text1"/>
        </w:rPr>
        <w:t xml:space="preserve">Lyndon </w:t>
      </w:r>
      <w:r w:rsidR="00142DD6" w:rsidRPr="00D47DAA">
        <w:rPr>
          <w:color w:val="000000" w:themeColor="text1"/>
        </w:rPr>
        <w:lastRenderedPageBreak/>
        <w:t>Johnson’s Great Society</w:t>
      </w:r>
      <w:r w:rsidR="00E938DC" w:rsidRPr="00D47DAA">
        <w:rPr>
          <w:color w:val="000000" w:themeColor="text1"/>
        </w:rPr>
        <w:t xml:space="preserve">. There was </w:t>
      </w:r>
      <w:r w:rsidR="00457F45" w:rsidRPr="00D47DAA">
        <w:rPr>
          <w:color w:val="000000" w:themeColor="text1"/>
        </w:rPr>
        <w:t xml:space="preserve">a </w:t>
      </w:r>
      <w:r w:rsidR="00142DD6" w:rsidRPr="00D47DAA">
        <w:rPr>
          <w:color w:val="000000" w:themeColor="text1"/>
        </w:rPr>
        <w:t xml:space="preserve">widespread </w:t>
      </w:r>
      <w:r w:rsidR="005A2BF0" w:rsidRPr="00D47DAA">
        <w:rPr>
          <w:color w:val="000000" w:themeColor="text1"/>
        </w:rPr>
        <w:t xml:space="preserve">belief in public action and optimism about the </w:t>
      </w:r>
      <w:r w:rsidR="00457F45" w:rsidRPr="00D47DAA">
        <w:rPr>
          <w:color w:val="000000" w:themeColor="text1"/>
        </w:rPr>
        <w:t>consequences. This mood and th</w:t>
      </w:r>
      <w:r w:rsidR="004B42AA" w:rsidRPr="00D47DAA">
        <w:rPr>
          <w:color w:val="000000" w:themeColor="text1"/>
        </w:rPr>
        <w:t>o</w:t>
      </w:r>
      <w:r w:rsidR="00457F45" w:rsidRPr="00D47DAA">
        <w:rPr>
          <w:color w:val="000000" w:themeColor="text1"/>
        </w:rPr>
        <w:t>se values were</w:t>
      </w:r>
      <w:r w:rsidR="00E938DC" w:rsidRPr="00D47DAA">
        <w:rPr>
          <w:color w:val="000000" w:themeColor="text1"/>
        </w:rPr>
        <w:t xml:space="preserve"> the </w:t>
      </w:r>
      <w:r w:rsidR="00457F45" w:rsidRPr="00D47DAA">
        <w:rPr>
          <w:color w:val="000000" w:themeColor="text1"/>
        </w:rPr>
        <w:t>bedrock</w:t>
      </w:r>
      <w:r w:rsidR="00E938DC" w:rsidRPr="00D47DAA">
        <w:rPr>
          <w:color w:val="000000" w:themeColor="text1"/>
        </w:rPr>
        <w:t xml:space="preserve"> of the </w:t>
      </w:r>
      <w:r w:rsidR="00457F45" w:rsidRPr="00D47DAA">
        <w:rPr>
          <w:color w:val="000000" w:themeColor="text1"/>
        </w:rPr>
        <w:t xml:space="preserve">Master </w:t>
      </w:r>
      <w:r w:rsidR="00E938DC" w:rsidRPr="00D47DAA">
        <w:rPr>
          <w:color w:val="000000" w:themeColor="text1"/>
        </w:rPr>
        <w:t>Plan and atmosphere of its success</w:t>
      </w:r>
      <w:r w:rsidR="005A2BF0" w:rsidRPr="00D47DAA">
        <w:rPr>
          <w:color w:val="000000" w:themeColor="text1"/>
        </w:rPr>
        <w:t xml:space="preserve">. </w:t>
      </w:r>
      <w:r w:rsidR="002E7C93" w:rsidRPr="00D47DAA">
        <w:rPr>
          <w:color w:val="000000" w:themeColor="text1"/>
        </w:rPr>
        <w:t>W</w:t>
      </w:r>
      <w:r w:rsidR="00E938DC" w:rsidRPr="00D47DAA">
        <w:rPr>
          <w:color w:val="000000" w:themeColor="text1"/>
        </w:rPr>
        <w:t xml:space="preserve">hen </w:t>
      </w:r>
      <w:r w:rsidR="004B42AA" w:rsidRPr="00D47DAA">
        <w:rPr>
          <w:color w:val="000000" w:themeColor="text1"/>
        </w:rPr>
        <w:t xml:space="preserve">American </w:t>
      </w:r>
      <w:r w:rsidR="00E938DC" w:rsidRPr="00D47DAA">
        <w:rPr>
          <w:color w:val="000000" w:themeColor="text1"/>
        </w:rPr>
        <w:t xml:space="preserve">social </w:t>
      </w:r>
      <w:r w:rsidR="00457F45" w:rsidRPr="00D47DAA">
        <w:rPr>
          <w:color w:val="000000" w:themeColor="text1"/>
        </w:rPr>
        <w:t>values</w:t>
      </w:r>
      <w:r w:rsidR="00E938DC" w:rsidRPr="00D47DAA">
        <w:rPr>
          <w:color w:val="000000" w:themeColor="text1"/>
        </w:rPr>
        <w:t xml:space="preserve"> </w:t>
      </w:r>
      <w:proofErr w:type="gramStart"/>
      <w:r w:rsidR="005A2BF0" w:rsidRPr="00D47DAA">
        <w:rPr>
          <w:color w:val="000000" w:themeColor="text1"/>
        </w:rPr>
        <w:t>changed</w:t>
      </w:r>
      <w:proofErr w:type="gramEnd"/>
      <w:r w:rsidR="00E938DC" w:rsidRPr="00D47DAA">
        <w:rPr>
          <w:color w:val="000000" w:themeColor="text1"/>
        </w:rPr>
        <w:t xml:space="preserve"> </w:t>
      </w:r>
      <w:r w:rsidR="00457F45" w:rsidRPr="00D47DAA">
        <w:rPr>
          <w:color w:val="000000" w:themeColor="text1"/>
        </w:rPr>
        <w:t>th</w:t>
      </w:r>
      <w:r w:rsidR="005A2BF0" w:rsidRPr="00D47DAA">
        <w:rPr>
          <w:color w:val="000000" w:themeColor="text1"/>
        </w:rPr>
        <w:t>e Plan began to falter. T</w:t>
      </w:r>
      <w:r w:rsidR="00E938DC" w:rsidRPr="00D47DAA">
        <w:rPr>
          <w:color w:val="000000" w:themeColor="text1"/>
        </w:rPr>
        <w:t xml:space="preserve">he Plan </w:t>
      </w:r>
      <w:r w:rsidR="002E7C93" w:rsidRPr="00D47DAA">
        <w:rPr>
          <w:color w:val="000000" w:themeColor="text1"/>
        </w:rPr>
        <w:t xml:space="preserve">also </w:t>
      </w:r>
      <w:r w:rsidR="00E938DC" w:rsidRPr="00D47DAA">
        <w:rPr>
          <w:color w:val="000000" w:themeColor="text1"/>
        </w:rPr>
        <w:t xml:space="preserve">had internal </w:t>
      </w:r>
      <w:r w:rsidR="00457F45" w:rsidRPr="00D47DAA">
        <w:rPr>
          <w:color w:val="000000" w:themeColor="text1"/>
        </w:rPr>
        <w:t xml:space="preserve">structural </w:t>
      </w:r>
      <w:r w:rsidR="00E938DC" w:rsidRPr="00D47DAA">
        <w:rPr>
          <w:color w:val="000000" w:themeColor="text1"/>
        </w:rPr>
        <w:t>weaknesses</w:t>
      </w:r>
      <w:r w:rsidR="002E7C93" w:rsidRPr="00D47DAA">
        <w:rPr>
          <w:color w:val="000000" w:themeColor="text1"/>
        </w:rPr>
        <w:t>. B</w:t>
      </w:r>
      <w:r w:rsidR="005A2BF0" w:rsidRPr="00D47DAA">
        <w:rPr>
          <w:color w:val="000000" w:themeColor="text1"/>
        </w:rPr>
        <w:t>ut it was the external social</w:t>
      </w:r>
      <w:r w:rsidR="002E7C93" w:rsidRPr="00D47DAA">
        <w:rPr>
          <w:color w:val="000000" w:themeColor="text1"/>
        </w:rPr>
        <w:t>, economic</w:t>
      </w:r>
      <w:r w:rsidR="005A2BF0" w:rsidRPr="00D47DAA">
        <w:rPr>
          <w:color w:val="000000" w:themeColor="text1"/>
        </w:rPr>
        <w:t xml:space="preserve"> and political realm</w:t>
      </w:r>
      <w:r w:rsidR="002E7C93" w:rsidRPr="00D47DAA">
        <w:rPr>
          <w:color w:val="000000" w:themeColor="text1"/>
        </w:rPr>
        <w:t xml:space="preserve"> that changed the Master Plan’s condition</w:t>
      </w:r>
      <w:r w:rsidR="004B42AA" w:rsidRPr="00D47DAA">
        <w:rPr>
          <w:color w:val="000000" w:themeColor="text1"/>
        </w:rPr>
        <w:t>s</w:t>
      </w:r>
      <w:r w:rsidR="002E7C93" w:rsidRPr="00D47DAA">
        <w:rPr>
          <w:color w:val="000000" w:themeColor="text1"/>
        </w:rPr>
        <w:t xml:space="preserve"> of operation and (interacting with its internal forms) set </w:t>
      </w:r>
      <w:r w:rsidR="005A2BF0" w:rsidRPr="00D47DAA">
        <w:rPr>
          <w:color w:val="000000" w:themeColor="text1"/>
        </w:rPr>
        <w:t>decisive</w:t>
      </w:r>
      <w:r w:rsidR="002E7C93" w:rsidRPr="00D47DAA">
        <w:rPr>
          <w:color w:val="000000" w:themeColor="text1"/>
        </w:rPr>
        <w:t xml:space="preserve"> limits on what could be achieved</w:t>
      </w:r>
      <w:r w:rsidR="005A2BF0" w:rsidRPr="00D47DAA">
        <w:rPr>
          <w:color w:val="000000" w:themeColor="text1"/>
        </w:rPr>
        <w:t>.</w:t>
      </w:r>
    </w:p>
    <w:p w14:paraId="78B14D53" w14:textId="77777777" w:rsidR="00924A1C" w:rsidRPr="00D47DAA" w:rsidRDefault="00924A1C" w:rsidP="00DF6211">
      <w:pPr>
        <w:rPr>
          <w:color w:val="000000" w:themeColor="text1"/>
        </w:rPr>
      </w:pPr>
    </w:p>
    <w:p w14:paraId="608C875F" w14:textId="77777777" w:rsidR="000F5DB5" w:rsidRPr="00D47DAA" w:rsidRDefault="000F5DB5" w:rsidP="00DF6211">
      <w:pPr>
        <w:rPr>
          <w:color w:val="000000" w:themeColor="text1"/>
        </w:rPr>
      </w:pPr>
    </w:p>
    <w:p w14:paraId="552F036E" w14:textId="77777777" w:rsidR="00924A1C" w:rsidRPr="00D47DAA" w:rsidRDefault="00924A1C" w:rsidP="00924A1C">
      <w:pPr>
        <w:rPr>
          <w:b/>
          <w:color w:val="000000" w:themeColor="text1"/>
          <w:sz w:val="28"/>
          <w:szCs w:val="28"/>
        </w:rPr>
      </w:pPr>
      <w:r w:rsidRPr="00D47DAA">
        <w:rPr>
          <w:b/>
          <w:color w:val="000000" w:themeColor="text1"/>
          <w:sz w:val="28"/>
          <w:szCs w:val="28"/>
        </w:rPr>
        <w:t>The California Master Plan</w:t>
      </w:r>
    </w:p>
    <w:p w14:paraId="07A36E87" w14:textId="77777777" w:rsidR="00924A1C" w:rsidRPr="00D47DAA" w:rsidRDefault="00924A1C" w:rsidP="00924A1C">
      <w:pPr>
        <w:rPr>
          <w:b/>
          <w:color w:val="000000" w:themeColor="text1"/>
        </w:rPr>
      </w:pPr>
    </w:p>
    <w:p w14:paraId="0E815FA0" w14:textId="5DDA1996" w:rsidR="00057693" w:rsidRPr="00D47DAA" w:rsidRDefault="006771A4" w:rsidP="00DF6211">
      <w:pPr>
        <w:rPr>
          <w:color w:val="000000" w:themeColor="text1"/>
        </w:rPr>
      </w:pPr>
      <w:r w:rsidRPr="00D47DAA">
        <w:rPr>
          <w:i/>
          <w:color w:val="000000" w:themeColor="text1"/>
        </w:rPr>
        <w:t>The California Master Plan for Higher Education</w:t>
      </w:r>
      <w:r w:rsidRPr="00D47DAA">
        <w:rPr>
          <w:color w:val="000000" w:themeColor="text1"/>
        </w:rPr>
        <w:t xml:space="preserve"> was</w:t>
      </w:r>
      <w:r w:rsidR="00057693" w:rsidRPr="00D47DAA">
        <w:rPr>
          <w:color w:val="000000" w:themeColor="text1"/>
        </w:rPr>
        <w:t xml:space="preserve"> remarkable in its clarity of vision and </w:t>
      </w:r>
      <w:r w:rsidR="006C753B" w:rsidRPr="00D47DAA">
        <w:rPr>
          <w:color w:val="000000" w:themeColor="text1"/>
        </w:rPr>
        <w:t>its</w:t>
      </w:r>
      <w:r w:rsidR="00057693" w:rsidRPr="00D47DAA">
        <w:rPr>
          <w:color w:val="000000" w:themeColor="text1"/>
        </w:rPr>
        <w:t xml:space="preserve"> far-reaching ambition</w:t>
      </w:r>
      <w:r w:rsidR="00E95BC5" w:rsidRPr="00D47DAA">
        <w:rPr>
          <w:color w:val="000000" w:themeColor="text1"/>
        </w:rPr>
        <w:t xml:space="preserve"> but it was an ambition whose time had come</w:t>
      </w:r>
      <w:r w:rsidR="00057693" w:rsidRPr="00D47DAA">
        <w:rPr>
          <w:color w:val="000000" w:themeColor="text1"/>
        </w:rPr>
        <w:t xml:space="preserve">. </w:t>
      </w:r>
      <w:r w:rsidR="00514FE0" w:rsidRPr="00D47DAA">
        <w:rPr>
          <w:color w:val="000000" w:themeColor="text1"/>
        </w:rPr>
        <w:t xml:space="preserve">In </w:t>
      </w:r>
      <w:r w:rsidR="00514FE0" w:rsidRPr="00D47DAA">
        <w:rPr>
          <w:i/>
          <w:color w:val="000000" w:themeColor="text1"/>
        </w:rPr>
        <w:t xml:space="preserve">Capital in the Twenty-first Century </w:t>
      </w:r>
      <w:r w:rsidR="00514FE0" w:rsidRPr="00D47DAA">
        <w:rPr>
          <w:color w:val="000000" w:themeColor="text1"/>
        </w:rPr>
        <w:t xml:space="preserve">(2014), Thomas Piketty shows that special </w:t>
      </w:r>
      <w:r w:rsidR="00E95BC5" w:rsidRPr="00D47DAA">
        <w:rPr>
          <w:color w:val="000000" w:themeColor="text1"/>
        </w:rPr>
        <w:t xml:space="preserve">and unusual conditions </w:t>
      </w:r>
      <w:r w:rsidR="00514FE0" w:rsidRPr="00D47DAA">
        <w:rPr>
          <w:color w:val="000000" w:themeColor="text1"/>
        </w:rPr>
        <w:t xml:space="preserve">after 1945 </w:t>
      </w:r>
      <w:r w:rsidR="00057693" w:rsidRPr="00D47DAA">
        <w:rPr>
          <w:color w:val="000000" w:themeColor="text1"/>
        </w:rPr>
        <w:t>in the United States and other modernis</w:t>
      </w:r>
      <w:r w:rsidR="00D71CBF" w:rsidRPr="00D47DAA">
        <w:rPr>
          <w:color w:val="000000" w:themeColor="text1"/>
        </w:rPr>
        <w:t xml:space="preserve">ed industrial countries </w:t>
      </w:r>
      <w:r w:rsidR="00514FE0" w:rsidRPr="00D47DAA">
        <w:rPr>
          <w:color w:val="000000" w:themeColor="text1"/>
        </w:rPr>
        <w:t xml:space="preserve">opened the way to greater social mobility and a larger role for </w:t>
      </w:r>
      <w:r w:rsidR="00D71CBF" w:rsidRPr="00D47DAA">
        <w:rPr>
          <w:color w:val="000000" w:themeColor="text1"/>
        </w:rPr>
        <w:t>social allocation via</w:t>
      </w:r>
      <w:r w:rsidR="00514FE0" w:rsidRPr="00D47DAA">
        <w:rPr>
          <w:color w:val="000000" w:themeColor="text1"/>
        </w:rPr>
        <w:t xml:space="preserve"> higher education</w:t>
      </w:r>
      <w:r w:rsidR="00E95BC5" w:rsidRPr="00D47DAA">
        <w:rPr>
          <w:color w:val="000000" w:themeColor="text1"/>
        </w:rPr>
        <w:t xml:space="preserve">. This </w:t>
      </w:r>
      <w:r w:rsidR="001E17F0" w:rsidRPr="00D47DAA">
        <w:rPr>
          <w:color w:val="000000" w:themeColor="text1"/>
        </w:rPr>
        <w:t xml:space="preserve">in turn </w:t>
      </w:r>
      <w:r w:rsidR="00E95BC5" w:rsidRPr="00D47DAA">
        <w:rPr>
          <w:color w:val="000000" w:themeColor="text1"/>
        </w:rPr>
        <w:t xml:space="preserve">enabled governments to install </w:t>
      </w:r>
      <w:r w:rsidR="001E17F0" w:rsidRPr="00D47DAA">
        <w:rPr>
          <w:color w:val="000000" w:themeColor="text1"/>
        </w:rPr>
        <w:t>more democratic access</w:t>
      </w:r>
      <w:r w:rsidR="00E95BC5" w:rsidRPr="00D47DAA">
        <w:rPr>
          <w:color w:val="000000" w:themeColor="text1"/>
        </w:rPr>
        <w:t xml:space="preserve"> </w:t>
      </w:r>
      <w:r w:rsidR="001E17F0" w:rsidRPr="00D47DAA">
        <w:rPr>
          <w:color w:val="000000" w:themeColor="text1"/>
        </w:rPr>
        <w:t>(equality of opportunity) at the centre of higher education, without necessarily displacing the established users.</w:t>
      </w:r>
    </w:p>
    <w:p w14:paraId="41FE9FBA" w14:textId="3D8E8CB1" w:rsidR="00514FE0" w:rsidRPr="00D47DAA" w:rsidRDefault="00514FE0" w:rsidP="00DF6211">
      <w:pPr>
        <w:ind w:firstLine="454"/>
        <w:rPr>
          <w:color w:val="000000" w:themeColor="text1"/>
        </w:rPr>
      </w:pPr>
      <w:r w:rsidRPr="00D47DAA">
        <w:rPr>
          <w:color w:val="000000" w:themeColor="text1"/>
        </w:rPr>
        <w:t>Before World War I, inherited wealth and capital incomes had retarded the potential for upward social mobility through work and education. However</w:t>
      </w:r>
      <w:r w:rsidR="008D63E0" w:rsidRPr="00D47DAA">
        <w:rPr>
          <w:color w:val="000000" w:themeColor="text1"/>
        </w:rPr>
        <w:t>, the world wars and the 1930s D</w:t>
      </w:r>
      <w:r w:rsidRPr="00D47DAA">
        <w:rPr>
          <w:color w:val="000000" w:themeColor="text1"/>
        </w:rPr>
        <w:t>epression evacuated many of the great fortunes</w:t>
      </w:r>
      <w:r w:rsidR="00FB2B9E" w:rsidRPr="00D47DAA">
        <w:rPr>
          <w:color w:val="000000" w:themeColor="text1"/>
        </w:rPr>
        <w:t>. T</w:t>
      </w:r>
      <w:r w:rsidRPr="00D47DAA">
        <w:rPr>
          <w:color w:val="000000" w:themeColor="text1"/>
        </w:rPr>
        <w:t>his partial emptying out of the upper echelon of society provided more space for social mobility after 1945. Progressive income tax, capital taxes and inheritance taxes</w:t>
      </w:r>
      <w:r w:rsidR="00403ABA" w:rsidRPr="00D47DAA">
        <w:rPr>
          <w:color w:val="000000" w:themeColor="text1"/>
        </w:rPr>
        <w:t>, which had been used to mobilis</w:t>
      </w:r>
      <w:r w:rsidRPr="00D47DAA">
        <w:rPr>
          <w:color w:val="000000" w:themeColor="text1"/>
        </w:rPr>
        <w:t xml:space="preserve">e resources for the war effort, continued into the </w:t>
      </w:r>
      <w:proofErr w:type="spellStart"/>
      <w:r w:rsidRPr="00D47DAA">
        <w:rPr>
          <w:color w:val="000000" w:themeColor="text1"/>
        </w:rPr>
        <w:t>postwar</w:t>
      </w:r>
      <w:proofErr w:type="spellEnd"/>
      <w:r w:rsidRPr="00D47DAA">
        <w:rPr>
          <w:color w:val="000000" w:themeColor="text1"/>
        </w:rPr>
        <w:t xml:space="preserve"> era, reducing inter-generational transfer and creating more room for the expansion of the middle class</w:t>
      </w:r>
      <w:r w:rsidR="00F9794E" w:rsidRPr="00D47DAA">
        <w:rPr>
          <w:color w:val="000000" w:themeColor="text1"/>
        </w:rPr>
        <w:t xml:space="preserve"> (Piketty</w:t>
      </w:r>
      <w:r w:rsidR="00E90CA8" w:rsidRPr="00D47DAA">
        <w:rPr>
          <w:color w:val="000000" w:themeColor="text1"/>
        </w:rPr>
        <w:t>,</w:t>
      </w:r>
      <w:r w:rsidR="00F9794E" w:rsidRPr="00D47DAA">
        <w:rPr>
          <w:color w:val="000000" w:themeColor="text1"/>
        </w:rPr>
        <w:t xml:space="preserve"> 2014, p. 374)</w:t>
      </w:r>
      <w:r w:rsidRPr="00D47DAA">
        <w:rPr>
          <w:color w:val="000000" w:themeColor="text1"/>
        </w:rPr>
        <w:t>. The top tax rate was high and managers’ salaries were restrained</w:t>
      </w:r>
      <w:r w:rsidR="00D71CBF" w:rsidRPr="00D47DAA">
        <w:rPr>
          <w:color w:val="000000" w:themeColor="text1"/>
        </w:rPr>
        <w:t>, compared to later experience</w:t>
      </w:r>
      <w:r w:rsidRPr="00D47DAA">
        <w:rPr>
          <w:color w:val="000000" w:themeColor="text1"/>
        </w:rPr>
        <w:t xml:space="preserve">. </w:t>
      </w:r>
      <w:r w:rsidR="00D71CBF" w:rsidRPr="00D47DAA">
        <w:rPr>
          <w:color w:val="000000" w:themeColor="text1"/>
        </w:rPr>
        <w:t>In the United States between the 1940s and the 1970s,</w:t>
      </w:r>
      <w:r w:rsidRPr="00D47DAA">
        <w:rPr>
          <w:color w:val="000000" w:themeColor="text1"/>
        </w:rPr>
        <w:t xml:space="preserve"> savings from labour were the main source of wealth, rather than capital incomes, </w:t>
      </w:r>
      <w:r w:rsidR="001F2238" w:rsidRPr="00D47DAA">
        <w:rPr>
          <w:color w:val="000000" w:themeColor="text1"/>
        </w:rPr>
        <w:t xml:space="preserve">and </w:t>
      </w:r>
      <w:r w:rsidRPr="00D47DAA">
        <w:rPr>
          <w:color w:val="000000" w:themeColor="text1"/>
        </w:rPr>
        <w:t>facilitated the spread of home-ownership by what Piketty calls the ‘patrimonial middle class’</w:t>
      </w:r>
      <w:r w:rsidR="00FB2B9E" w:rsidRPr="00D47DAA">
        <w:rPr>
          <w:color w:val="000000" w:themeColor="text1"/>
        </w:rPr>
        <w:t xml:space="preserve"> (</w:t>
      </w:r>
      <w:r w:rsidR="00763412" w:rsidRPr="00D47DAA">
        <w:rPr>
          <w:color w:val="000000" w:themeColor="text1"/>
        </w:rPr>
        <w:t>p. 260)</w:t>
      </w:r>
      <w:r w:rsidRPr="00D47DAA">
        <w:rPr>
          <w:color w:val="000000" w:themeColor="text1"/>
        </w:rPr>
        <w:t xml:space="preserve">. </w:t>
      </w:r>
      <w:r w:rsidR="001E17F0" w:rsidRPr="00D47DAA">
        <w:rPr>
          <w:color w:val="000000" w:themeColor="text1"/>
        </w:rPr>
        <w:t>I</w:t>
      </w:r>
      <w:r w:rsidR="00271AD8" w:rsidRPr="00D47DAA">
        <w:rPr>
          <w:color w:val="000000" w:themeColor="text1"/>
        </w:rPr>
        <w:t xml:space="preserve">n 1960s </w:t>
      </w:r>
      <w:proofErr w:type="gramStart"/>
      <w:r w:rsidR="00271AD8" w:rsidRPr="00D47DAA">
        <w:rPr>
          <w:color w:val="000000" w:themeColor="text1"/>
        </w:rPr>
        <w:t>America</w:t>
      </w:r>
      <w:proofErr w:type="gramEnd"/>
      <w:r w:rsidR="00271AD8" w:rsidRPr="00D47DAA">
        <w:rPr>
          <w:color w:val="000000" w:themeColor="text1"/>
        </w:rPr>
        <w:t xml:space="preserve"> t</w:t>
      </w:r>
      <w:r w:rsidRPr="00D47DAA">
        <w:rPr>
          <w:color w:val="000000" w:themeColor="text1"/>
        </w:rPr>
        <w:t xml:space="preserve">here was more </w:t>
      </w:r>
      <w:r w:rsidR="00FB2B9E" w:rsidRPr="00D47DAA">
        <w:rPr>
          <w:color w:val="000000" w:themeColor="text1"/>
        </w:rPr>
        <w:t xml:space="preserve">than the usual scope </w:t>
      </w:r>
      <w:r w:rsidR="00D71CBF" w:rsidRPr="00D47DAA">
        <w:rPr>
          <w:color w:val="000000" w:themeColor="text1"/>
        </w:rPr>
        <w:t xml:space="preserve">for upward movement </w:t>
      </w:r>
      <w:r w:rsidR="00FB2B9E" w:rsidRPr="00D47DAA">
        <w:rPr>
          <w:color w:val="000000" w:themeColor="text1"/>
        </w:rPr>
        <w:t>in</w:t>
      </w:r>
      <w:r w:rsidR="00D71CBF" w:rsidRPr="00D47DAA">
        <w:rPr>
          <w:color w:val="000000" w:themeColor="text1"/>
        </w:rPr>
        <w:t>to</w:t>
      </w:r>
      <w:r w:rsidRPr="00D47DAA">
        <w:rPr>
          <w:color w:val="000000" w:themeColor="text1"/>
        </w:rPr>
        <w:t xml:space="preserve"> the top </w:t>
      </w:r>
      <w:r w:rsidR="00FB2B9E" w:rsidRPr="00D47DAA">
        <w:rPr>
          <w:color w:val="000000" w:themeColor="text1"/>
        </w:rPr>
        <w:t>layers o</w:t>
      </w:r>
      <w:r w:rsidR="00D71CBF" w:rsidRPr="00D47DAA">
        <w:rPr>
          <w:color w:val="000000" w:themeColor="text1"/>
        </w:rPr>
        <w:t xml:space="preserve">f society </w:t>
      </w:r>
      <w:r w:rsidR="00763412" w:rsidRPr="00D47DAA">
        <w:rPr>
          <w:color w:val="000000" w:themeColor="text1"/>
        </w:rPr>
        <w:t>and, partly because of that,</w:t>
      </w:r>
      <w:r w:rsidRPr="00D47DAA">
        <w:rPr>
          <w:color w:val="000000" w:themeColor="text1"/>
        </w:rPr>
        <w:t xml:space="preserve"> more room </w:t>
      </w:r>
      <w:r w:rsidR="00D71CBF" w:rsidRPr="00D47DAA">
        <w:rPr>
          <w:color w:val="000000" w:themeColor="text1"/>
        </w:rPr>
        <w:t xml:space="preserve">opening up </w:t>
      </w:r>
      <w:r w:rsidRPr="00D47DAA">
        <w:rPr>
          <w:color w:val="000000" w:themeColor="text1"/>
        </w:rPr>
        <w:t>in the middle</w:t>
      </w:r>
      <w:r w:rsidR="00FB2B9E" w:rsidRPr="00D47DAA">
        <w:rPr>
          <w:color w:val="000000" w:themeColor="text1"/>
        </w:rPr>
        <w:t xml:space="preserve"> of society</w:t>
      </w:r>
      <w:r w:rsidR="00271AD8" w:rsidRPr="00D47DAA">
        <w:rPr>
          <w:color w:val="000000" w:themeColor="text1"/>
        </w:rPr>
        <w:t>. T</w:t>
      </w:r>
      <w:r w:rsidRPr="00D47DAA">
        <w:rPr>
          <w:color w:val="000000" w:themeColor="text1"/>
        </w:rPr>
        <w:t xml:space="preserve">he long thirty years of economic growth between 1945-1975 </w:t>
      </w:r>
      <w:r w:rsidR="00271AD8" w:rsidRPr="00D47DAA">
        <w:rPr>
          <w:color w:val="000000" w:themeColor="text1"/>
        </w:rPr>
        <w:t xml:space="preserve">drove the expansion of public and private sector employment and </w:t>
      </w:r>
      <w:r w:rsidR="00FB2B9E" w:rsidRPr="00D47DAA">
        <w:rPr>
          <w:color w:val="000000" w:themeColor="text1"/>
        </w:rPr>
        <w:t xml:space="preserve">the former, </w:t>
      </w:r>
      <w:r w:rsidR="00763412" w:rsidRPr="00D47DAA">
        <w:rPr>
          <w:color w:val="000000" w:themeColor="text1"/>
        </w:rPr>
        <w:t>especially</w:t>
      </w:r>
      <w:r w:rsidR="00FB2B9E" w:rsidRPr="00D47DAA">
        <w:rPr>
          <w:color w:val="000000" w:themeColor="text1"/>
        </w:rPr>
        <w:t xml:space="preserve">, </w:t>
      </w:r>
      <w:r w:rsidRPr="00D47DAA">
        <w:rPr>
          <w:color w:val="000000" w:themeColor="text1"/>
        </w:rPr>
        <w:t>enlarged the scope for merit. This</w:t>
      </w:r>
      <w:r w:rsidR="00D71CBF" w:rsidRPr="00D47DAA">
        <w:rPr>
          <w:color w:val="000000" w:themeColor="text1"/>
        </w:rPr>
        <w:t xml:space="preserve">, </w:t>
      </w:r>
      <w:r w:rsidR="00271AD8" w:rsidRPr="00D47DAA">
        <w:rPr>
          <w:color w:val="000000" w:themeColor="text1"/>
        </w:rPr>
        <w:t>together with</w:t>
      </w:r>
      <w:r w:rsidR="00D71CBF" w:rsidRPr="00D47DAA">
        <w:rPr>
          <w:color w:val="000000" w:themeColor="text1"/>
        </w:rPr>
        <w:t xml:space="preserve"> its </w:t>
      </w:r>
      <w:r w:rsidR="00271AD8" w:rsidRPr="00D47DAA">
        <w:rPr>
          <w:color w:val="000000" w:themeColor="text1"/>
        </w:rPr>
        <w:t>rol</w:t>
      </w:r>
      <w:r w:rsidR="00D71CBF" w:rsidRPr="00D47DAA">
        <w:rPr>
          <w:color w:val="000000" w:themeColor="text1"/>
        </w:rPr>
        <w:t>e in science and technology,</w:t>
      </w:r>
      <w:r w:rsidRPr="00D47DAA">
        <w:rPr>
          <w:color w:val="000000" w:themeColor="text1"/>
        </w:rPr>
        <w:t xml:space="preserve"> brought higher education into a more </w:t>
      </w:r>
      <w:r w:rsidR="00270154" w:rsidRPr="00D47DAA">
        <w:rPr>
          <w:color w:val="000000" w:themeColor="text1"/>
        </w:rPr>
        <w:t>central</w:t>
      </w:r>
      <w:r w:rsidRPr="00D47DAA">
        <w:rPr>
          <w:color w:val="000000" w:themeColor="text1"/>
        </w:rPr>
        <w:t xml:space="preserve"> </w:t>
      </w:r>
      <w:r w:rsidR="001F2238" w:rsidRPr="00D47DAA">
        <w:rPr>
          <w:color w:val="000000" w:themeColor="text1"/>
        </w:rPr>
        <w:t xml:space="preserve">role </w:t>
      </w:r>
      <w:r w:rsidR="00270154" w:rsidRPr="00D47DAA">
        <w:rPr>
          <w:color w:val="000000" w:themeColor="text1"/>
        </w:rPr>
        <w:t>in American society</w:t>
      </w:r>
      <w:r w:rsidRPr="00D47DAA">
        <w:rPr>
          <w:color w:val="000000" w:themeColor="text1"/>
        </w:rPr>
        <w:t xml:space="preserve">. It was </w:t>
      </w:r>
      <w:r w:rsidR="00D71CBF" w:rsidRPr="00D47DAA">
        <w:rPr>
          <w:color w:val="000000" w:themeColor="text1"/>
        </w:rPr>
        <w:t xml:space="preserve">the pathway to </w:t>
      </w:r>
      <w:r w:rsidRPr="00D47DAA">
        <w:rPr>
          <w:color w:val="000000" w:themeColor="text1"/>
        </w:rPr>
        <w:t>the future for families</w:t>
      </w:r>
      <w:r w:rsidR="00270154" w:rsidRPr="00D47DAA">
        <w:rPr>
          <w:color w:val="000000" w:themeColor="text1"/>
        </w:rPr>
        <w:t>, the economy and</w:t>
      </w:r>
      <w:r w:rsidRPr="00D47DAA">
        <w:rPr>
          <w:color w:val="000000" w:themeColor="text1"/>
        </w:rPr>
        <w:t xml:space="preserve"> </w:t>
      </w:r>
      <w:r w:rsidR="00270154" w:rsidRPr="00D47DAA">
        <w:rPr>
          <w:color w:val="000000" w:themeColor="text1"/>
        </w:rPr>
        <w:t>the nation</w:t>
      </w:r>
      <w:r w:rsidR="00271AD8" w:rsidRPr="00D47DAA">
        <w:rPr>
          <w:color w:val="000000" w:themeColor="text1"/>
        </w:rPr>
        <w:t xml:space="preserve">. </w:t>
      </w:r>
      <w:r w:rsidR="001E17F0" w:rsidRPr="00D47DAA">
        <w:rPr>
          <w:color w:val="000000" w:themeColor="text1"/>
        </w:rPr>
        <w:t>H</w:t>
      </w:r>
      <w:r w:rsidR="00FB2B9E" w:rsidRPr="00D47DAA">
        <w:rPr>
          <w:color w:val="000000" w:themeColor="text1"/>
        </w:rPr>
        <w:t>igher education</w:t>
      </w:r>
      <w:r w:rsidRPr="00D47DAA">
        <w:rPr>
          <w:color w:val="000000" w:themeColor="text1"/>
        </w:rPr>
        <w:t xml:space="preserve"> </w:t>
      </w:r>
      <w:r w:rsidR="00FB2B9E" w:rsidRPr="00D47DAA">
        <w:rPr>
          <w:color w:val="000000" w:themeColor="text1"/>
        </w:rPr>
        <w:t xml:space="preserve">in 1950s/1970s US </w:t>
      </w:r>
      <w:r w:rsidRPr="00D47DAA">
        <w:rPr>
          <w:color w:val="000000" w:themeColor="text1"/>
        </w:rPr>
        <w:t xml:space="preserve">was </w:t>
      </w:r>
      <w:r w:rsidR="00271AD8" w:rsidRPr="00D47DAA">
        <w:rPr>
          <w:color w:val="000000" w:themeColor="text1"/>
        </w:rPr>
        <w:t>a</w:t>
      </w:r>
      <w:r w:rsidRPr="00D47DAA">
        <w:rPr>
          <w:color w:val="000000" w:themeColor="text1"/>
        </w:rPr>
        <w:t xml:space="preserve"> </w:t>
      </w:r>
      <w:r w:rsidR="00270154" w:rsidRPr="00D47DAA">
        <w:rPr>
          <w:color w:val="000000" w:themeColor="text1"/>
        </w:rPr>
        <w:t xml:space="preserve">great </w:t>
      </w:r>
      <w:r w:rsidRPr="00D47DAA">
        <w:rPr>
          <w:color w:val="000000" w:themeColor="text1"/>
        </w:rPr>
        <w:t xml:space="preserve">engine room </w:t>
      </w:r>
      <w:r w:rsidR="00271AD8" w:rsidRPr="00D47DAA">
        <w:rPr>
          <w:color w:val="000000" w:themeColor="text1"/>
        </w:rPr>
        <w:t>for</w:t>
      </w:r>
      <w:r w:rsidRPr="00D47DAA">
        <w:rPr>
          <w:color w:val="000000" w:themeColor="text1"/>
        </w:rPr>
        <w:t xml:space="preserve"> the growing middle class.</w:t>
      </w:r>
      <w:r w:rsidR="001E17F0" w:rsidRPr="00D47DAA">
        <w:rPr>
          <w:color w:val="000000" w:themeColor="text1"/>
        </w:rPr>
        <w:t xml:space="preserve"> Nowhere in the world was higher education practiced on a larger scale, and with more original thought and far-reaching innovation, than in fast growing California, the largest American state and the nation’s frontier of opportunity for over a century. It is not surprising California produced the best known of all blueprints for system organisation.</w:t>
      </w:r>
    </w:p>
    <w:p w14:paraId="17C74D0B" w14:textId="77777777" w:rsidR="006A6BA2" w:rsidRPr="00D47DAA" w:rsidRDefault="006A6BA2" w:rsidP="00DF6211">
      <w:pPr>
        <w:rPr>
          <w:color w:val="000000" w:themeColor="text1"/>
        </w:rPr>
      </w:pPr>
    </w:p>
    <w:p w14:paraId="24AD2937" w14:textId="3B46E2B2" w:rsidR="0047644C" w:rsidRPr="00D47DAA" w:rsidRDefault="00F70100" w:rsidP="00DF6211">
      <w:pPr>
        <w:rPr>
          <w:color w:val="000000" w:themeColor="text1"/>
        </w:rPr>
      </w:pPr>
      <w:r w:rsidRPr="00D47DAA">
        <w:rPr>
          <w:b/>
          <w:color w:val="000000" w:themeColor="text1"/>
        </w:rPr>
        <w:t>N</w:t>
      </w:r>
      <w:r w:rsidR="00763412" w:rsidRPr="00D47DAA">
        <w:rPr>
          <w:b/>
          <w:color w:val="000000" w:themeColor="text1"/>
        </w:rPr>
        <w:t>egotiation of the Master Plan</w:t>
      </w:r>
    </w:p>
    <w:p w14:paraId="28192890" w14:textId="77777777" w:rsidR="00763412" w:rsidRPr="00D47DAA" w:rsidRDefault="00763412" w:rsidP="00DF6211">
      <w:pPr>
        <w:rPr>
          <w:color w:val="000000" w:themeColor="text1"/>
        </w:rPr>
      </w:pPr>
    </w:p>
    <w:p w14:paraId="26BB758A" w14:textId="29BD0A3F" w:rsidR="00ED4494" w:rsidRPr="00D47DAA" w:rsidRDefault="001E1B93" w:rsidP="00DF6211">
      <w:pPr>
        <w:rPr>
          <w:color w:val="000000" w:themeColor="text1"/>
        </w:rPr>
      </w:pPr>
      <w:r w:rsidRPr="00D47DAA">
        <w:rPr>
          <w:color w:val="000000" w:themeColor="text1"/>
        </w:rPr>
        <w:t>T</w:t>
      </w:r>
      <w:r w:rsidR="00270154" w:rsidRPr="00D47DAA">
        <w:rPr>
          <w:color w:val="000000" w:themeColor="text1"/>
        </w:rPr>
        <w:t>he central figure in fashioning higher education in California was Clark Kerr, Chancellor of the University of California at Berkeley from 1952 to 1957, and President of the University of California from 1958 to 1967. Kerr was the principal ar</w:t>
      </w:r>
      <w:r w:rsidR="008024B8" w:rsidRPr="00D47DAA">
        <w:rPr>
          <w:color w:val="000000" w:themeColor="text1"/>
        </w:rPr>
        <w:t>chitect of the 1960 Master Plan;</w:t>
      </w:r>
      <w:r w:rsidR="00270154" w:rsidRPr="00D47DAA">
        <w:rPr>
          <w:color w:val="000000" w:themeColor="text1"/>
        </w:rPr>
        <w:t xml:space="preserve"> the author of </w:t>
      </w:r>
      <w:r w:rsidR="00D71CBF" w:rsidRPr="00D47DAA">
        <w:rPr>
          <w:color w:val="000000" w:themeColor="text1"/>
        </w:rPr>
        <w:t xml:space="preserve">what is still </w:t>
      </w:r>
      <w:r w:rsidR="00270154" w:rsidRPr="00D47DAA">
        <w:rPr>
          <w:color w:val="000000" w:themeColor="text1"/>
        </w:rPr>
        <w:t xml:space="preserve">the </w:t>
      </w:r>
      <w:r w:rsidR="00D71CBF" w:rsidRPr="00D47DAA">
        <w:rPr>
          <w:color w:val="000000" w:themeColor="text1"/>
        </w:rPr>
        <w:t xml:space="preserve">best </w:t>
      </w:r>
      <w:r w:rsidR="00270154" w:rsidRPr="00D47DAA">
        <w:rPr>
          <w:color w:val="000000" w:themeColor="text1"/>
        </w:rPr>
        <w:t xml:space="preserve">book </w:t>
      </w:r>
      <w:r w:rsidR="00FA3DE9" w:rsidRPr="00D47DAA">
        <w:rPr>
          <w:color w:val="000000" w:themeColor="text1"/>
        </w:rPr>
        <w:t>on modern research universities</w:t>
      </w:r>
      <w:r w:rsidR="00270154" w:rsidRPr="00D47DAA">
        <w:rPr>
          <w:color w:val="000000" w:themeColor="text1"/>
        </w:rPr>
        <w:t xml:space="preserve">, </w:t>
      </w:r>
      <w:r w:rsidR="00270154" w:rsidRPr="00D47DAA">
        <w:rPr>
          <w:i/>
          <w:color w:val="000000" w:themeColor="text1"/>
        </w:rPr>
        <w:t>The Uses of the University</w:t>
      </w:r>
      <w:r w:rsidR="00270154" w:rsidRPr="00D47DAA">
        <w:rPr>
          <w:color w:val="000000" w:themeColor="text1"/>
        </w:rPr>
        <w:t xml:space="preserve"> (2001</w:t>
      </w:r>
      <w:r w:rsidR="005A0886" w:rsidRPr="00D47DAA">
        <w:rPr>
          <w:color w:val="000000" w:themeColor="text1"/>
        </w:rPr>
        <w:t>a</w:t>
      </w:r>
      <w:r w:rsidR="00270154" w:rsidRPr="00D47DAA">
        <w:rPr>
          <w:color w:val="000000" w:themeColor="text1"/>
        </w:rPr>
        <w:t>/1963)</w:t>
      </w:r>
      <w:r w:rsidR="008024B8" w:rsidRPr="00D47DAA">
        <w:rPr>
          <w:color w:val="000000" w:themeColor="text1"/>
        </w:rPr>
        <w:t>;</w:t>
      </w:r>
      <w:r w:rsidR="00397125" w:rsidRPr="00D47DAA">
        <w:rPr>
          <w:color w:val="000000" w:themeColor="text1"/>
        </w:rPr>
        <w:t xml:space="preserve"> and </w:t>
      </w:r>
      <w:r w:rsidR="008024B8" w:rsidRPr="00D47DAA">
        <w:rPr>
          <w:color w:val="000000" w:themeColor="text1"/>
        </w:rPr>
        <w:t>in 1967-1980 was</w:t>
      </w:r>
      <w:r w:rsidR="00397125" w:rsidRPr="00D47DAA">
        <w:rPr>
          <w:color w:val="000000" w:themeColor="text1"/>
        </w:rPr>
        <w:t xml:space="preserve"> </w:t>
      </w:r>
      <w:r w:rsidR="008024B8" w:rsidRPr="00D47DAA">
        <w:rPr>
          <w:color w:val="000000" w:themeColor="text1"/>
        </w:rPr>
        <w:t xml:space="preserve">chair and director </w:t>
      </w:r>
      <w:r w:rsidR="00397125" w:rsidRPr="00D47DAA">
        <w:rPr>
          <w:color w:val="000000" w:themeColor="text1"/>
        </w:rPr>
        <w:t xml:space="preserve">of the Carnegie </w:t>
      </w:r>
      <w:r w:rsidR="008024B8" w:rsidRPr="00D47DAA">
        <w:rPr>
          <w:color w:val="000000" w:themeColor="text1"/>
        </w:rPr>
        <w:t>Commission on Higher Education, and the Carnegie Council on Policy Studies in Higher Education, which commissioned a long series of influential national reports</w:t>
      </w:r>
      <w:r w:rsidR="00270154" w:rsidRPr="00D47DAA">
        <w:rPr>
          <w:color w:val="000000" w:themeColor="text1"/>
        </w:rPr>
        <w:t xml:space="preserve">. </w:t>
      </w:r>
    </w:p>
    <w:p w14:paraId="26692A50" w14:textId="7739D6B2" w:rsidR="006A6BA2" w:rsidRPr="00D47DAA" w:rsidRDefault="00C00F3E" w:rsidP="00DF6211">
      <w:pPr>
        <w:ind w:firstLine="454"/>
        <w:rPr>
          <w:color w:val="000000" w:themeColor="text1"/>
        </w:rPr>
      </w:pPr>
      <w:r w:rsidRPr="00D47DAA">
        <w:rPr>
          <w:color w:val="000000" w:themeColor="text1"/>
        </w:rPr>
        <w:lastRenderedPageBreak/>
        <w:t xml:space="preserve">Clark </w:t>
      </w:r>
      <w:r w:rsidR="00290E50" w:rsidRPr="00D47DAA">
        <w:rPr>
          <w:color w:val="000000" w:themeColor="text1"/>
        </w:rPr>
        <w:t xml:space="preserve">Kerr </w:t>
      </w:r>
      <w:r w:rsidR="00271AD8" w:rsidRPr="00D47DAA">
        <w:rPr>
          <w:color w:val="000000" w:themeColor="text1"/>
        </w:rPr>
        <w:t xml:space="preserve">was </w:t>
      </w:r>
      <w:r w:rsidR="008024B8" w:rsidRPr="00D47DAA">
        <w:rPr>
          <w:color w:val="000000" w:themeColor="text1"/>
        </w:rPr>
        <w:t>not only the</w:t>
      </w:r>
      <w:r w:rsidR="00290E50" w:rsidRPr="00D47DAA">
        <w:rPr>
          <w:color w:val="000000" w:themeColor="text1"/>
        </w:rPr>
        <w:t xml:space="preserve"> architect</w:t>
      </w:r>
      <w:r w:rsidR="008024B8" w:rsidRPr="00D47DAA">
        <w:rPr>
          <w:color w:val="000000" w:themeColor="text1"/>
        </w:rPr>
        <w:t xml:space="preserve"> but was the</w:t>
      </w:r>
      <w:r w:rsidR="00645022" w:rsidRPr="00D47DAA">
        <w:rPr>
          <w:color w:val="000000" w:themeColor="text1"/>
        </w:rPr>
        <w:t xml:space="preserve"> instigator, </w:t>
      </w:r>
      <w:r w:rsidR="00271AD8" w:rsidRPr="00D47DAA">
        <w:rPr>
          <w:color w:val="000000" w:themeColor="text1"/>
        </w:rPr>
        <w:t xml:space="preserve">negotiator, </w:t>
      </w:r>
      <w:r w:rsidR="00645022" w:rsidRPr="00D47DAA">
        <w:rPr>
          <w:color w:val="000000" w:themeColor="text1"/>
        </w:rPr>
        <w:t>advocate and public face of the Master Plan</w:t>
      </w:r>
      <w:r w:rsidR="00271AD8" w:rsidRPr="00D47DAA">
        <w:rPr>
          <w:color w:val="000000" w:themeColor="text1"/>
        </w:rPr>
        <w:t xml:space="preserve">. </w:t>
      </w:r>
      <w:r w:rsidR="003052E6" w:rsidRPr="00D47DAA">
        <w:rPr>
          <w:color w:val="000000" w:themeColor="text1"/>
        </w:rPr>
        <w:t xml:space="preserve">The </w:t>
      </w:r>
      <w:r w:rsidR="00F7600E" w:rsidRPr="00D47DAA">
        <w:rPr>
          <w:color w:val="000000" w:themeColor="text1"/>
        </w:rPr>
        <w:t xml:space="preserve">immediate </w:t>
      </w:r>
      <w:r w:rsidR="003052E6" w:rsidRPr="00D47DAA">
        <w:rPr>
          <w:color w:val="000000" w:themeColor="text1"/>
        </w:rPr>
        <w:t>conditions for a plan were clear</w:t>
      </w:r>
      <w:r w:rsidR="00B27CF3" w:rsidRPr="00D47DAA">
        <w:rPr>
          <w:color w:val="000000" w:themeColor="text1"/>
        </w:rPr>
        <w:t xml:space="preserve">. </w:t>
      </w:r>
      <w:r w:rsidR="004A0598" w:rsidRPr="00D47DAA">
        <w:rPr>
          <w:color w:val="000000" w:themeColor="text1"/>
        </w:rPr>
        <w:t>On the one hand, t</w:t>
      </w:r>
      <w:r w:rsidR="003052E6" w:rsidRPr="00D47DAA">
        <w:rPr>
          <w:color w:val="000000" w:themeColor="text1"/>
        </w:rPr>
        <w:t>here w</w:t>
      </w:r>
      <w:r w:rsidR="00F908A6" w:rsidRPr="00D47DAA">
        <w:rPr>
          <w:color w:val="000000" w:themeColor="text1"/>
        </w:rPr>
        <w:t xml:space="preserve">as </w:t>
      </w:r>
      <w:r w:rsidR="004A0598" w:rsidRPr="00D47DAA">
        <w:rPr>
          <w:color w:val="000000" w:themeColor="text1"/>
        </w:rPr>
        <w:t xml:space="preserve">a growth crisis in California, </w:t>
      </w:r>
      <w:r w:rsidR="00F908A6" w:rsidRPr="00D47DAA">
        <w:rPr>
          <w:color w:val="000000" w:themeColor="text1"/>
        </w:rPr>
        <w:t>unregulated sprawl</w:t>
      </w:r>
      <w:r w:rsidR="004A0598" w:rsidRPr="00D47DAA">
        <w:rPr>
          <w:color w:val="000000" w:themeColor="text1"/>
        </w:rPr>
        <w:t>,</w:t>
      </w:r>
      <w:r w:rsidR="00F908A6" w:rsidRPr="00D47DAA">
        <w:rPr>
          <w:color w:val="000000" w:themeColor="text1"/>
        </w:rPr>
        <w:t xml:space="preserve"> and competiti</w:t>
      </w:r>
      <w:r w:rsidR="004A0598" w:rsidRPr="00D47DAA">
        <w:rPr>
          <w:color w:val="000000" w:themeColor="text1"/>
        </w:rPr>
        <w:t>on between sectors of education</w:t>
      </w:r>
      <w:r w:rsidR="00F908A6" w:rsidRPr="00D47DAA">
        <w:rPr>
          <w:color w:val="000000" w:themeColor="text1"/>
        </w:rPr>
        <w:t xml:space="preserve"> </w:t>
      </w:r>
      <w:r w:rsidR="00763412" w:rsidRPr="00D47DAA">
        <w:rPr>
          <w:color w:val="000000" w:themeColor="text1"/>
        </w:rPr>
        <w:t>with no clear division of labour</w:t>
      </w:r>
      <w:r w:rsidR="00F908A6" w:rsidRPr="00D47DAA">
        <w:rPr>
          <w:color w:val="000000" w:themeColor="text1"/>
        </w:rPr>
        <w:t xml:space="preserve">. </w:t>
      </w:r>
      <w:r w:rsidR="004A0598" w:rsidRPr="00D47DAA">
        <w:rPr>
          <w:color w:val="000000" w:themeColor="text1"/>
        </w:rPr>
        <w:t xml:space="preserve">On the other hand, the state had enough money to finance an expanding higher education system. </w:t>
      </w:r>
      <w:r w:rsidR="00F908A6" w:rsidRPr="00D47DAA">
        <w:rPr>
          <w:color w:val="000000" w:themeColor="text1"/>
        </w:rPr>
        <w:t xml:space="preserve">The question was, </w:t>
      </w:r>
      <w:r w:rsidR="001E17F0" w:rsidRPr="00D47DAA">
        <w:rPr>
          <w:color w:val="000000" w:themeColor="text1"/>
        </w:rPr>
        <w:t xml:space="preserve">if there was to be a </w:t>
      </w:r>
      <w:r w:rsidR="00763412" w:rsidRPr="00D47DAA">
        <w:rPr>
          <w:color w:val="000000" w:themeColor="text1"/>
        </w:rPr>
        <w:t>plan</w:t>
      </w:r>
      <w:r w:rsidR="004A0598" w:rsidRPr="00D47DAA">
        <w:rPr>
          <w:color w:val="000000" w:themeColor="text1"/>
        </w:rPr>
        <w:t xml:space="preserve"> then</w:t>
      </w:r>
      <w:r w:rsidR="001E17F0" w:rsidRPr="00D47DAA">
        <w:rPr>
          <w:color w:val="000000" w:themeColor="text1"/>
        </w:rPr>
        <w:t xml:space="preserve"> </w:t>
      </w:r>
      <w:r w:rsidR="00F908A6" w:rsidRPr="00D47DAA">
        <w:rPr>
          <w:color w:val="000000" w:themeColor="text1"/>
        </w:rPr>
        <w:t>whose plan</w:t>
      </w:r>
      <w:r w:rsidR="001E17F0" w:rsidRPr="00D47DAA">
        <w:rPr>
          <w:color w:val="000000" w:themeColor="text1"/>
        </w:rPr>
        <w:t xml:space="preserve"> would it be</w:t>
      </w:r>
      <w:r w:rsidR="00F908A6" w:rsidRPr="00D47DAA">
        <w:rPr>
          <w:color w:val="000000" w:themeColor="text1"/>
        </w:rPr>
        <w:t>?</w:t>
      </w:r>
      <w:r w:rsidR="003052E6" w:rsidRPr="00D47DAA">
        <w:rPr>
          <w:color w:val="000000" w:themeColor="text1"/>
        </w:rPr>
        <w:t xml:space="preserve"> </w:t>
      </w:r>
      <w:r w:rsidR="008024B8" w:rsidRPr="00D47DAA">
        <w:rPr>
          <w:color w:val="000000" w:themeColor="text1"/>
        </w:rPr>
        <w:t>The research campuses in the University of California system</w:t>
      </w:r>
      <w:r w:rsidR="004A0598" w:rsidRPr="00D47DAA">
        <w:rPr>
          <w:color w:val="000000" w:themeColor="text1"/>
        </w:rPr>
        <w:t>, educating the top students, building science and determined to lift their national role</w:t>
      </w:r>
      <w:r w:rsidR="008024B8" w:rsidRPr="00D47DAA">
        <w:rPr>
          <w:color w:val="000000" w:themeColor="text1"/>
        </w:rPr>
        <w:t>? The state teachers</w:t>
      </w:r>
      <w:r w:rsidR="004A0598" w:rsidRPr="00D47DAA">
        <w:rPr>
          <w:color w:val="000000" w:themeColor="text1"/>
        </w:rPr>
        <w:t>’</w:t>
      </w:r>
      <w:r w:rsidR="008024B8" w:rsidRPr="00D47DAA">
        <w:rPr>
          <w:color w:val="000000" w:themeColor="text1"/>
        </w:rPr>
        <w:t xml:space="preserve"> colleges, </w:t>
      </w:r>
      <w:r w:rsidR="004A0598" w:rsidRPr="00D47DAA">
        <w:rPr>
          <w:color w:val="000000" w:themeColor="text1"/>
        </w:rPr>
        <w:t xml:space="preserve">some of which had </w:t>
      </w:r>
      <w:r w:rsidR="008024B8" w:rsidRPr="00D47DAA">
        <w:rPr>
          <w:color w:val="000000" w:themeColor="text1"/>
        </w:rPr>
        <w:t xml:space="preserve">powerful political support, wanted </w:t>
      </w:r>
      <w:r w:rsidR="004A0598" w:rsidRPr="00D47DAA">
        <w:rPr>
          <w:color w:val="000000" w:themeColor="text1"/>
        </w:rPr>
        <w:t xml:space="preserve">funded </w:t>
      </w:r>
      <w:r w:rsidR="008024B8" w:rsidRPr="00D47DAA">
        <w:rPr>
          <w:color w:val="000000" w:themeColor="text1"/>
        </w:rPr>
        <w:t>research</w:t>
      </w:r>
      <w:r w:rsidR="004A0598" w:rsidRPr="00D47DAA">
        <w:rPr>
          <w:color w:val="000000" w:themeColor="text1"/>
        </w:rPr>
        <w:t>, doctoral education</w:t>
      </w:r>
      <w:r w:rsidR="008024B8" w:rsidRPr="00D47DAA">
        <w:rPr>
          <w:color w:val="000000" w:themeColor="text1"/>
        </w:rPr>
        <w:t xml:space="preserve"> and university status. The uncontrolled proliferation of new state colleges, supported by canny local politicians, </w:t>
      </w:r>
      <w:r w:rsidR="004A0598" w:rsidRPr="00D47DAA">
        <w:rPr>
          <w:color w:val="000000" w:themeColor="text1"/>
        </w:rPr>
        <w:t>had been</w:t>
      </w:r>
      <w:r w:rsidR="008024B8" w:rsidRPr="00D47DAA">
        <w:rPr>
          <w:color w:val="000000" w:themeColor="text1"/>
        </w:rPr>
        <w:t xml:space="preserve"> one </w:t>
      </w:r>
      <w:r w:rsidR="004A0598" w:rsidRPr="00D47DAA">
        <w:rPr>
          <w:color w:val="000000" w:themeColor="text1"/>
        </w:rPr>
        <w:t>trigger</w:t>
      </w:r>
      <w:r w:rsidR="008024B8" w:rsidRPr="00D47DAA">
        <w:rPr>
          <w:color w:val="000000" w:themeColor="text1"/>
        </w:rPr>
        <w:t xml:space="preserve"> of the Plan. </w:t>
      </w:r>
      <w:r w:rsidR="00403ABA" w:rsidRPr="00D47DAA">
        <w:rPr>
          <w:color w:val="000000" w:themeColor="text1"/>
        </w:rPr>
        <w:t>Kerr ‘realis</w:t>
      </w:r>
      <w:r w:rsidR="006A6BA2" w:rsidRPr="00D47DAA">
        <w:rPr>
          <w:color w:val="000000" w:themeColor="text1"/>
        </w:rPr>
        <w:t>ed that the University needed to take the lead in building a consensus, particularly if the University wanted to maintain its uniqu</w:t>
      </w:r>
      <w:r w:rsidR="00763412" w:rsidRPr="00D47DAA">
        <w:rPr>
          <w:color w:val="000000" w:themeColor="text1"/>
        </w:rPr>
        <w:t>e role in the tripartite system</w:t>
      </w:r>
      <w:r w:rsidR="006A6BA2" w:rsidRPr="00D47DAA">
        <w:rPr>
          <w:color w:val="000000" w:themeColor="text1"/>
        </w:rPr>
        <w:t>’</w:t>
      </w:r>
      <w:r w:rsidR="00763412" w:rsidRPr="00D47DAA">
        <w:rPr>
          <w:color w:val="000000" w:themeColor="text1"/>
        </w:rPr>
        <w:t xml:space="preserve"> (Douglass, 2000, p. 248). </w:t>
      </w:r>
      <w:r w:rsidR="008024B8" w:rsidRPr="00D47DAA">
        <w:rPr>
          <w:color w:val="000000" w:themeColor="text1"/>
        </w:rPr>
        <w:t xml:space="preserve">Over successive months of </w:t>
      </w:r>
      <w:r w:rsidR="004A0598" w:rsidRPr="00D47DAA">
        <w:rPr>
          <w:color w:val="000000" w:themeColor="text1"/>
        </w:rPr>
        <w:t>site surveys and enrolment projections t</w:t>
      </w:r>
      <w:r w:rsidR="006A6BA2" w:rsidRPr="00D47DAA">
        <w:rPr>
          <w:color w:val="000000" w:themeColor="text1"/>
        </w:rPr>
        <w:t xml:space="preserve">he </w:t>
      </w:r>
      <w:r w:rsidR="004A0598" w:rsidRPr="00D47DAA">
        <w:rPr>
          <w:color w:val="000000" w:themeColor="text1"/>
        </w:rPr>
        <w:t xml:space="preserve">details of the </w:t>
      </w:r>
      <w:r w:rsidR="006A6BA2" w:rsidRPr="00D47DAA">
        <w:rPr>
          <w:color w:val="000000" w:themeColor="text1"/>
        </w:rPr>
        <w:t xml:space="preserve">Plan </w:t>
      </w:r>
      <w:r w:rsidR="004A0598" w:rsidRPr="00D47DAA">
        <w:rPr>
          <w:color w:val="000000" w:themeColor="text1"/>
        </w:rPr>
        <w:t>were hammered out</w:t>
      </w:r>
      <w:r w:rsidR="006A6BA2" w:rsidRPr="00D47DAA">
        <w:rPr>
          <w:color w:val="000000" w:themeColor="text1"/>
        </w:rPr>
        <w:t xml:space="preserve"> between </w:t>
      </w:r>
      <w:r w:rsidR="004A0598" w:rsidRPr="00D47DAA">
        <w:rPr>
          <w:color w:val="000000" w:themeColor="text1"/>
        </w:rPr>
        <w:t xml:space="preserve">the </w:t>
      </w:r>
      <w:r w:rsidR="006A6BA2" w:rsidRPr="00D47DAA">
        <w:rPr>
          <w:color w:val="000000" w:themeColor="text1"/>
        </w:rPr>
        <w:t xml:space="preserve">contending parties. </w:t>
      </w:r>
    </w:p>
    <w:p w14:paraId="0362423D" w14:textId="77777777" w:rsidR="00763412" w:rsidRPr="00D47DAA" w:rsidRDefault="00763412" w:rsidP="00DF6211">
      <w:pPr>
        <w:rPr>
          <w:color w:val="000000" w:themeColor="text1"/>
        </w:rPr>
      </w:pPr>
    </w:p>
    <w:p w14:paraId="6B93D288" w14:textId="465EA681" w:rsidR="00763412" w:rsidRPr="00D47DAA" w:rsidRDefault="00763412" w:rsidP="00DF6211">
      <w:pPr>
        <w:ind w:left="567"/>
        <w:rPr>
          <w:color w:val="000000" w:themeColor="text1"/>
        </w:rPr>
      </w:pPr>
      <w:r w:rsidRPr="00D47DAA">
        <w:rPr>
          <w:color w:val="000000" w:themeColor="text1"/>
        </w:rPr>
        <w:t xml:space="preserve">The strategy of the University [of California] was clear. Our three new campuses … along with the expansion of programs at Davis, Santa Barbara, and Riverside, were adequate to fill an anticipated void in facilities for training PhDs and conducting research and in the political map of fast-growing population areas without a UC campus. We did not want to share resources with sixteen additional ‘university’ campuses (the twelve established state colleges and four more </w:t>
      </w:r>
      <w:proofErr w:type="spellStart"/>
      <w:r w:rsidRPr="00D47DAA">
        <w:rPr>
          <w:color w:val="000000" w:themeColor="text1"/>
        </w:rPr>
        <w:t>then</w:t>
      </w:r>
      <w:proofErr w:type="spellEnd"/>
      <w:r w:rsidRPr="00D47DAA">
        <w:rPr>
          <w:color w:val="000000" w:themeColor="text1"/>
        </w:rPr>
        <w:t xml:space="preserve"> being developed) who would then claim lower teaching loads for their faculties and higher research subsidies at greater cost. And we did not want to watch the state colleges abandon their highly important skill training functions for teachers in the hot pursuit of the holy grail of elite research status. The state did not need a higher education system where every component was intent on being another Harvard or Berkeley or Stanford. An upward drift was desirable in quality but in the direction of several models. What we needed were three improved models—the open-access model, the polytechnic model, and the research university model. If the state colleges ‘went university’, some new colleges would have to be founded to serve t</w:t>
      </w:r>
      <w:r w:rsidR="005A0886" w:rsidRPr="00D47DAA">
        <w:rPr>
          <w:color w:val="000000" w:themeColor="text1"/>
        </w:rPr>
        <w:t>he polytechnic role (Kerr, 2001b</w:t>
      </w:r>
      <w:r w:rsidRPr="00D47DAA">
        <w:rPr>
          <w:color w:val="000000" w:themeColor="text1"/>
        </w:rPr>
        <w:t xml:space="preserve">, p. 178). </w:t>
      </w:r>
    </w:p>
    <w:p w14:paraId="2100AA56" w14:textId="77777777" w:rsidR="00763412" w:rsidRPr="00D47DAA" w:rsidRDefault="00763412" w:rsidP="00DF6211">
      <w:pPr>
        <w:rPr>
          <w:color w:val="000000" w:themeColor="text1"/>
        </w:rPr>
      </w:pPr>
    </w:p>
    <w:p w14:paraId="52B46727" w14:textId="38BA2106" w:rsidR="00647BB0" w:rsidRPr="00D47DAA" w:rsidRDefault="004A0598" w:rsidP="00DF6211">
      <w:pPr>
        <w:ind w:firstLine="454"/>
        <w:rPr>
          <w:color w:val="000000" w:themeColor="text1"/>
        </w:rPr>
      </w:pPr>
      <w:r w:rsidRPr="00D47DAA">
        <w:rPr>
          <w:color w:val="000000" w:themeColor="text1"/>
        </w:rPr>
        <w:t xml:space="preserve">The bargaining on the Plan laid the basis for the </w:t>
      </w:r>
      <w:r w:rsidR="00A414EF" w:rsidRPr="00D47DAA">
        <w:rPr>
          <w:color w:val="000000" w:themeColor="text1"/>
        </w:rPr>
        <w:t>three-tier hierarchy</w:t>
      </w:r>
      <w:r w:rsidRPr="00D47DAA">
        <w:rPr>
          <w:color w:val="000000" w:themeColor="text1"/>
        </w:rPr>
        <w:t xml:space="preserve"> that follow</w:t>
      </w:r>
      <w:r w:rsidR="00A414EF" w:rsidRPr="00D47DAA">
        <w:rPr>
          <w:color w:val="000000" w:themeColor="text1"/>
        </w:rPr>
        <w:t>ed</w:t>
      </w:r>
      <w:r w:rsidRPr="00D47DAA">
        <w:rPr>
          <w:color w:val="000000" w:themeColor="text1"/>
        </w:rPr>
        <w:t xml:space="preserve"> and is still in place. Kerr and the University of California came out on top. </w:t>
      </w:r>
      <w:r w:rsidR="00A233C3" w:rsidRPr="00D47DAA">
        <w:rPr>
          <w:color w:val="000000" w:themeColor="text1"/>
        </w:rPr>
        <w:t>T</w:t>
      </w:r>
      <w:r w:rsidR="00BB6214" w:rsidRPr="00D47DAA">
        <w:rPr>
          <w:color w:val="000000" w:themeColor="text1"/>
        </w:rPr>
        <w:t>h</w:t>
      </w:r>
      <w:r w:rsidR="0095569F" w:rsidRPr="00D47DAA">
        <w:rPr>
          <w:color w:val="000000" w:themeColor="text1"/>
        </w:rPr>
        <w:t>ough th</w:t>
      </w:r>
      <w:r w:rsidR="006B7424" w:rsidRPr="00D47DAA">
        <w:rPr>
          <w:color w:val="000000" w:themeColor="text1"/>
        </w:rPr>
        <w:t xml:space="preserve">e colleges gained coherence </w:t>
      </w:r>
      <w:r w:rsidR="00FA4D4B" w:rsidRPr="00D47DAA">
        <w:rPr>
          <w:color w:val="000000" w:themeColor="text1"/>
        </w:rPr>
        <w:t xml:space="preserve">and autonomy </w:t>
      </w:r>
      <w:r w:rsidR="006B7424" w:rsidRPr="00D47DAA">
        <w:rPr>
          <w:color w:val="000000" w:themeColor="text1"/>
        </w:rPr>
        <w:t>as a sector</w:t>
      </w:r>
      <w:r w:rsidR="0095569F" w:rsidRPr="00D47DAA">
        <w:rPr>
          <w:color w:val="000000" w:themeColor="text1"/>
        </w:rPr>
        <w:t xml:space="preserve">, </w:t>
      </w:r>
      <w:r w:rsidR="00A414EF" w:rsidRPr="00D47DAA">
        <w:rPr>
          <w:color w:val="000000" w:themeColor="text1"/>
        </w:rPr>
        <w:t xml:space="preserve">and were eventually to become the California State University, </w:t>
      </w:r>
      <w:r w:rsidR="00BB6214" w:rsidRPr="00D47DAA">
        <w:rPr>
          <w:color w:val="000000" w:themeColor="text1"/>
        </w:rPr>
        <w:t xml:space="preserve">they were unable to secure </w:t>
      </w:r>
      <w:r w:rsidR="00A414EF" w:rsidRPr="00D47DAA">
        <w:rPr>
          <w:color w:val="000000" w:themeColor="text1"/>
        </w:rPr>
        <w:t>a general</w:t>
      </w:r>
      <w:r w:rsidR="00BB6214" w:rsidRPr="00D47DAA">
        <w:rPr>
          <w:color w:val="000000" w:themeColor="text1"/>
        </w:rPr>
        <w:t xml:space="preserve"> rese</w:t>
      </w:r>
      <w:r w:rsidR="00A414EF" w:rsidRPr="00D47DAA">
        <w:rPr>
          <w:color w:val="000000" w:themeColor="text1"/>
        </w:rPr>
        <w:t>arch and doctoral role</w:t>
      </w:r>
      <w:r w:rsidR="00BB6214" w:rsidRPr="00D47DAA">
        <w:rPr>
          <w:color w:val="000000" w:themeColor="text1"/>
        </w:rPr>
        <w:t xml:space="preserve">. </w:t>
      </w:r>
      <w:r w:rsidR="00B22465" w:rsidRPr="00D47DAA">
        <w:rPr>
          <w:color w:val="000000" w:themeColor="text1"/>
        </w:rPr>
        <w:t xml:space="preserve">California already had nine per cent of the nation’s population but 15 per cent of its elite research universities, argued </w:t>
      </w:r>
      <w:r w:rsidR="0095569F" w:rsidRPr="00D47DAA">
        <w:rPr>
          <w:color w:val="000000" w:themeColor="text1"/>
        </w:rPr>
        <w:t>Kerr</w:t>
      </w:r>
      <w:r w:rsidR="00763412" w:rsidRPr="00D47DAA">
        <w:rPr>
          <w:color w:val="000000" w:themeColor="text1"/>
        </w:rPr>
        <w:t xml:space="preserve"> (Douglass, 2000, p. 184)</w:t>
      </w:r>
      <w:r w:rsidR="00B22465" w:rsidRPr="00D47DAA">
        <w:rPr>
          <w:color w:val="000000" w:themeColor="text1"/>
        </w:rPr>
        <w:t xml:space="preserve">. It did not need more </w:t>
      </w:r>
      <w:r w:rsidR="00B5023E" w:rsidRPr="00D47DAA">
        <w:rPr>
          <w:color w:val="000000" w:themeColor="text1"/>
        </w:rPr>
        <w:t>research universities. Kerr</w:t>
      </w:r>
      <w:r w:rsidR="0095569F" w:rsidRPr="00D47DAA">
        <w:rPr>
          <w:color w:val="000000" w:themeColor="text1"/>
        </w:rPr>
        <w:t xml:space="preserve"> worked hard </w:t>
      </w:r>
      <w:r w:rsidR="00A414EF" w:rsidRPr="00D47DAA">
        <w:rPr>
          <w:color w:val="000000" w:themeColor="text1"/>
        </w:rPr>
        <w:t xml:space="preserve">in the meetings </w:t>
      </w:r>
      <w:r w:rsidR="0095569F" w:rsidRPr="00D47DAA">
        <w:rPr>
          <w:color w:val="000000" w:themeColor="text1"/>
        </w:rPr>
        <w:t xml:space="preserve">to </w:t>
      </w:r>
      <w:r w:rsidR="00A414EF" w:rsidRPr="00D47DAA">
        <w:rPr>
          <w:color w:val="000000" w:themeColor="text1"/>
        </w:rPr>
        <w:t>protect</w:t>
      </w:r>
      <w:r w:rsidR="0095569F" w:rsidRPr="00D47DAA">
        <w:rPr>
          <w:color w:val="000000" w:themeColor="text1"/>
        </w:rPr>
        <w:t xml:space="preserve"> </w:t>
      </w:r>
      <w:r w:rsidR="00B313A8" w:rsidRPr="00D47DAA">
        <w:rPr>
          <w:color w:val="000000" w:themeColor="text1"/>
        </w:rPr>
        <w:t>t</w:t>
      </w:r>
      <w:r w:rsidR="006B7424" w:rsidRPr="00D47DAA">
        <w:rPr>
          <w:color w:val="000000" w:themeColor="text1"/>
        </w:rPr>
        <w:t>he University</w:t>
      </w:r>
      <w:r w:rsidR="00A414EF" w:rsidRPr="00D47DAA">
        <w:rPr>
          <w:color w:val="000000" w:themeColor="text1"/>
        </w:rPr>
        <w:t>’s</w:t>
      </w:r>
      <w:r w:rsidR="006B7424" w:rsidRPr="00D47DAA">
        <w:rPr>
          <w:color w:val="000000" w:themeColor="text1"/>
        </w:rPr>
        <w:t xml:space="preserve"> near monopoly of research</w:t>
      </w:r>
      <w:r w:rsidR="00FA4D4B" w:rsidRPr="00D47DAA">
        <w:rPr>
          <w:color w:val="000000" w:themeColor="text1"/>
        </w:rPr>
        <w:t xml:space="preserve">, </w:t>
      </w:r>
      <w:r w:rsidR="00647BB0" w:rsidRPr="00D47DAA">
        <w:rPr>
          <w:color w:val="000000" w:themeColor="text1"/>
        </w:rPr>
        <w:t>holding his nerve as</w:t>
      </w:r>
      <w:r w:rsidR="00FA4D4B" w:rsidRPr="00D47DAA">
        <w:rPr>
          <w:color w:val="000000" w:themeColor="text1"/>
        </w:rPr>
        <w:t xml:space="preserve"> the </w:t>
      </w:r>
      <w:r w:rsidR="0047644C" w:rsidRPr="00D47DAA">
        <w:rPr>
          <w:color w:val="000000" w:themeColor="text1"/>
        </w:rPr>
        <w:t>deadline for final agreement was approached</w:t>
      </w:r>
      <w:r w:rsidR="006B7424" w:rsidRPr="00D47DAA">
        <w:rPr>
          <w:color w:val="000000" w:themeColor="text1"/>
        </w:rPr>
        <w:t xml:space="preserve">. </w:t>
      </w:r>
    </w:p>
    <w:p w14:paraId="7F55B96B" w14:textId="77777777" w:rsidR="00B41ED7" w:rsidRPr="00D47DAA" w:rsidRDefault="00B41ED7" w:rsidP="00DF6211">
      <w:pPr>
        <w:rPr>
          <w:color w:val="000000" w:themeColor="text1"/>
        </w:rPr>
      </w:pPr>
    </w:p>
    <w:p w14:paraId="5F0A00BD" w14:textId="5AD6369C" w:rsidR="006A6BA2" w:rsidRPr="00D47DAA" w:rsidRDefault="0020222F" w:rsidP="00DF6211">
      <w:pPr>
        <w:rPr>
          <w:b/>
          <w:color w:val="000000" w:themeColor="text1"/>
        </w:rPr>
      </w:pPr>
      <w:r w:rsidRPr="00D47DAA">
        <w:rPr>
          <w:b/>
          <w:color w:val="000000" w:themeColor="text1"/>
        </w:rPr>
        <w:t>Excellence and access</w:t>
      </w:r>
      <w:r w:rsidR="006A6BA2" w:rsidRPr="00D47DAA">
        <w:rPr>
          <w:b/>
          <w:color w:val="000000" w:themeColor="text1"/>
        </w:rPr>
        <w:t xml:space="preserve"> </w:t>
      </w:r>
    </w:p>
    <w:p w14:paraId="66F9D30A" w14:textId="77777777" w:rsidR="0020222F" w:rsidRPr="00D47DAA" w:rsidRDefault="0020222F" w:rsidP="00DF6211">
      <w:pPr>
        <w:rPr>
          <w:color w:val="000000" w:themeColor="text1"/>
        </w:rPr>
      </w:pPr>
    </w:p>
    <w:p w14:paraId="4B629513" w14:textId="7F1F5891" w:rsidR="001A7CA1" w:rsidRPr="00D47DAA" w:rsidRDefault="0047644C" w:rsidP="00DF6211">
      <w:pPr>
        <w:rPr>
          <w:color w:val="000000" w:themeColor="text1"/>
        </w:rPr>
      </w:pPr>
      <w:r w:rsidRPr="00D47DAA">
        <w:rPr>
          <w:color w:val="000000" w:themeColor="text1"/>
        </w:rPr>
        <w:t xml:space="preserve">The </w:t>
      </w:r>
      <w:r w:rsidR="0020222F" w:rsidRPr="00D47DAA">
        <w:rPr>
          <w:color w:val="000000" w:themeColor="text1"/>
        </w:rPr>
        <w:t xml:space="preserve">policy </w:t>
      </w:r>
      <w:r w:rsidR="00B27CF3" w:rsidRPr="00D47DAA">
        <w:rPr>
          <w:color w:val="000000" w:themeColor="text1"/>
        </w:rPr>
        <w:t>hallmark</w:t>
      </w:r>
      <w:r w:rsidR="0020222F" w:rsidRPr="00D47DAA">
        <w:rPr>
          <w:color w:val="000000" w:themeColor="text1"/>
        </w:rPr>
        <w:t>, normative power</w:t>
      </w:r>
      <w:r w:rsidR="00B27CF3" w:rsidRPr="00D47DAA">
        <w:rPr>
          <w:color w:val="000000" w:themeColor="text1"/>
        </w:rPr>
        <w:t xml:space="preserve"> </w:t>
      </w:r>
      <w:r w:rsidR="0020222F" w:rsidRPr="00D47DAA">
        <w:rPr>
          <w:color w:val="000000" w:themeColor="text1"/>
        </w:rPr>
        <w:t xml:space="preserve">and lasting achievement of the </w:t>
      </w:r>
      <w:r w:rsidRPr="00D47DAA">
        <w:rPr>
          <w:color w:val="000000" w:themeColor="text1"/>
        </w:rPr>
        <w:t xml:space="preserve">Master Plan </w:t>
      </w:r>
      <w:r w:rsidR="00B27CF3" w:rsidRPr="00D47DAA">
        <w:rPr>
          <w:color w:val="000000" w:themeColor="text1"/>
        </w:rPr>
        <w:t xml:space="preserve">was that it </w:t>
      </w:r>
      <w:r w:rsidR="0020222F" w:rsidRPr="00D47DAA">
        <w:rPr>
          <w:color w:val="000000" w:themeColor="text1"/>
        </w:rPr>
        <w:t xml:space="preserve">explicitly </w:t>
      </w:r>
      <w:r w:rsidR="00B27CF3" w:rsidRPr="00D47DAA">
        <w:rPr>
          <w:color w:val="000000" w:themeColor="text1"/>
        </w:rPr>
        <w:t>combined the principles of excellence and access</w:t>
      </w:r>
      <w:r w:rsidR="0020222F" w:rsidRPr="00D47DAA">
        <w:rPr>
          <w:color w:val="000000" w:themeColor="text1"/>
        </w:rPr>
        <w:t xml:space="preserve"> </w:t>
      </w:r>
      <w:r w:rsidR="00A414EF" w:rsidRPr="00D47DAA">
        <w:rPr>
          <w:color w:val="000000" w:themeColor="text1"/>
        </w:rPr>
        <w:t>in a practical way</w:t>
      </w:r>
      <w:r w:rsidR="00B27CF3" w:rsidRPr="00D47DAA">
        <w:rPr>
          <w:color w:val="000000" w:themeColor="text1"/>
        </w:rPr>
        <w:t>. Until 1960 these had been largely seen as opposing principles</w:t>
      </w:r>
      <w:r w:rsidR="00AC4F76" w:rsidRPr="00D47DAA">
        <w:rPr>
          <w:color w:val="000000" w:themeColor="text1"/>
        </w:rPr>
        <w:t>.</w:t>
      </w:r>
      <w:r w:rsidR="00B27CF3" w:rsidRPr="00D47DAA">
        <w:rPr>
          <w:color w:val="000000" w:themeColor="text1"/>
        </w:rPr>
        <w:t xml:space="preserve"> Kerr and the Master Planners </w:t>
      </w:r>
      <w:r w:rsidR="00BB4FA7" w:rsidRPr="00D47DAA">
        <w:rPr>
          <w:color w:val="000000" w:themeColor="text1"/>
        </w:rPr>
        <w:t>demonstrat</w:t>
      </w:r>
      <w:r w:rsidR="00B27CF3" w:rsidRPr="00D47DAA">
        <w:rPr>
          <w:color w:val="000000" w:themeColor="text1"/>
        </w:rPr>
        <w:t xml:space="preserve">ed that </w:t>
      </w:r>
      <w:r w:rsidR="00A414EF" w:rsidRPr="00D47DAA">
        <w:rPr>
          <w:color w:val="000000" w:themeColor="text1"/>
        </w:rPr>
        <w:t xml:space="preserve">under specific </w:t>
      </w:r>
      <w:r w:rsidR="000D50DE" w:rsidRPr="00D47DAA">
        <w:rPr>
          <w:color w:val="000000" w:themeColor="text1"/>
        </w:rPr>
        <w:t xml:space="preserve">external and internal </w:t>
      </w:r>
      <w:r w:rsidR="00A414EF" w:rsidRPr="00D47DAA">
        <w:rPr>
          <w:color w:val="000000" w:themeColor="text1"/>
        </w:rPr>
        <w:t xml:space="preserve">conditions </w:t>
      </w:r>
      <w:r w:rsidR="00B27CF3" w:rsidRPr="00D47DAA">
        <w:rPr>
          <w:color w:val="000000" w:themeColor="text1"/>
        </w:rPr>
        <w:t xml:space="preserve">both </w:t>
      </w:r>
      <w:r w:rsidR="000D50DE" w:rsidRPr="00D47DAA">
        <w:rPr>
          <w:color w:val="000000" w:themeColor="text1"/>
        </w:rPr>
        <w:t xml:space="preserve">principles, access and excellence, </w:t>
      </w:r>
      <w:r w:rsidR="00A414EF" w:rsidRPr="00D47DAA">
        <w:rPr>
          <w:color w:val="000000" w:themeColor="text1"/>
        </w:rPr>
        <w:t xml:space="preserve">could be achieved </w:t>
      </w:r>
      <w:r w:rsidR="00B27CF3" w:rsidRPr="00D47DAA">
        <w:rPr>
          <w:color w:val="000000" w:themeColor="text1"/>
        </w:rPr>
        <w:t xml:space="preserve">within a single system. </w:t>
      </w:r>
      <w:r w:rsidR="000D50DE" w:rsidRPr="00D47DAA">
        <w:rPr>
          <w:color w:val="000000" w:themeColor="text1"/>
        </w:rPr>
        <w:t>The e</w:t>
      </w:r>
      <w:r w:rsidR="00BB4FA7" w:rsidRPr="00D47DAA">
        <w:rPr>
          <w:color w:val="000000" w:themeColor="text1"/>
        </w:rPr>
        <w:t xml:space="preserve">xternal conditions of the Plan were </w:t>
      </w:r>
      <w:r w:rsidR="000D50DE" w:rsidRPr="00D47DAA">
        <w:rPr>
          <w:color w:val="000000" w:themeColor="text1"/>
        </w:rPr>
        <w:t>its</w:t>
      </w:r>
      <w:r w:rsidR="00BB4FA7" w:rsidRPr="00D47DAA">
        <w:rPr>
          <w:color w:val="000000" w:themeColor="text1"/>
        </w:rPr>
        <w:t xml:space="preserve"> political, economic and social environment, including the </w:t>
      </w:r>
      <w:r w:rsidR="000D50DE" w:rsidRPr="00D47DAA">
        <w:rPr>
          <w:color w:val="000000" w:themeColor="text1"/>
        </w:rPr>
        <w:t>consensus on</w:t>
      </w:r>
      <w:r w:rsidR="00BB4FA7" w:rsidRPr="00D47DAA">
        <w:rPr>
          <w:color w:val="000000" w:themeColor="text1"/>
        </w:rPr>
        <w:t xml:space="preserve"> values. </w:t>
      </w:r>
      <w:r w:rsidR="000D50DE" w:rsidRPr="00D47DAA">
        <w:rPr>
          <w:color w:val="000000" w:themeColor="text1"/>
        </w:rPr>
        <w:t>The</w:t>
      </w:r>
      <w:r w:rsidR="00BB4FA7" w:rsidRPr="00D47DAA">
        <w:rPr>
          <w:color w:val="000000" w:themeColor="text1"/>
        </w:rPr>
        <w:t xml:space="preserve"> internal conditions were the structures and functioning of the higher education </w:t>
      </w:r>
      <w:r w:rsidR="00BB4FA7" w:rsidRPr="00D47DAA">
        <w:rPr>
          <w:color w:val="000000" w:themeColor="text1"/>
        </w:rPr>
        <w:lastRenderedPageBreak/>
        <w:t xml:space="preserve">system and of the Plan itself. </w:t>
      </w:r>
      <w:r w:rsidR="00B27CF3" w:rsidRPr="00D47DAA">
        <w:rPr>
          <w:color w:val="000000" w:themeColor="text1"/>
        </w:rPr>
        <w:t>The Master Plan</w:t>
      </w:r>
      <w:r w:rsidR="00A414EF" w:rsidRPr="00D47DAA">
        <w:rPr>
          <w:color w:val="000000" w:themeColor="text1"/>
        </w:rPr>
        <w:t xml:space="preserve">’s </w:t>
      </w:r>
      <w:r w:rsidR="00BB4FA7" w:rsidRPr="00D47DAA">
        <w:rPr>
          <w:color w:val="000000" w:themeColor="text1"/>
        </w:rPr>
        <w:t xml:space="preserve">internal structural </w:t>
      </w:r>
      <w:r w:rsidR="00A414EF" w:rsidRPr="00D47DAA">
        <w:rPr>
          <w:color w:val="000000" w:themeColor="text1"/>
        </w:rPr>
        <w:t xml:space="preserve">mechanism for achieving </w:t>
      </w:r>
      <w:r w:rsidR="00BB4FA7" w:rsidRPr="00D47DAA">
        <w:rPr>
          <w:color w:val="000000" w:themeColor="text1"/>
        </w:rPr>
        <w:t xml:space="preserve">excellence and access at the same time </w:t>
      </w:r>
      <w:r w:rsidR="00A414EF" w:rsidRPr="00D47DAA">
        <w:rPr>
          <w:color w:val="000000" w:themeColor="text1"/>
        </w:rPr>
        <w:t>was</w:t>
      </w:r>
      <w:r w:rsidRPr="00D47DAA">
        <w:rPr>
          <w:color w:val="000000" w:themeColor="text1"/>
        </w:rPr>
        <w:t xml:space="preserve"> </w:t>
      </w:r>
      <w:r w:rsidR="00A414EF" w:rsidRPr="00D47DAA">
        <w:rPr>
          <w:color w:val="000000" w:themeColor="text1"/>
        </w:rPr>
        <w:t>its</w:t>
      </w:r>
      <w:r w:rsidRPr="00D47DAA">
        <w:rPr>
          <w:color w:val="000000" w:themeColor="text1"/>
        </w:rPr>
        <w:t xml:space="preserve"> three-tier </w:t>
      </w:r>
      <w:r w:rsidR="00BB4FA7" w:rsidRPr="00D47DAA">
        <w:rPr>
          <w:color w:val="000000" w:themeColor="text1"/>
        </w:rPr>
        <w:t xml:space="preserve">institutional </w:t>
      </w:r>
      <w:r w:rsidR="00A414EF" w:rsidRPr="00D47DAA">
        <w:rPr>
          <w:color w:val="000000" w:themeColor="text1"/>
        </w:rPr>
        <w:t>hierarchy</w:t>
      </w:r>
      <w:r w:rsidRPr="00D47DAA">
        <w:rPr>
          <w:color w:val="000000" w:themeColor="text1"/>
        </w:rPr>
        <w:t>.</w:t>
      </w:r>
      <w:r w:rsidR="00B27CF3" w:rsidRPr="00D47DAA">
        <w:rPr>
          <w:color w:val="000000" w:themeColor="text1"/>
        </w:rPr>
        <w:t xml:space="preserve"> </w:t>
      </w:r>
    </w:p>
    <w:p w14:paraId="076B3365" w14:textId="6E366EBC" w:rsidR="00B27CF3" w:rsidRPr="00D47DAA" w:rsidRDefault="00B27CF3" w:rsidP="00DF6211">
      <w:pPr>
        <w:ind w:firstLine="454"/>
        <w:rPr>
          <w:color w:val="000000" w:themeColor="text1"/>
        </w:rPr>
      </w:pPr>
      <w:r w:rsidRPr="00D47DAA">
        <w:rPr>
          <w:color w:val="000000" w:themeColor="text1"/>
        </w:rPr>
        <w:t xml:space="preserve">The elite University of </w:t>
      </w:r>
      <w:r w:rsidR="00FB2B9E" w:rsidRPr="00D47DAA">
        <w:rPr>
          <w:color w:val="000000" w:themeColor="text1"/>
        </w:rPr>
        <w:t>California secured its role as excellent</w:t>
      </w:r>
      <w:r w:rsidRPr="00D47DAA">
        <w:rPr>
          <w:color w:val="000000" w:themeColor="text1"/>
        </w:rPr>
        <w:t xml:space="preserve"> by monop</w:t>
      </w:r>
      <w:r w:rsidR="00403ABA" w:rsidRPr="00D47DAA">
        <w:rPr>
          <w:color w:val="000000" w:themeColor="text1"/>
        </w:rPr>
        <w:t>olis</w:t>
      </w:r>
      <w:r w:rsidRPr="00D47DAA">
        <w:rPr>
          <w:color w:val="000000" w:themeColor="text1"/>
        </w:rPr>
        <w:t xml:space="preserve">ing the public investment in research and </w:t>
      </w:r>
      <w:r w:rsidR="00A414EF" w:rsidRPr="00D47DAA">
        <w:rPr>
          <w:color w:val="000000" w:themeColor="text1"/>
        </w:rPr>
        <w:t>confining recruitment to</w:t>
      </w:r>
      <w:r w:rsidRPr="00D47DAA">
        <w:rPr>
          <w:color w:val="000000" w:themeColor="text1"/>
        </w:rPr>
        <w:t xml:space="preserve"> the top 12.5 per cent of the high school graduate cohort. The UC was separated from the two-year community colleges by the middle sector, the state colleges</w:t>
      </w:r>
      <w:r w:rsidR="00A414EF" w:rsidRPr="00D47DAA">
        <w:rPr>
          <w:color w:val="000000" w:themeColor="text1"/>
        </w:rPr>
        <w:t>/university</w:t>
      </w:r>
      <w:r w:rsidRPr="00D47DAA">
        <w:rPr>
          <w:color w:val="000000" w:themeColor="text1"/>
        </w:rPr>
        <w:t xml:space="preserve">, that provided four-year degrees to the top 33.3 per cent of school graduates. Without research and doctoral training, the colleges were positioned as the top tier of mass higher </w:t>
      </w:r>
      <w:r w:rsidR="006A6BA2" w:rsidRPr="00D47DAA">
        <w:rPr>
          <w:color w:val="000000" w:themeColor="text1"/>
        </w:rPr>
        <w:t>education</w:t>
      </w:r>
      <w:r w:rsidRPr="00D47DAA">
        <w:rPr>
          <w:color w:val="000000" w:themeColor="text1"/>
        </w:rPr>
        <w:t xml:space="preserve">. </w:t>
      </w:r>
      <w:r w:rsidR="006A6BA2" w:rsidRPr="00D47DAA">
        <w:rPr>
          <w:color w:val="000000" w:themeColor="text1"/>
        </w:rPr>
        <w:t xml:space="preserve">below them were the volume building open access community colleges were most of the enrolment was concentrated. </w:t>
      </w:r>
      <w:r w:rsidRPr="00D47DAA">
        <w:rPr>
          <w:color w:val="000000" w:themeColor="text1"/>
        </w:rPr>
        <w:t>Th</w:t>
      </w:r>
      <w:r w:rsidR="001A7CA1" w:rsidRPr="00D47DAA">
        <w:rPr>
          <w:color w:val="000000" w:themeColor="text1"/>
        </w:rPr>
        <w:t>e</w:t>
      </w:r>
      <w:r w:rsidRPr="00D47DAA">
        <w:rPr>
          <w:color w:val="000000" w:themeColor="text1"/>
        </w:rPr>
        <w:t xml:space="preserve"> downward segmentation of opportunity</w:t>
      </w:r>
      <w:r w:rsidR="006A6BA2" w:rsidRPr="00D47DAA">
        <w:rPr>
          <w:color w:val="000000" w:themeColor="text1"/>
        </w:rPr>
        <w:t xml:space="preserve">, </w:t>
      </w:r>
      <w:r w:rsidRPr="00D47DAA">
        <w:rPr>
          <w:color w:val="000000" w:themeColor="text1"/>
        </w:rPr>
        <w:t xml:space="preserve">with firm barriers to </w:t>
      </w:r>
      <w:r w:rsidR="006A6BA2" w:rsidRPr="00D47DAA">
        <w:rPr>
          <w:color w:val="000000" w:themeColor="text1"/>
        </w:rPr>
        <w:t xml:space="preserve">upward </w:t>
      </w:r>
      <w:r w:rsidRPr="00D47DAA">
        <w:rPr>
          <w:color w:val="000000" w:themeColor="text1"/>
        </w:rPr>
        <w:t xml:space="preserve">academic drift </w:t>
      </w:r>
      <w:r w:rsidR="006A6BA2" w:rsidRPr="00D47DAA">
        <w:rPr>
          <w:color w:val="000000" w:themeColor="text1"/>
        </w:rPr>
        <w:t>by both the</w:t>
      </w:r>
      <w:r w:rsidRPr="00D47DAA">
        <w:rPr>
          <w:color w:val="000000" w:themeColor="text1"/>
        </w:rPr>
        <w:t xml:space="preserve"> two-year and four-year institutions</w:t>
      </w:r>
      <w:r w:rsidR="006A6BA2" w:rsidRPr="00D47DAA">
        <w:rPr>
          <w:color w:val="000000" w:themeColor="text1"/>
        </w:rPr>
        <w:t xml:space="preserve">, </w:t>
      </w:r>
      <w:r w:rsidRPr="00D47DAA">
        <w:rPr>
          <w:color w:val="000000" w:themeColor="text1"/>
        </w:rPr>
        <w:t xml:space="preserve">was </w:t>
      </w:r>
      <w:r w:rsidR="00A414EF" w:rsidRPr="00D47DAA">
        <w:rPr>
          <w:color w:val="000000" w:themeColor="text1"/>
        </w:rPr>
        <w:t xml:space="preserve">to be </w:t>
      </w:r>
      <w:r w:rsidR="006A6BA2" w:rsidRPr="00D47DAA">
        <w:rPr>
          <w:color w:val="000000" w:themeColor="text1"/>
        </w:rPr>
        <w:t>softened</w:t>
      </w:r>
      <w:r w:rsidRPr="00D47DAA">
        <w:rPr>
          <w:color w:val="000000" w:themeColor="text1"/>
        </w:rPr>
        <w:t xml:space="preserve"> by guaranteed upward transfers between </w:t>
      </w:r>
      <w:r w:rsidR="001A7CA1" w:rsidRPr="00D47DAA">
        <w:rPr>
          <w:color w:val="000000" w:themeColor="text1"/>
        </w:rPr>
        <w:t>tiers</w:t>
      </w:r>
      <w:r w:rsidRPr="00D47DAA">
        <w:rPr>
          <w:color w:val="000000" w:themeColor="text1"/>
        </w:rPr>
        <w:t xml:space="preserve">. Given that most enrolments were to be in the bottom tier, if the Plan was to sustain and expand equality of opportunity, much depended on the transfer function, and on the capacity of the school system to adequately prepare students from all districts, and </w:t>
      </w:r>
      <w:r w:rsidR="00A414EF" w:rsidRPr="00D47DAA">
        <w:rPr>
          <w:color w:val="000000" w:themeColor="text1"/>
        </w:rPr>
        <w:t xml:space="preserve">all </w:t>
      </w:r>
      <w:r w:rsidRPr="00D47DAA">
        <w:rPr>
          <w:color w:val="000000" w:themeColor="text1"/>
        </w:rPr>
        <w:t>social and ethnic backgrounds</w:t>
      </w:r>
      <w:r w:rsidR="006A6BA2" w:rsidRPr="00D47DAA">
        <w:rPr>
          <w:color w:val="000000" w:themeColor="text1"/>
        </w:rPr>
        <w:t xml:space="preserve">, </w:t>
      </w:r>
      <w:r w:rsidR="00A414EF" w:rsidRPr="00D47DAA">
        <w:rPr>
          <w:color w:val="000000" w:themeColor="text1"/>
        </w:rPr>
        <w:t xml:space="preserve">so they could </w:t>
      </w:r>
      <w:r w:rsidR="006A6BA2" w:rsidRPr="00D47DAA">
        <w:rPr>
          <w:color w:val="000000" w:themeColor="text1"/>
        </w:rPr>
        <w:t>move success</w:t>
      </w:r>
      <w:r w:rsidR="001A7CA1" w:rsidRPr="00D47DAA">
        <w:rPr>
          <w:color w:val="000000" w:themeColor="text1"/>
        </w:rPr>
        <w:t>ful</w:t>
      </w:r>
      <w:r w:rsidR="006A6BA2" w:rsidRPr="00D47DAA">
        <w:rPr>
          <w:color w:val="000000" w:themeColor="text1"/>
        </w:rPr>
        <w:t>ly upwards</w:t>
      </w:r>
      <w:r w:rsidRPr="00D47DAA">
        <w:rPr>
          <w:color w:val="000000" w:themeColor="text1"/>
        </w:rPr>
        <w:t>.</w:t>
      </w:r>
    </w:p>
    <w:p w14:paraId="479769C2" w14:textId="19D58C77" w:rsidR="00222D84" w:rsidRPr="00D47DAA" w:rsidRDefault="001A7CA1" w:rsidP="00DF6211">
      <w:pPr>
        <w:rPr>
          <w:color w:val="000000" w:themeColor="text1"/>
        </w:rPr>
      </w:pPr>
      <w:r w:rsidRPr="00D47DAA">
        <w:rPr>
          <w:color w:val="000000" w:themeColor="text1"/>
        </w:rPr>
        <w:tab/>
        <w:t xml:space="preserve">At the time, the revolutionary change was open access. The Plan guaranteed a place in college for every high school graduate or person otherwise qualified who chose to attend. </w:t>
      </w:r>
      <w:r w:rsidR="00BA76AF" w:rsidRPr="00D47DAA">
        <w:rPr>
          <w:color w:val="000000" w:themeColor="text1"/>
        </w:rPr>
        <w:t>In 1960, 45 per cent of California’s college-age population matriculated to a</w:t>
      </w:r>
      <w:r w:rsidR="00A71C9D" w:rsidRPr="00D47DAA">
        <w:rPr>
          <w:color w:val="000000" w:themeColor="text1"/>
        </w:rPr>
        <w:t xml:space="preserve"> higher education institution. </w:t>
      </w:r>
      <w:r w:rsidRPr="00D47DAA">
        <w:rPr>
          <w:color w:val="000000" w:themeColor="text1"/>
        </w:rPr>
        <w:t>T</w:t>
      </w:r>
      <w:r w:rsidR="00BA76AF" w:rsidRPr="00D47DAA">
        <w:rPr>
          <w:color w:val="000000" w:themeColor="text1"/>
        </w:rPr>
        <w:t xml:space="preserve">he national average was about 25 per cent. </w:t>
      </w:r>
      <w:r w:rsidR="00A71C9D" w:rsidRPr="00D47DAA">
        <w:rPr>
          <w:color w:val="000000" w:themeColor="text1"/>
        </w:rPr>
        <w:t>T</w:t>
      </w:r>
      <w:r w:rsidR="00BA76AF" w:rsidRPr="00D47DAA">
        <w:rPr>
          <w:color w:val="000000" w:themeColor="text1"/>
        </w:rPr>
        <w:t xml:space="preserve">he Master Plan </w:t>
      </w:r>
      <w:r w:rsidRPr="00D47DAA">
        <w:rPr>
          <w:color w:val="000000" w:themeColor="text1"/>
        </w:rPr>
        <w:t>promised to keep</w:t>
      </w:r>
      <w:r w:rsidR="00A71C9D" w:rsidRPr="00D47DAA">
        <w:rPr>
          <w:color w:val="000000" w:themeColor="text1"/>
        </w:rPr>
        <w:t xml:space="preserve"> California ahead of the country</w:t>
      </w:r>
      <w:r w:rsidR="00BA76AF" w:rsidRPr="00D47DAA">
        <w:rPr>
          <w:color w:val="000000" w:themeColor="text1"/>
        </w:rPr>
        <w:t xml:space="preserve">. </w:t>
      </w:r>
      <w:r w:rsidRPr="00D47DAA">
        <w:rPr>
          <w:color w:val="000000" w:themeColor="text1"/>
        </w:rPr>
        <w:t>It</w:t>
      </w:r>
      <w:r w:rsidR="007236E6" w:rsidRPr="00D47DAA">
        <w:rPr>
          <w:color w:val="000000" w:themeColor="text1"/>
        </w:rPr>
        <w:t xml:space="preserve"> endorsed the continued growth of participation, in response to </w:t>
      </w:r>
      <w:r w:rsidRPr="00D47DAA">
        <w:rPr>
          <w:color w:val="000000" w:themeColor="text1"/>
        </w:rPr>
        <w:t xml:space="preserve">both </w:t>
      </w:r>
      <w:r w:rsidR="007236E6" w:rsidRPr="00D47DAA">
        <w:rPr>
          <w:color w:val="000000" w:themeColor="text1"/>
        </w:rPr>
        <w:t xml:space="preserve">economic need and popular demand, which were </w:t>
      </w:r>
      <w:r w:rsidRPr="00D47DAA">
        <w:rPr>
          <w:color w:val="000000" w:themeColor="text1"/>
        </w:rPr>
        <w:t>not distinguished</w:t>
      </w:r>
      <w:r w:rsidR="00A71C9D" w:rsidRPr="00D47DAA">
        <w:rPr>
          <w:color w:val="000000" w:themeColor="text1"/>
        </w:rPr>
        <w:t xml:space="preserve">. </w:t>
      </w:r>
      <w:r w:rsidR="009D70A3" w:rsidRPr="00D47DAA">
        <w:rPr>
          <w:color w:val="000000" w:themeColor="text1"/>
        </w:rPr>
        <w:t xml:space="preserve">It proposed a tripling of the </w:t>
      </w:r>
      <w:r w:rsidR="009D2368" w:rsidRPr="00D47DAA">
        <w:rPr>
          <w:color w:val="000000" w:themeColor="text1"/>
        </w:rPr>
        <w:t xml:space="preserve">state’s </w:t>
      </w:r>
      <w:r w:rsidR="009D70A3" w:rsidRPr="00D47DAA">
        <w:rPr>
          <w:color w:val="000000" w:themeColor="text1"/>
        </w:rPr>
        <w:t xml:space="preserve">enrolment by 1975. </w:t>
      </w:r>
      <w:r w:rsidRPr="00D47DAA">
        <w:rPr>
          <w:color w:val="000000" w:themeColor="text1"/>
        </w:rPr>
        <w:t>I</w:t>
      </w:r>
      <w:r w:rsidR="00A71C9D" w:rsidRPr="00D47DAA">
        <w:rPr>
          <w:color w:val="000000" w:themeColor="text1"/>
        </w:rPr>
        <w:t xml:space="preserve">t </w:t>
      </w:r>
      <w:r w:rsidRPr="00D47DAA">
        <w:rPr>
          <w:color w:val="000000" w:themeColor="text1"/>
        </w:rPr>
        <w:t xml:space="preserve">appeared to suggest that with access barriers gone and upward mobility secured, there would be social equality </w:t>
      </w:r>
      <w:r w:rsidR="007236E6" w:rsidRPr="00D47DAA">
        <w:rPr>
          <w:color w:val="000000" w:themeColor="text1"/>
        </w:rPr>
        <w:t xml:space="preserve">of opportunity </w:t>
      </w:r>
      <w:r w:rsidRPr="00D47DAA">
        <w:rPr>
          <w:color w:val="000000" w:themeColor="text1"/>
        </w:rPr>
        <w:t>through higher education.</w:t>
      </w:r>
      <w:r w:rsidR="007236E6" w:rsidRPr="00D47DAA">
        <w:rPr>
          <w:color w:val="000000" w:themeColor="text1"/>
        </w:rPr>
        <w:t xml:space="preserve"> </w:t>
      </w:r>
      <w:r w:rsidR="00222D84" w:rsidRPr="00D47DAA">
        <w:rPr>
          <w:color w:val="000000" w:themeColor="text1"/>
        </w:rPr>
        <w:t>The promise of access is now a policy commonplace in many countries</w:t>
      </w:r>
      <w:r w:rsidR="009D2368" w:rsidRPr="00D47DAA">
        <w:rPr>
          <w:color w:val="000000" w:themeColor="text1"/>
        </w:rPr>
        <w:t>, but</w:t>
      </w:r>
      <w:r w:rsidRPr="00D47DAA">
        <w:rPr>
          <w:color w:val="000000" w:themeColor="text1"/>
        </w:rPr>
        <w:t xml:space="preserve"> t</w:t>
      </w:r>
      <w:r w:rsidR="00B02B79" w:rsidRPr="00D47DAA">
        <w:rPr>
          <w:color w:val="000000" w:themeColor="text1"/>
        </w:rPr>
        <w:t xml:space="preserve">he </w:t>
      </w:r>
      <w:r w:rsidRPr="00D47DAA">
        <w:rPr>
          <w:color w:val="000000" w:themeColor="text1"/>
        </w:rPr>
        <w:t xml:space="preserve">1960 </w:t>
      </w:r>
      <w:r w:rsidR="00B02B79" w:rsidRPr="00D47DAA">
        <w:rPr>
          <w:color w:val="000000" w:themeColor="text1"/>
        </w:rPr>
        <w:t xml:space="preserve">Master Plan in California </w:t>
      </w:r>
      <w:r w:rsidRPr="00D47DAA">
        <w:rPr>
          <w:color w:val="000000" w:themeColor="text1"/>
        </w:rPr>
        <w:t xml:space="preserve">started </w:t>
      </w:r>
      <w:r w:rsidR="009D2368" w:rsidRPr="00D47DAA">
        <w:rPr>
          <w:color w:val="000000" w:themeColor="text1"/>
        </w:rPr>
        <w:t xml:space="preserve">this. </w:t>
      </w:r>
    </w:p>
    <w:p w14:paraId="544FBCFC" w14:textId="64564FD4" w:rsidR="007236E6" w:rsidRPr="00D47DAA" w:rsidRDefault="00222D84" w:rsidP="00DF6211">
      <w:pPr>
        <w:ind w:firstLine="454"/>
        <w:rPr>
          <w:color w:val="000000" w:themeColor="text1"/>
        </w:rPr>
      </w:pPr>
      <w:r w:rsidRPr="00D47DAA">
        <w:rPr>
          <w:color w:val="000000" w:themeColor="text1"/>
        </w:rPr>
        <w:t>While universal</w:t>
      </w:r>
      <w:r w:rsidR="007236E6" w:rsidRPr="00D47DAA">
        <w:rPr>
          <w:color w:val="000000" w:themeColor="text1"/>
        </w:rPr>
        <w:t xml:space="preserve"> </w:t>
      </w:r>
      <w:r w:rsidRPr="00D47DAA">
        <w:rPr>
          <w:color w:val="000000" w:themeColor="text1"/>
        </w:rPr>
        <w:t>access was</w:t>
      </w:r>
      <w:r w:rsidR="007236E6" w:rsidRPr="00D47DAA">
        <w:rPr>
          <w:color w:val="000000" w:themeColor="text1"/>
        </w:rPr>
        <w:t xml:space="preserve"> </w:t>
      </w:r>
      <w:r w:rsidR="001A7CA1" w:rsidRPr="00D47DAA">
        <w:rPr>
          <w:color w:val="000000" w:themeColor="text1"/>
        </w:rPr>
        <w:t>attractive</w:t>
      </w:r>
      <w:r w:rsidR="007236E6" w:rsidRPr="00D47DAA">
        <w:rPr>
          <w:color w:val="000000" w:themeColor="text1"/>
        </w:rPr>
        <w:t xml:space="preserve"> in fiscal terms </w:t>
      </w:r>
      <w:r w:rsidR="00A71C9D" w:rsidRPr="00D47DAA">
        <w:rPr>
          <w:color w:val="000000" w:themeColor="text1"/>
        </w:rPr>
        <w:t xml:space="preserve">it </w:t>
      </w:r>
      <w:r w:rsidR="007236E6" w:rsidRPr="00D47DAA">
        <w:rPr>
          <w:color w:val="000000" w:themeColor="text1"/>
        </w:rPr>
        <w:t>was not as lavish as it might appear. For the first 15 years</w:t>
      </w:r>
      <w:r w:rsidR="009D2368" w:rsidRPr="00D47DAA">
        <w:rPr>
          <w:color w:val="000000" w:themeColor="text1"/>
        </w:rPr>
        <w:t>,</w:t>
      </w:r>
      <w:r w:rsidR="007236E6" w:rsidRPr="00D47DAA">
        <w:rPr>
          <w:color w:val="000000" w:themeColor="text1"/>
        </w:rPr>
        <w:t xml:space="preserve"> the </w:t>
      </w:r>
      <w:r w:rsidRPr="00D47DAA">
        <w:rPr>
          <w:color w:val="000000" w:themeColor="text1"/>
        </w:rPr>
        <w:t xml:space="preserve">Master </w:t>
      </w:r>
      <w:r w:rsidR="007236E6" w:rsidRPr="00D47DAA">
        <w:rPr>
          <w:color w:val="000000" w:themeColor="text1"/>
        </w:rPr>
        <w:t xml:space="preserve">Plan promised to save money by </w:t>
      </w:r>
      <w:r w:rsidR="006B7424" w:rsidRPr="00D47DAA">
        <w:rPr>
          <w:color w:val="000000" w:themeColor="text1"/>
        </w:rPr>
        <w:t>shift</w:t>
      </w:r>
      <w:r w:rsidR="007236E6" w:rsidRPr="00D47DAA">
        <w:rPr>
          <w:color w:val="000000" w:themeColor="text1"/>
        </w:rPr>
        <w:t>ing</w:t>
      </w:r>
      <w:r w:rsidR="006B7424" w:rsidRPr="00D47DAA">
        <w:rPr>
          <w:color w:val="000000" w:themeColor="text1"/>
        </w:rPr>
        <w:t xml:space="preserve"> part of </w:t>
      </w:r>
      <w:r w:rsidR="007236E6" w:rsidRPr="00D47DAA">
        <w:rPr>
          <w:color w:val="000000" w:themeColor="text1"/>
        </w:rPr>
        <w:t>the expected</w:t>
      </w:r>
      <w:r w:rsidR="006B7424" w:rsidRPr="00D47DAA">
        <w:rPr>
          <w:color w:val="000000" w:themeColor="text1"/>
        </w:rPr>
        <w:t xml:space="preserve"> growth from four-year to two-year institutions</w:t>
      </w:r>
      <w:r w:rsidR="00C11198" w:rsidRPr="00D47DAA">
        <w:rPr>
          <w:color w:val="000000" w:themeColor="text1"/>
        </w:rPr>
        <w:t xml:space="preserve"> (Douglass, 2000, pp. 287-289)</w:t>
      </w:r>
      <w:r w:rsidR="006B7424" w:rsidRPr="00D47DAA">
        <w:rPr>
          <w:color w:val="000000" w:themeColor="text1"/>
        </w:rPr>
        <w:t xml:space="preserve">. </w:t>
      </w:r>
      <w:r w:rsidR="00B22465" w:rsidRPr="00D47DAA">
        <w:rPr>
          <w:color w:val="000000" w:themeColor="text1"/>
        </w:rPr>
        <w:t xml:space="preserve">Community colleges were to be established within commuting distance of almost every resident in the state but </w:t>
      </w:r>
      <w:r w:rsidR="009D2368" w:rsidRPr="00D47DAA">
        <w:rPr>
          <w:color w:val="000000" w:themeColor="text1"/>
        </w:rPr>
        <w:t>were less costly</w:t>
      </w:r>
      <w:r w:rsidR="00B22465" w:rsidRPr="00D47DAA">
        <w:rPr>
          <w:color w:val="000000" w:themeColor="text1"/>
        </w:rPr>
        <w:t xml:space="preserve"> than research universities</w:t>
      </w:r>
      <w:r w:rsidR="0039059F" w:rsidRPr="00D47DAA">
        <w:rPr>
          <w:color w:val="000000" w:themeColor="text1"/>
        </w:rPr>
        <w:t xml:space="preserve"> or teachers</w:t>
      </w:r>
      <w:r w:rsidR="00E54839" w:rsidRPr="00D47DAA">
        <w:rPr>
          <w:color w:val="000000" w:themeColor="text1"/>
        </w:rPr>
        <w:t>’</w:t>
      </w:r>
      <w:r w:rsidR="0039059F" w:rsidRPr="00D47DAA">
        <w:rPr>
          <w:color w:val="000000" w:themeColor="text1"/>
        </w:rPr>
        <w:t xml:space="preserve"> colleges</w:t>
      </w:r>
      <w:r w:rsidR="00B22465" w:rsidRPr="00D47DAA">
        <w:rPr>
          <w:color w:val="000000" w:themeColor="text1"/>
        </w:rPr>
        <w:t xml:space="preserve">. </w:t>
      </w:r>
    </w:p>
    <w:p w14:paraId="5358D677" w14:textId="77777777" w:rsidR="00BF211B" w:rsidRPr="00D47DAA" w:rsidRDefault="00BF211B" w:rsidP="00DF6211">
      <w:pPr>
        <w:rPr>
          <w:color w:val="000000" w:themeColor="text1"/>
        </w:rPr>
      </w:pPr>
    </w:p>
    <w:p w14:paraId="122872EB" w14:textId="54A74B95" w:rsidR="00BF211B" w:rsidRPr="00D47DAA" w:rsidRDefault="0039059F" w:rsidP="00DF6211">
      <w:pPr>
        <w:rPr>
          <w:b/>
          <w:color w:val="000000" w:themeColor="text1"/>
        </w:rPr>
      </w:pPr>
      <w:r w:rsidRPr="00D47DAA">
        <w:rPr>
          <w:b/>
          <w:color w:val="000000" w:themeColor="text1"/>
        </w:rPr>
        <w:t>P</w:t>
      </w:r>
      <w:r w:rsidR="00BF211B" w:rsidRPr="00D47DAA">
        <w:rPr>
          <w:b/>
          <w:color w:val="000000" w:themeColor="text1"/>
        </w:rPr>
        <w:t xml:space="preserve">ublic </w:t>
      </w:r>
      <w:r w:rsidRPr="00D47DAA">
        <w:rPr>
          <w:b/>
          <w:color w:val="000000" w:themeColor="text1"/>
        </w:rPr>
        <w:t>character of the Master Plan</w:t>
      </w:r>
      <w:r w:rsidR="00C60078" w:rsidRPr="00D47DAA">
        <w:rPr>
          <w:b/>
          <w:color w:val="000000" w:themeColor="text1"/>
        </w:rPr>
        <w:t xml:space="preserve"> </w:t>
      </w:r>
    </w:p>
    <w:p w14:paraId="05BA4960" w14:textId="77777777" w:rsidR="00EB0BD1" w:rsidRPr="00D47DAA" w:rsidRDefault="00EB0BD1" w:rsidP="00DF6211">
      <w:pPr>
        <w:rPr>
          <w:color w:val="000000" w:themeColor="text1"/>
        </w:rPr>
      </w:pPr>
    </w:p>
    <w:p w14:paraId="04BEE17A" w14:textId="536C0659" w:rsidR="000B1411" w:rsidRPr="00D47DAA" w:rsidRDefault="006B7424" w:rsidP="00DF6211">
      <w:pPr>
        <w:rPr>
          <w:color w:val="000000" w:themeColor="text1"/>
        </w:rPr>
      </w:pPr>
      <w:r w:rsidRPr="00D47DAA">
        <w:rPr>
          <w:color w:val="000000" w:themeColor="text1"/>
        </w:rPr>
        <w:t xml:space="preserve">The </w:t>
      </w:r>
      <w:r w:rsidR="000B1411" w:rsidRPr="00D47DAA">
        <w:rPr>
          <w:color w:val="000000" w:themeColor="text1"/>
        </w:rPr>
        <w:t xml:space="preserve">California </w:t>
      </w:r>
      <w:r w:rsidR="00355D04" w:rsidRPr="00D47DAA">
        <w:rPr>
          <w:color w:val="000000" w:themeColor="text1"/>
        </w:rPr>
        <w:t xml:space="preserve">Master </w:t>
      </w:r>
      <w:r w:rsidRPr="00D47DAA">
        <w:rPr>
          <w:color w:val="000000" w:themeColor="text1"/>
        </w:rPr>
        <w:t xml:space="preserve">Plan </w:t>
      </w:r>
      <w:r w:rsidR="00EB0BD1" w:rsidRPr="00D47DAA">
        <w:rPr>
          <w:color w:val="000000" w:themeColor="text1"/>
        </w:rPr>
        <w:t>says</w:t>
      </w:r>
      <w:r w:rsidR="000B1411" w:rsidRPr="00D47DAA">
        <w:rPr>
          <w:color w:val="000000" w:themeColor="text1"/>
        </w:rPr>
        <w:t xml:space="preserve"> much about the commitment of then California</w:t>
      </w:r>
      <w:r w:rsidR="00FC000C" w:rsidRPr="00D47DAA">
        <w:rPr>
          <w:color w:val="000000" w:themeColor="text1"/>
        </w:rPr>
        <w:t>n society,</w:t>
      </w:r>
      <w:r w:rsidR="000B1411" w:rsidRPr="00D47DAA">
        <w:rPr>
          <w:color w:val="000000" w:themeColor="text1"/>
        </w:rPr>
        <w:t xml:space="preserve"> and perhaps American society</w:t>
      </w:r>
      <w:r w:rsidR="00FC000C" w:rsidRPr="00D47DAA">
        <w:rPr>
          <w:color w:val="000000" w:themeColor="text1"/>
        </w:rPr>
        <w:t>,</w:t>
      </w:r>
      <w:r w:rsidR="000B1411" w:rsidRPr="00D47DAA">
        <w:rPr>
          <w:color w:val="000000" w:themeColor="text1"/>
        </w:rPr>
        <w:t xml:space="preserve"> to the collective public good</w:t>
      </w:r>
      <w:r w:rsidR="00EB0BD1" w:rsidRPr="00D47DAA">
        <w:rPr>
          <w:color w:val="000000" w:themeColor="text1"/>
        </w:rPr>
        <w:t xml:space="preserve"> in higher education—that </w:t>
      </w:r>
      <w:r w:rsidR="00C5520E" w:rsidRPr="00D47DAA">
        <w:rPr>
          <w:color w:val="000000" w:themeColor="text1"/>
        </w:rPr>
        <w:t>sense of</w:t>
      </w:r>
      <w:r w:rsidR="000B1411" w:rsidRPr="00D47DAA">
        <w:rPr>
          <w:color w:val="000000" w:themeColor="text1"/>
        </w:rPr>
        <w:t xml:space="preserve"> social solidarity</w:t>
      </w:r>
      <w:r w:rsidR="00C5520E" w:rsidRPr="00D47DAA">
        <w:rPr>
          <w:color w:val="000000" w:themeColor="text1"/>
        </w:rPr>
        <w:t xml:space="preserve"> that </w:t>
      </w:r>
      <w:r w:rsidR="00EB0BD1" w:rsidRPr="00D47DAA">
        <w:rPr>
          <w:color w:val="000000" w:themeColor="text1"/>
        </w:rPr>
        <w:t xml:space="preserve">long </w:t>
      </w:r>
      <w:r w:rsidR="00C5520E" w:rsidRPr="00D47DAA">
        <w:rPr>
          <w:color w:val="000000" w:themeColor="text1"/>
        </w:rPr>
        <w:t>sustained American democracy</w:t>
      </w:r>
      <w:r w:rsidR="00EB0BD1" w:rsidRPr="00D47DAA">
        <w:rPr>
          <w:color w:val="000000" w:themeColor="text1"/>
        </w:rPr>
        <w:t xml:space="preserve"> (often </w:t>
      </w:r>
      <w:r w:rsidR="000B1411" w:rsidRPr="00D47DAA">
        <w:rPr>
          <w:color w:val="000000" w:themeColor="text1"/>
        </w:rPr>
        <w:t xml:space="preserve">hidden beneath </w:t>
      </w:r>
      <w:r w:rsidR="00C5520E" w:rsidRPr="00D47DAA">
        <w:rPr>
          <w:color w:val="000000" w:themeColor="text1"/>
        </w:rPr>
        <w:t>an</w:t>
      </w:r>
      <w:r w:rsidR="000B1411" w:rsidRPr="00D47DAA">
        <w:rPr>
          <w:color w:val="000000" w:themeColor="text1"/>
        </w:rPr>
        <w:t xml:space="preserve"> individualist veneer</w:t>
      </w:r>
      <w:r w:rsidR="00EB0BD1" w:rsidRPr="00D47DAA">
        <w:rPr>
          <w:color w:val="000000" w:themeColor="text1"/>
        </w:rPr>
        <w:t>) and was</w:t>
      </w:r>
      <w:r w:rsidR="000B1411" w:rsidRPr="00D47DAA">
        <w:rPr>
          <w:color w:val="000000" w:themeColor="text1"/>
        </w:rPr>
        <w:t xml:space="preserve"> </w:t>
      </w:r>
      <w:r w:rsidR="009D2368" w:rsidRPr="00D47DAA">
        <w:rPr>
          <w:color w:val="000000" w:themeColor="text1"/>
        </w:rPr>
        <w:t>taken in</w:t>
      </w:r>
      <w:r w:rsidR="00FC000C" w:rsidRPr="00D47DAA">
        <w:rPr>
          <w:color w:val="000000" w:themeColor="text1"/>
        </w:rPr>
        <w:t xml:space="preserve"> by</w:t>
      </w:r>
      <w:r w:rsidR="000B1411" w:rsidRPr="00D47DAA">
        <w:rPr>
          <w:color w:val="000000" w:themeColor="text1"/>
        </w:rPr>
        <w:t xml:space="preserve"> the </w:t>
      </w:r>
      <w:proofErr w:type="spellStart"/>
      <w:r w:rsidR="00523148" w:rsidRPr="00D47DAA">
        <w:rPr>
          <w:color w:val="000000" w:themeColor="text1"/>
        </w:rPr>
        <w:t>postwar</w:t>
      </w:r>
      <w:proofErr w:type="spellEnd"/>
      <w:r w:rsidR="000B1411" w:rsidRPr="00D47DAA">
        <w:rPr>
          <w:color w:val="000000" w:themeColor="text1"/>
        </w:rPr>
        <w:t xml:space="preserve"> system builders in </w:t>
      </w:r>
      <w:r w:rsidR="00FC000C" w:rsidRPr="00D47DAA">
        <w:rPr>
          <w:color w:val="000000" w:themeColor="text1"/>
        </w:rPr>
        <w:t xml:space="preserve">American </w:t>
      </w:r>
      <w:r w:rsidR="000B1411" w:rsidRPr="00D47DAA">
        <w:rPr>
          <w:color w:val="000000" w:themeColor="text1"/>
        </w:rPr>
        <w:t>higher education</w:t>
      </w:r>
      <w:r w:rsidR="00EB0BD1" w:rsidRPr="00D47DAA">
        <w:rPr>
          <w:color w:val="000000" w:themeColor="text1"/>
        </w:rPr>
        <w:t xml:space="preserve">, </w:t>
      </w:r>
      <w:r w:rsidR="00FC000C" w:rsidRPr="00D47DAA">
        <w:rPr>
          <w:color w:val="000000" w:themeColor="text1"/>
        </w:rPr>
        <w:t>some in the states and some in the federal sphere</w:t>
      </w:r>
      <w:r w:rsidR="000B1411" w:rsidRPr="00D47DAA">
        <w:rPr>
          <w:color w:val="000000" w:themeColor="text1"/>
        </w:rPr>
        <w:t xml:space="preserve">. </w:t>
      </w:r>
      <w:r w:rsidR="00EB0BD1" w:rsidRPr="00D47DAA">
        <w:rPr>
          <w:color w:val="000000" w:themeColor="text1"/>
        </w:rPr>
        <w:t xml:space="preserve">The mentality of </w:t>
      </w:r>
      <w:r w:rsidR="00E93801" w:rsidRPr="00D47DAA">
        <w:rPr>
          <w:color w:val="000000" w:themeColor="text1"/>
        </w:rPr>
        <w:t>Clark Kerr</w:t>
      </w:r>
      <w:r w:rsidR="00EB0BD1" w:rsidRPr="00D47DAA">
        <w:rPr>
          <w:color w:val="000000" w:themeColor="text1"/>
        </w:rPr>
        <w:t xml:space="preserve"> and his contemporaries </w:t>
      </w:r>
      <w:r w:rsidR="00FC000C" w:rsidRPr="00D47DAA">
        <w:rPr>
          <w:color w:val="000000" w:themeColor="text1"/>
        </w:rPr>
        <w:t xml:space="preserve">was very </w:t>
      </w:r>
      <w:r w:rsidR="00E93801" w:rsidRPr="00D47DAA">
        <w:rPr>
          <w:color w:val="000000" w:themeColor="text1"/>
        </w:rPr>
        <w:t>different to</w:t>
      </w:r>
      <w:r w:rsidR="000B1411" w:rsidRPr="00D47DAA">
        <w:rPr>
          <w:color w:val="000000" w:themeColor="text1"/>
        </w:rPr>
        <w:t xml:space="preserve"> </w:t>
      </w:r>
      <w:r w:rsidR="00E93801" w:rsidRPr="00D47DAA">
        <w:rPr>
          <w:color w:val="000000" w:themeColor="text1"/>
        </w:rPr>
        <w:t xml:space="preserve">the neoliberal </w:t>
      </w:r>
      <w:r w:rsidR="009D2368" w:rsidRPr="00D47DAA">
        <w:rPr>
          <w:color w:val="000000" w:themeColor="text1"/>
        </w:rPr>
        <w:t>mentality that later dominated American public life</w:t>
      </w:r>
      <w:r w:rsidR="00FC000C" w:rsidRPr="00D47DAA">
        <w:rPr>
          <w:color w:val="000000" w:themeColor="text1"/>
        </w:rPr>
        <w:t xml:space="preserve">, </w:t>
      </w:r>
      <w:r w:rsidR="00C5520E" w:rsidRPr="00D47DAA">
        <w:rPr>
          <w:color w:val="000000" w:themeColor="text1"/>
        </w:rPr>
        <w:t xml:space="preserve">with its </w:t>
      </w:r>
      <w:r w:rsidR="009D2368" w:rsidRPr="00D47DAA">
        <w:rPr>
          <w:color w:val="000000" w:themeColor="text1"/>
        </w:rPr>
        <w:t xml:space="preserve">assumption that the outcomes of market competition were </w:t>
      </w:r>
      <w:proofErr w:type="gramStart"/>
      <w:r w:rsidR="009D2368" w:rsidRPr="00D47DAA">
        <w:rPr>
          <w:color w:val="000000" w:themeColor="text1"/>
        </w:rPr>
        <w:t>by definition just</w:t>
      </w:r>
      <w:proofErr w:type="gramEnd"/>
      <w:r w:rsidR="009D2368" w:rsidRPr="00D47DAA">
        <w:rPr>
          <w:color w:val="000000" w:themeColor="text1"/>
        </w:rPr>
        <w:t xml:space="preserve"> outcomes, and public planning was an unwarranted intrusion. Kerr wrote his doctoral thesis on itinerant cross-state workers in the Great Depression and had no illusion that the market was socially just</w:t>
      </w:r>
      <w:r w:rsidR="000B1411" w:rsidRPr="00D47DAA">
        <w:rPr>
          <w:color w:val="000000" w:themeColor="text1"/>
        </w:rPr>
        <w:t xml:space="preserve">. </w:t>
      </w:r>
      <w:r w:rsidR="00523148" w:rsidRPr="00D47DAA">
        <w:rPr>
          <w:color w:val="000000" w:themeColor="text1"/>
        </w:rPr>
        <w:t>P</w:t>
      </w:r>
      <w:r w:rsidR="000B1411" w:rsidRPr="00D47DAA">
        <w:rPr>
          <w:color w:val="000000" w:themeColor="text1"/>
        </w:rPr>
        <w:t xml:space="preserve">ublic </w:t>
      </w:r>
      <w:r w:rsidR="009D2368" w:rsidRPr="00D47DAA">
        <w:rPr>
          <w:color w:val="000000" w:themeColor="text1"/>
        </w:rPr>
        <w:t xml:space="preserve">planning, public </w:t>
      </w:r>
      <w:r w:rsidR="000B1411" w:rsidRPr="00D47DAA">
        <w:rPr>
          <w:color w:val="000000" w:themeColor="text1"/>
        </w:rPr>
        <w:t xml:space="preserve">vision and public dollars built the California </w:t>
      </w:r>
      <w:r w:rsidR="009D2368" w:rsidRPr="00D47DAA">
        <w:rPr>
          <w:color w:val="000000" w:themeColor="text1"/>
        </w:rPr>
        <w:t xml:space="preserve">higher education </w:t>
      </w:r>
      <w:r w:rsidR="000B1411" w:rsidRPr="00D47DAA">
        <w:rPr>
          <w:color w:val="000000" w:themeColor="text1"/>
        </w:rPr>
        <w:t xml:space="preserve">system. If California </w:t>
      </w:r>
      <w:r w:rsidR="009E5C5C" w:rsidRPr="00D47DAA">
        <w:rPr>
          <w:color w:val="000000" w:themeColor="text1"/>
        </w:rPr>
        <w:t>had left the task</w:t>
      </w:r>
      <w:r w:rsidR="00C5520E" w:rsidRPr="00D47DAA">
        <w:rPr>
          <w:color w:val="000000" w:themeColor="text1"/>
        </w:rPr>
        <w:t xml:space="preserve"> of building</w:t>
      </w:r>
      <w:r w:rsidR="009E5C5C" w:rsidRPr="00D47DAA">
        <w:rPr>
          <w:color w:val="000000" w:themeColor="text1"/>
        </w:rPr>
        <w:t xml:space="preserve"> to the market, </w:t>
      </w:r>
      <w:r w:rsidR="009D2368" w:rsidRPr="00D47DAA">
        <w:rPr>
          <w:color w:val="000000" w:themeColor="text1"/>
        </w:rPr>
        <w:t>that system would not have emerged spontaneously</w:t>
      </w:r>
      <w:r w:rsidR="00523148" w:rsidRPr="00D47DAA">
        <w:rPr>
          <w:color w:val="000000" w:themeColor="text1"/>
        </w:rPr>
        <w:t xml:space="preserve">. </w:t>
      </w:r>
    </w:p>
    <w:p w14:paraId="037CE0CA" w14:textId="55420862" w:rsidR="000B1411" w:rsidRPr="00D47DAA" w:rsidRDefault="000B1411" w:rsidP="00DF6211">
      <w:pPr>
        <w:ind w:firstLine="454"/>
        <w:rPr>
          <w:color w:val="000000" w:themeColor="text1"/>
        </w:rPr>
      </w:pPr>
      <w:r w:rsidRPr="00D47DAA">
        <w:rPr>
          <w:color w:val="000000" w:themeColor="text1"/>
        </w:rPr>
        <w:t>The Master Plan was quintessentially</w:t>
      </w:r>
      <w:r w:rsidR="00355D04" w:rsidRPr="00D47DAA">
        <w:rPr>
          <w:color w:val="000000" w:themeColor="text1"/>
        </w:rPr>
        <w:t xml:space="preserve"> </w:t>
      </w:r>
      <w:r w:rsidR="006B7424" w:rsidRPr="00D47DAA">
        <w:rPr>
          <w:color w:val="000000" w:themeColor="text1"/>
        </w:rPr>
        <w:t>public in its</w:t>
      </w:r>
      <w:r w:rsidR="00355D04" w:rsidRPr="00D47DAA">
        <w:rPr>
          <w:color w:val="000000" w:themeColor="text1"/>
        </w:rPr>
        <w:t xml:space="preserve"> commitment to universal access</w:t>
      </w:r>
      <w:r w:rsidR="00F60512" w:rsidRPr="00D47DAA">
        <w:rPr>
          <w:color w:val="000000" w:themeColor="text1"/>
        </w:rPr>
        <w:t>,</w:t>
      </w:r>
      <w:r w:rsidR="006B7424" w:rsidRPr="00D47DAA">
        <w:rPr>
          <w:color w:val="000000" w:themeColor="text1"/>
        </w:rPr>
        <w:t xml:space="preserve"> and in its systemic character, in the </w:t>
      </w:r>
      <w:r w:rsidR="00403ABA" w:rsidRPr="00D47DAA">
        <w:rPr>
          <w:color w:val="000000" w:themeColor="text1"/>
        </w:rPr>
        <w:t>organis</w:t>
      </w:r>
      <w:r w:rsidR="00B22465" w:rsidRPr="00D47DAA">
        <w:rPr>
          <w:color w:val="000000" w:themeColor="text1"/>
        </w:rPr>
        <w:t>ing</w:t>
      </w:r>
      <w:r w:rsidR="006B7424" w:rsidRPr="00D47DAA">
        <w:rPr>
          <w:color w:val="000000" w:themeColor="text1"/>
        </w:rPr>
        <w:t xml:space="preserve"> of </w:t>
      </w:r>
      <w:r w:rsidR="00355D04" w:rsidRPr="00D47DAA">
        <w:rPr>
          <w:color w:val="000000" w:themeColor="text1"/>
        </w:rPr>
        <w:t xml:space="preserve">three </w:t>
      </w:r>
      <w:r w:rsidR="001F2F12" w:rsidRPr="00D47DAA">
        <w:rPr>
          <w:color w:val="000000" w:themeColor="text1"/>
        </w:rPr>
        <w:t>sub-</w:t>
      </w:r>
      <w:r w:rsidR="00355D04" w:rsidRPr="00D47DAA">
        <w:rPr>
          <w:color w:val="000000" w:themeColor="text1"/>
        </w:rPr>
        <w:t xml:space="preserve">sectors </w:t>
      </w:r>
      <w:proofErr w:type="gramStart"/>
      <w:r w:rsidR="00355D04" w:rsidRPr="00D47DAA">
        <w:rPr>
          <w:color w:val="000000" w:themeColor="text1"/>
        </w:rPr>
        <w:t>on the basis of</w:t>
      </w:r>
      <w:proofErr w:type="gramEnd"/>
      <w:r w:rsidR="00355D04" w:rsidRPr="00D47DAA">
        <w:rPr>
          <w:color w:val="000000" w:themeColor="text1"/>
        </w:rPr>
        <w:t xml:space="preserve"> a </w:t>
      </w:r>
      <w:r w:rsidR="0031618B" w:rsidRPr="00D47DAA">
        <w:rPr>
          <w:color w:val="000000" w:themeColor="text1"/>
        </w:rPr>
        <w:t xml:space="preserve">firm </w:t>
      </w:r>
      <w:r w:rsidR="00355D04" w:rsidRPr="00D47DAA">
        <w:rPr>
          <w:color w:val="000000" w:themeColor="text1"/>
        </w:rPr>
        <w:t>division of labour</w:t>
      </w:r>
      <w:r w:rsidR="006B7424" w:rsidRPr="00D47DAA">
        <w:rPr>
          <w:color w:val="000000" w:themeColor="text1"/>
        </w:rPr>
        <w:t xml:space="preserve">. </w:t>
      </w:r>
      <w:r w:rsidR="00FC000C" w:rsidRPr="00D47DAA">
        <w:rPr>
          <w:color w:val="000000" w:themeColor="text1"/>
        </w:rPr>
        <w:t xml:space="preserve">All three tiers embodied the public </w:t>
      </w:r>
      <w:r w:rsidR="00C5520E" w:rsidRPr="00D47DAA">
        <w:rPr>
          <w:color w:val="000000" w:themeColor="text1"/>
        </w:rPr>
        <w:t>good</w:t>
      </w:r>
      <w:r w:rsidR="00FC000C" w:rsidRPr="00D47DAA">
        <w:rPr>
          <w:color w:val="000000" w:themeColor="text1"/>
        </w:rPr>
        <w:t xml:space="preserve"> mission and </w:t>
      </w:r>
      <w:r w:rsidR="00C5520E" w:rsidRPr="00D47DAA">
        <w:rPr>
          <w:color w:val="000000" w:themeColor="text1"/>
        </w:rPr>
        <w:t xml:space="preserve">its ideas of democratic </w:t>
      </w:r>
      <w:r w:rsidR="00FC000C" w:rsidRPr="00D47DAA">
        <w:rPr>
          <w:color w:val="000000" w:themeColor="text1"/>
        </w:rPr>
        <w:t>openness and service</w:t>
      </w:r>
      <w:r w:rsidR="00C5520E" w:rsidRPr="00D47DAA">
        <w:rPr>
          <w:color w:val="000000" w:themeColor="text1"/>
        </w:rPr>
        <w:t xml:space="preserve"> to all citizens</w:t>
      </w:r>
      <w:r w:rsidR="00FC000C" w:rsidRPr="00D47DAA">
        <w:rPr>
          <w:color w:val="000000" w:themeColor="text1"/>
        </w:rPr>
        <w:t>. The Plan</w:t>
      </w:r>
      <w:r w:rsidR="001F2F12" w:rsidRPr="00D47DAA">
        <w:rPr>
          <w:color w:val="000000" w:themeColor="text1"/>
        </w:rPr>
        <w:t xml:space="preserve"> </w:t>
      </w:r>
      <w:r w:rsidR="00C5520E" w:rsidRPr="00D47DAA">
        <w:rPr>
          <w:color w:val="000000" w:themeColor="text1"/>
        </w:rPr>
        <w:t xml:space="preserve">also was structured collectively; it </w:t>
      </w:r>
      <w:r w:rsidR="001F2F12" w:rsidRPr="00D47DAA">
        <w:rPr>
          <w:color w:val="000000" w:themeColor="text1"/>
        </w:rPr>
        <w:t xml:space="preserve">embodied the idea of higher education as more than a </w:t>
      </w:r>
      <w:r w:rsidRPr="00D47DAA">
        <w:rPr>
          <w:color w:val="000000" w:themeColor="text1"/>
        </w:rPr>
        <w:t>set</w:t>
      </w:r>
      <w:r w:rsidR="001F2F12" w:rsidRPr="00D47DAA">
        <w:rPr>
          <w:color w:val="000000" w:themeColor="text1"/>
        </w:rPr>
        <w:t xml:space="preserve"> of individual institutions</w:t>
      </w:r>
      <w:r w:rsidRPr="00D47DAA">
        <w:rPr>
          <w:color w:val="000000" w:themeColor="text1"/>
        </w:rPr>
        <w:t>. T</w:t>
      </w:r>
      <w:r w:rsidR="001F2F12" w:rsidRPr="00D47DAA">
        <w:rPr>
          <w:color w:val="000000" w:themeColor="text1"/>
        </w:rPr>
        <w:t xml:space="preserve">hese </w:t>
      </w:r>
      <w:r w:rsidR="001F2F12" w:rsidRPr="00D47DAA">
        <w:rPr>
          <w:color w:val="000000" w:themeColor="text1"/>
        </w:rPr>
        <w:lastRenderedPageBreak/>
        <w:t>were inter-dependent institutions operating within the framew</w:t>
      </w:r>
      <w:r w:rsidRPr="00D47DAA">
        <w:rPr>
          <w:color w:val="000000" w:themeColor="text1"/>
        </w:rPr>
        <w:t xml:space="preserve">ork of common public structures and </w:t>
      </w:r>
      <w:r w:rsidR="001F2F12" w:rsidRPr="00D47DAA">
        <w:rPr>
          <w:color w:val="000000" w:themeColor="text1"/>
        </w:rPr>
        <w:t>commi</w:t>
      </w:r>
      <w:r w:rsidRPr="00D47DAA">
        <w:rPr>
          <w:color w:val="000000" w:themeColor="text1"/>
        </w:rPr>
        <w:t>t</w:t>
      </w:r>
      <w:r w:rsidR="001F2F12" w:rsidRPr="00D47DAA">
        <w:rPr>
          <w:color w:val="000000" w:themeColor="text1"/>
        </w:rPr>
        <w:t>t</w:t>
      </w:r>
      <w:r w:rsidRPr="00D47DAA">
        <w:rPr>
          <w:color w:val="000000" w:themeColor="text1"/>
        </w:rPr>
        <w:t>ed</w:t>
      </w:r>
      <w:r w:rsidR="001F2F12" w:rsidRPr="00D47DAA">
        <w:rPr>
          <w:color w:val="000000" w:themeColor="text1"/>
        </w:rPr>
        <w:t xml:space="preserve"> to a single set of </w:t>
      </w:r>
      <w:r w:rsidRPr="00D47DAA">
        <w:rPr>
          <w:color w:val="000000" w:themeColor="text1"/>
        </w:rPr>
        <w:t xml:space="preserve">planning </w:t>
      </w:r>
      <w:r w:rsidR="001F2F12" w:rsidRPr="00D47DAA">
        <w:rPr>
          <w:color w:val="000000" w:themeColor="text1"/>
        </w:rPr>
        <w:t xml:space="preserve">ideas. </w:t>
      </w:r>
      <w:r w:rsidR="00AC5683" w:rsidRPr="00D47DAA">
        <w:rPr>
          <w:color w:val="000000" w:themeColor="text1"/>
        </w:rPr>
        <w:t xml:space="preserve">Institutions, and within them individual schools and research groups, </w:t>
      </w:r>
      <w:proofErr w:type="gramStart"/>
      <w:r w:rsidR="00AC5683" w:rsidRPr="00D47DAA">
        <w:rPr>
          <w:color w:val="000000" w:themeColor="text1"/>
        </w:rPr>
        <w:t>competed with each other</w:t>
      </w:r>
      <w:proofErr w:type="gramEnd"/>
      <w:r w:rsidRPr="00D47DAA">
        <w:rPr>
          <w:color w:val="000000" w:themeColor="text1"/>
        </w:rPr>
        <w:t>,</w:t>
      </w:r>
      <w:r w:rsidR="00AC5683" w:rsidRPr="00D47DAA">
        <w:rPr>
          <w:color w:val="000000" w:themeColor="text1"/>
        </w:rPr>
        <w:t xml:space="preserve"> but within </w:t>
      </w:r>
      <w:r w:rsidR="008B5DD1" w:rsidRPr="00D47DAA">
        <w:rPr>
          <w:color w:val="000000" w:themeColor="text1"/>
        </w:rPr>
        <w:t>structured limits</w:t>
      </w:r>
      <w:r w:rsidR="00AC5683" w:rsidRPr="00D47DAA">
        <w:rPr>
          <w:color w:val="000000" w:themeColor="text1"/>
        </w:rPr>
        <w:t xml:space="preserve">. </w:t>
      </w:r>
      <w:r w:rsidRPr="00D47DAA">
        <w:rPr>
          <w:color w:val="000000" w:themeColor="text1"/>
        </w:rPr>
        <w:t>It was</w:t>
      </w:r>
      <w:r w:rsidR="006B7424" w:rsidRPr="00D47DAA">
        <w:rPr>
          <w:color w:val="000000" w:themeColor="text1"/>
        </w:rPr>
        <w:t xml:space="preserve"> a major departure from the idea of university as stand-alone </w:t>
      </w:r>
      <w:r w:rsidR="00355D04" w:rsidRPr="00D47DAA">
        <w:rPr>
          <w:color w:val="000000" w:themeColor="text1"/>
        </w:rPr>
        <w:t>firm</w:t>
      </w:r>
      <w:r w:rsidR="00C5520E" w:rsidRPr="00D47DAA">
        <w:rPr>
          <w:color w:val="000000" w:themeColor="text1"/>
        </w:rPr>
        <w:t xml:space="preserve"> which was</w:t>
      </w:r>
      <w:r w:rsidR="00355D04" w:rsidRPr="00D47DAA">
        <w:rPr>
          <w:color w:val="000000" w:themeColor="text1"/>
        </w:rPr>
        <w:t xml:space="preserve"> </w:t>
      </w:r>
      <w:r w:rsidRPr="00D47DAA">
        <w:rPr>
          <w:color w:val="000000" w:themeColor="text1"/>
        </w:rPr>
        <w:t>then</w:t>
      </w:r>
      <w:r w:rsidR="00355D04" w:rsidRPr="00D47DAA">
        <w:rPr>
          <w:color w:val="000000" w:themeColor="text1"/>
        </w:rPr>
        <w:t xml:space="preserve"> influential </w:t>
      </w:r>
      <w:r w:rsidR="00AC5683" w:rsidRPr="00D47DAA">
        <w:rPr>
          <w:color w:val="000000" w:themeColor="text1"/>
        </w:rPr>
        <w:t xml:space="preserve">in the </w:t>
      </w:r>
      <w:r w:rsidRPr="00D47DAA">
        <w:rPr>
          <w:color w:val="000000" w:themeColor="text1"/>
        </w:rPr>
        <w:t xml:space="preserve">American </w:t>
      </w:r>
      <w:r w:rsidR="00AC5683" w:rsidRPr="00D47DAA">
        <w:rPr>
          <w:color w:val="000000" w:themeColor="text1"/>
        </w:rPr>
        <w:t>private sector</w:t>
      </w:r>
      <w:r w:rsidRPr="00D47DAA">
        <w:rPr>
          <w:color w:val="000000" w:themeColor="text1"/>
        </w:rPr>
        <w:t>,</w:t>
      </w:r>
      <w:r w:rsidR="006B7424" w:rsidRPr="00D47DAA">
        <w:rPr>
          <w:color w:val="000000" w:themeColor="text1"/>
        </w:rPr>
        <w:t xml:space="preserve"> and </w:t>
      </w:r>
      <w:r w:rsidR="00C5520E" w:rsidRPr="00D47DAA">
        <w:rPr>
          <w:color w:val="000000" w:themeColor="text1"/>
        </w:rPr>
        <w:t xml:space="preserve">is </w:t>
      </w:r>
      <w:r w:rsidR="00AC5683" w:rsidRPr="00D47DAA">
        <w:rPr>
          <w:color w:val="000000" w:themeColor="text1"/>
        </w:rPr>
        <w:t xml:space="preserve">more dominant in </w:t>
      </w:r>
      <w:r w:rsidR="00C5520E" w:rsidRPr="00D47DAA">
        <w:rPr>
          <w:color w:val="000000" w:themeColor="text1"/>
        </w:rPr>
        <w:t>much of the</w:t>
      </w:r>
      <w:r w:rsidR="006B7424" w:rsidRPr="00D47DAA">
        <w:rPr>
          <w:color w:val="000000" w:themeColor="text1"/>
        </w:rPr>
        <w:t xml:space="preserve"> </w:t>
      </w:r>
      <w:r w:rsidR="00523148" w:rsidRPr="00D47DAA">
        <w:rPr>
          <w:color w:val="000000" w:themeColor="text1"/>
        </w:rPr>
        <w:t xml:space="preserve">worldwide </w:t>
      </w:r>
      <w:r w:rsidR="00355D04" w:rsidRPr="00D47DAA">
        <w:rPr>
          <w:color w:val="000000" w:themeColor="text1"/>
        </w:rPr>
        <w:t>thinking about higher education today.</w:t>
      </w:r>
      <w:r w:rsidR="006B7424" w:rsidRPr="00D47DAA">
        <w:rPr>
          <w:color w:val="000000" w:themeColor="text1"/>
        </w:rPr>
        <w:t xml:space="preserve"> </w:t>
      </w:r>
    </w:p>
    <w:p w14:paraId="1A3B8608" w14:textId="17A3CE35" w:rsidR="00E93801" w:rsidRPr="00D47DAA" w:rsidRDefault="006B7424" w:rsidP="00DF6211">
      <w:pPr>
        <w:ind w:firstLine="454"/>
        <w:rPr>
          <w:color w:val="000000" w:themeColor="text1"/>
        </w:rPr>
      </w:pPr>
      <w:r w:rsidRPr="00D47DAA">
        <w:rPr>
          <w:color w:val="000000" w:themeColor="text1"/>
        </w:rPr>
        <w:t xml:space="preserve">The Plan also </w:t>
      </w:r>
      <w:r w:rsidR="000B1411" w:rsidRPr="00D47DAA">
        <w:rPr>
          <w:color w:val="000000" w:themeColor="text1"/>
        </w:rPr>
        <w:t xml:space="preserve">did something else of interest to universities everywhere. It </w:t>
      </w:r>
      <w:r w:rsidRPr="00D47DAA">
        <w:rPr>
          <w:color w:val="000000" w:themeColor="text1"/>
        </w:rPr>
        <w:t>sustained the long-term autonomy of higher</w:t>
      </w:r>
      <w:r w:rsidR="00403ABA" w:rsidRPr="00D47DAA">
        <w:rPr>
          <w:color w:val="000000" w:themeColor="text1"/>
        </w:rPr>
        <w:t xml:space="preserve"> education in a </w:t>
      </w:r>
      <w:proofErr w:type="gramStart"/>
      <w:r w:rsidR="00403ABA" w:rsidRPr="00D47DAA">
        <w:rPr>
          <w:color w:val="000000" w:themeColor="text1"/>
        </w:rPr>
        <w:t>highly politicis</w:t>
      </w:r>
      <w:r w:rsidRPr="00D47DAA">
        <w:rPr>
          <w:color w:val="000000" w:themeColor="text1"/>
        </w:rPr>
        <w:t>ed</w:t>
      </w:r>
      <w:proofErr w:type="gramEnd"/>
      <w:r w:rsidRPr="00D47DAA">
        <w:rPr>
          <w:color w:val="000000" w:themeColor="text1"/>
        </w:rPr>
        <w:t xml:space="preserve"> state. </w:t>
      </w:r>
      <w:r w:rsidR="00355D04" w:rsidRPr="00D47DAA">
        <w:rPr>
          <w:color w:val="000000" w:themeColor="text1"/>
        </w:rPr>
        <w:t>It meant that p</w:t>
      </w:r>
      <w:r w:rsidRPr="00D47DAA">
        <w:rPr>
          <w:color w:val="000000" w:themeColor="text1"/>
        </w:rPr>
        <w:t>rovided all sectors kept</w:t>
      </w:r>
      <w:r w:rsidR="00355D04" w:rsidRPr="00D47DAA">
        <w:rPr>
          <w:color w:val="000000" w:themeColor="text1"/>
        </w:rPr>
        <w:t xml:space="preserve"> to the rules, higher education </w:t>
      </w:r>
      <w:r w:rsidRPr="00D47DAA">
        <w:rPr>
          <w:color w:val="000000" w:themeColor="text1"/>
        </w:rPr>
        <w:t xml:space="preserve">could </w:t>
      </w:r>
      <w:proofErr w:type="gramStart"/>
      <w:r w:rsidRPr="00D47DAA">
        <w:rPr>
          <w:color w:val="000000" w:themeColor="text1"/>
        </w:rPr>
        <w:t>more or less regulate</w:t>
      </w:r>
      <w:proofErr w:type="gramEnd"/>
      <w:r w:rsidRPr="00D47DAA">
        <w:rPr>
          <w:color w:val="000000" w:themeColor="text1"/>
        </w:rPr>
        <w:t xml:space="preserve"> itself</w:t>
      </w:r>
      <w:r w:rsidR="00355D04" w:rsidRPr="00D47DAA">
        <w:rPr>
          <w:color w:val="000000" w:themeColor="text1"/>
        </w:rPr>
        <w:t>. T</w:t>
      </w:r>
      <w:r w:rsidRPr="00D47DAA">
        <w:rPr>
          <w:color w:val="000000" w:themeColor="text1"/>
        </w:rPr>
        <w:t xml:space="preserve">he </w:t>
      </w:r>
      <w:r w:rsidR="00355D04" w:rsidRPr="00D47DAA">
        <w:rPr>
          <w:color w:val="000000" w:themeColor="text1"/>
        </w:rPr>
        <w:t>constituent campuses of the University of California were</w:t>
      </w:r>
      <w:r w:rsidRPr="00D47DAA">
        <w:rPr>
          <w:color w:val="000000" w:themeColor="text1"/>
        </w:rPr>
        <w:t xml:space="preserve"> protected by </w:t>
      </w:r>
      <w:r w:rsidR="00355D04" w:rsidRPr="00D47DAA">
        <w:rPr>
          <w:color w:val="000000" w:themeColor="text1"/>
        </w:rPr>
        <w:t>the Office of the President</w:t>
      </w:r>
      <w:r w:rsidRPr="00D47DAA">
        <w:rPr>
          <w:color w:val="000000" w:themeColor="text1"/>
        </w:rPr>
        <w:t xml:space="preserve"> from the </w:t>
      </w:r>
      <w:r w:rsidR="00355D04" w:rsidRPr="00D47DAA">
        <w:rPr>
          <w:color w:val="000000" w:themeColor="text1"/>
        </w:rPr>
        <w:t xml:space="preserve">direct </w:t>
      </w:r>
      <w:r w:rsidRPr="00D47DAA">
        <w:rPr>
          <w:color w:val="000000" w:themeColor="text1"/>
        </w:rPr>
        <w:t xml:space="preserve">interference that plagued </w:t>
      </w:r>
      <w:r w:rsidR="00355D04" w:rsidRPr="00D47DAA">
        <w:rPr>
          <w:color w:val="000000" w:themeColor="text1"/>
        </w:rPr>
        <w:t>public universities</w:t>
      </w:r>
      <w:r w:rsidRPr="00D47DAA">
        <w:rPr>
          <w:color w:val="000000" w:themeColor="text1"/>
        </w:rPr>
        <w:t xml:space="preserve"> in other states. </w:t>
      </w:r>
      <w:r w:rsidR="004537E3" w:rsidRPr="00D47DAA">
        <w:rPr>
          <w:color w:val="000000" w:themeColor="text1"/>
        </w:rPr>
        <w:t>Legally, the UC campuses were not owned by the state government, or the people of</w:t>
      </w:r>
      <w:r w:rsidR="00215882" w:rsidRPr="00D47DAA">
        <w:rPr>
          <w:color w:val="000000" w:themeColor="text1"/>
        </w:rPr>
        <w:t xml:space="preserve"> California, but by the regents. It was</w:t>
      </w:r>
      <w:r w:rsidR="004537E3" w:rsidRPr="00D47DAA">
        <w:rPr>
          <w:color w:val="000000" w:themeColor="text1"/>
        </w:rPr>
        <w:t xml:space="preserve"> </w:t>
      </w:r>
      <w:r w:rsidR="009D2D59" w:rsidRPr="00D47DAA">
        <w:rPr>
          <w:color w:val="000000" w:themeColor="text1"/>
        </w:rPr>
        <w:t>a</w:t>
      </w:r>
      <w:r w:rsidR="00C82F63" w:rsidRPr="00D47DAA">
        <w:rPr>
          <w:color w:val="000000" w:themeColor="text1"/>
        </w:rPr>
        <w:t xml:space="preserve"> formal</w:t>
      </w:r>
      <w:r w:rsidR="004537E3" w:rsidRPr="00D47DAA">
        <w:rPr>
          <w:color w:val="000000" w:themeColor="text1"/>
        </w:rPr>
        <w:t xml:space="preserve"> independence unusual in the university world</w:t>
      </w:r>
      <w:r w:rsidR="00C82F63" w:rsidRPr="00D47DAA">
        <w:rPr>
          <w:color w:val="000000" w:themeColor="text1"/>
        </w:rPr>
        <w:t>, though the funding relationship with the state underpinned continuing ties</w:t>
      </w:r>
      <w:r w:rsidR="00EB0BD1" w:rsidRPr="00D47DAA">
        <w:rPr>
          <w:color w:val="000000" w:themeColor="text1"/>
        </w:rPr>
        <w:t xml:space="preserve"> (Rothblatt, 2007, p. 258)</w:t>
      </w:r>
      <w:r w:rsidR="004537E3" w:rsidRPr="00D47DAA">
        <w:rPr>
          <w:color w:val="000000" w:themeColor="text1"/>
        </w:rPr>
        <w:t xml:space="preserve">. </w:t>
      </w:r>
      <w:r w:rsidR="00355D04" w:rsidRPr="00D47DAA">
        <w:rPr>
          <w:color w:val="000000" w:themeColor="text1"/>
        </w:rPr>
        <w:t xml:space="preserve">The state </w:t>
      </w:r>
      <w:r w:rsidR="00F60512" w:rsidRPr="00D47DAA">
        <w:rPr>
          <w:color w:val="000000" w:themeColor="text1"/>
        </w:rPr>
        <w:t>colleges, later the California State U</w:t>
      </w:r>
      <w:r w:rsidR="00355D04" w:rsidRPr="00D47DAA">
        <w:rPr>
          <w:color w:val="000000" w:themeColor="text1"/>
        </w:rPr>
        <w:t>niversity</w:t>
      </w:r>
      <w:r w:rsidR="00F60512" w:rsidRPr="00D47DAA">
        <w:rPr>
          <w:color w:val="000000" w:themeColor="text1"/>
        </w:rPr>
        <w:t>,</w:t>
      </w:r>
      <w:r w:rsidR="00355D04" w:rsidRPr="00D47DAA">
        <w:rPr>
          <w:color w:val="000000" w:themeColor="text1"/>
        </w:rPr>
        <w:t xml:space="preserve"> w</w:t>
      </w:r>
      <w:r w:rsidR="00F60512" w:rsidRPr="00D47DAA">
        <w:rPr>
          <w:color w:val="000000" w:themeColor="text1"/>
        </w:rPr>
        <w:t>ere</w:t>
      </w:r>
      <w:r w:rsidR="00355D04" w:rsidRPr="00D47DAA">
        <w:rPr>
          <w:color w:val="000000" w:themeColor="text1"/>
        </w:rPr>
        <w:t xml:space="preserve"> likewise </w:t>
      </w:r>
      <w:r w:rsidR="009940A4" w:rsidRPr="00D47DAA">
        <w:rPr>
          <w:color w:val="000000" w:themeColor="text1"/>
        </w:rPr>
        <w:t>sustain</w:t>
      </w:r>
      <w:r w:rsidR="00355D04" w:rsidRPr="00D47DAA">
        <w:rPr>
          <w:color w:val="000000" w:themeColor="text1"/>
        </w:rPr>
        <w:t xml:space="preserve">ed by </w:t>
      </w:r>
      <w:r w:rsidR="009D70A3" w:rsidRPr="00D47DAA">
        <w:rPr>
          <w:color w:val="000000" w:themeColor="text1"/>
        </w:rPr>
        <w:t>a new Board of Trustees</w:t>
      </w:r>
      <w:r w:rsidR="009940A4" w:rsidRPr="00D47DAA">
        <w:rPr>
          <w:color w:val="000000" w:themeColor="text1"/>
        </w:rPr>
        <w:t xml:space="preserve"> which also ensured that they no longer </w:t>
      </w:r>
      <w:r w:rsidR="00E93801" w:rsidRPr="00D47DAA">
        <w:rPr>
          <w:color w:val="000000" w:themeColor="text1"/>
        </w:rPr>
        <w:t>competed against</w:t>
      </w:r>
      <w:r w:rsidR="009940A4" w:rsidRPr="00D47DAA">
        <w:rPr>
          <w:color w:val="000000" w:themeColor="text1"/>
        </w:rPr>
        <w:t xml:space="preserve"> each other</w:t>
      </w:r>
      <w:r w:rsidR="00E93801" w:rsidRPr="00D47DAA">
        <w:rPr>
          <w:color w:val="000000" w:themeColor="text1"/>
        </w:rPr>
        <w:t xml:space="preserve"> without constraint</w:t>
      </w:r>
      <w:r w:rsidR="00F60512" w:rsidRPr="00D47DAA">
        <w:rPr>
          <w:color w:val="000000" w:themeColor="text1"/>
        </w:rPr>
        <w:t xml:space="preserve">. </w:t>
      </w:r>
      <w:r w:rsidR="00FF769B" w:rsidRPr="00D47DAA">
        <w:rPr>
          <w:color w:val="000000" w:themeColor="text1"/>
        </w:rPr>
        <w:t>Instead of an overarching governing board, there was a low-key coordinating council to ensure cooperation between t</w:t>
      </w:r>
      <w:r w:rsidR="00E93801" w:rsidRPr="00D47DAA">
        <w:rPr>
          <w:color w:val="000000" w:themeColor="text1"/>
        </w:rPr>
        <w:t xml:space="preserve">he sectors. </w:t>
      </w:r>
    </w:p>
    <w:p w14:paraId="43FABD7A" w14:textId="03194A40" w:rsidR="00FF769B" w:rsidRPr="00D47DAA" w:rsidRDefault="00E93801" w:rsidP="00DF6211">
      <w:pPr>
        <w:ind w:firstLine="454"/>
        <w:rPr>
          <w:color w:val="000000" w:themeColor="text1"/>
        </w:rPr>
      </w:pPr>
      <w:r w:rsidRPr="00D47DAA">
        <w:rPr>
          <w:color w:val="000000" w:themeColor="text1"/>
        </w:rPr>
        <w:t>The</w:t>
      </w:r>
      <w:r w:rsidR="006B7424" w:rsidRPr="00D47DAA">
        <w:rPr>
          <w:color w:val="000000" w:themeColor="text1"/>
        </w:rPr>
        <w:t xml:space="preserve"> autonomy </w:t>
      </w:r>
      <w:r w:rsidRPr="00D47DAA">
        <w:rPr>
          <w:color w:val="000000" w:themeColor="text1"/>
        </w:rPr>
        <w:t xml:space="preserve">of the institutions </w:t>
      </w:r>
      <w:r w:rsidR="006B7424" w:rsidRPr="00D47DAA">
        <w:rPr>
          <w:color w:val="000000" w:themeColor="text1"/>
        </w:rPr>
        <w:t xml:space="preserve">did not necessarily contradict the public character of the Master Plan. </w:t>
      </w:r>
      <w:r w:rsidR="004537E3" w:rsidRPr="00D47DAA">
        <w:rPr>
          <w:color w:val="000000" w:themeColor="text1"/>
        </w:rPr>
        <w:t>Californian h</w:t>
      </w:r>
      <w:r w:rsidR="006B7424" w:rsidRPr="00D47DAA">
        <w:rPr>
          <w:color w:val="000000" w:themeColor="text1"/>
        </w:rPr>
        <w:t xml:space="preserve">igher education was positioned as a kind of </w:t>
      </w:r>
      <w:r w:rsidR="004537E3" w:rsidRPr="00D47DAA">
        <w:rPr>
          <w:color w:val="000000" w:themeColor="text1"/>
        </w:rPr>
        <w:t xml:space="preserve">public </w:t>
      </w:r>
      <w:r w:rsidR="006B7424" w:rsidRPr="00D47DAA">
        <w:rPr>
          <w:color w:val="000000" w:themeColor="text1"/>
        </w:rPr>
        <w:t xml:space="preserve">civil society, </w:t>
      </w:r>
      <w:r w:rsidR="004537E3" w:rsidRPr="00D47DAA">
        <w:rPr>
          <w:color w:val="000000" w:themeColor="text1"/>
        </w:rPr>
        <w:t xml:space="preserve">universal but </w:t>
      </w:r>
      <w:r w:rsidR="006B7424" w:rsidRPr="00D47DAA">
        <w:rPr>
          <w:color w:val="000000" w:themeColor="text1"/>
        </w:rPr>
        <w:t>separate from government</w:t>
      </w:r>
      <w:r w:rsidR="00F60512" w:rsidRPr="00D47DAA">
        <w:rPr>
          <w:color w:val="000000" w:themeColor="text1"/>
        </w:rPr>
        <w:t xml:space="preserve">. </w:t>
      </w:r>
      <w:r w:rsidR="005D0012" w:rsidRPr="00D47DAA">
        <w:rPr>
          <w:color w:val="000000" w:themeColor="text1"/>
        </w:rPr>
        <w:t>The</w:t>
      </w:r>
      <w:r w:rsidR="00F60512" w:rsidRPr="00D47DAA">
        <w:rPr>
          <w:color w:val="000000" w:themeColor="text1"/>
        </w:rPr>
        <w:t xml:space="preserve"> public connectivity </w:t>
      </w:r>
      <w:r w:rsidR="005D0012" w:rsidRPr="00D47DAA">
        <w:rPr>
          <w:color w:val="000000" w:themeColor="text1"/>
        </w:rPr>
        <w:t xml:space="preserve">of the institutions </w:t>
      </w:r>
      <w:r w:rsidR="00F60512" w:rsidRPr="00D47DAA">
        <w:rPr>
          <w:color w:val="000000" w:themeColor="text1"/>
        </w:rPr>
        <w:t xml:space="preserve">was sustained through both their relations with </w:t>
      </w:r>
      <w:r w:rsidR="0083713E" w:rsidRPr="00D47DAA">
        <w:rPr>
          <w:color w:val="000000" w:themeColor="text1"/>
        </w:rPr>
        <w:t xml:space="preserve">their boards </w:t>
      </w:r>
      <w:r w:rsidR="00F60512" w:rsidRPr="00D47DAA">
        <w:rPr>
          <w:color w:val="000000" w:themeColor="text1"/>
        </w:rPr>
        <w:t>and their direct dealings</w:t>
      </w:r>
      <w:r w:rsidR="006B7424" w:rsidRPr="00D47DAA">
        <w:rPr>
          <w:color w:val="000000" w:themeColor="text1"/>
        </w:rPr>
        <w:t xml:space="preserve"> </w:t>
      </w:r>
      <w:r w:rsidR="00F60512" w:rsidRPr="00D47DAA">
        <w:rPr>
          <w:color w:val="000000" w:themeColor="text1"/>
        </w:rPr>
        <w:t>with the world</w:t>
      </w:r>
      <w:r w:rsidR="0083713E" w:rsidRPr="00D47DAA">
        <w:rPr>
          <w:color w:val="000000" w:themeColor="text1"/>
        </w:rPr>
        <w:t xml:space="preserve"> but they could choose the ways in which they would be socially responsive. </w:t>
      </w:r>
      <w:r w:rsidR="005D0012" w:rsidRPr="00D47DAA">
        <w:rPr>
          <w:color w:val="000000" w:themeColor="text1"/>
        </w:rPr>
        <w:t>This</w:t>
      </w:r>
      <w:r w:rsidR="00F60512" w:rsidRPr="00D47DAA">
        <w:rPr>
          <w:color w:val="000000" w:themeColor="text1"/>
        </w:rPr>
        <w:t xml:space="preserve"> was a different</w:t>
      </w:r>
      <w:r w:rsidR="006B7424" w:rsidRPr="00D47DAA">
        <w:rPr>
          <w:color w:val="000000" w:themeColor="text1"/>
        </w:rPr>
        <w:t xml:space="preserve"> </w:t>
      </w:r>
      <w:r w:rsidR="005D0012" w:rsidRPr="00D47DAA">
        <w:rPr>
          <w:color w:val="000000" w:themeColor="text1"/>
        </w:rPr>
        <w:t>kind</w:t>
      </w:r>
      <w:r w:rsidR="006B7424" w:rsidRPr="00D47DAA">
        <w:rPr>
          <w:color w:val="000000" w:themeColor="text1"/>
        </w:rPr>
        <w:t xml:space="preserve"> of ‘public</w:t>
      </w:r>
      <w:r w:rsidR="00F60512" w:rsidRPr="00D47DAA">
        <w:rPr>
          <w:color w:val="000000" w:themeColor="text1"/>
        </w:rPr>
        <w:t xml:space="preserve">’ to that </w:t>
      </w:r>
      <w:r w:rsidR="005D0012" w:rsidRPr="00D47DAA">
        <w:rPr>
          <w:color w:val="000000" w:themeColor="text1"/>
        </w:rPr>
        <w:t>of</w:t>
      </w:r>
      <w:r w:rsidR="00F60512" w:rsidRPr="00D47DAA">
        <w:rPr>
          <w:color w:val="000000" w:themeColor="text1"/>
        </w:rPr>
        <w:t xml:space="preserve"> </w:t>
      </w:r>
      <w:r w:rsidRPr="00D47DAA">
        <w:rPr>
          <w:color w:val="000000" w:themeColor="text1"/>
        </w:rPr>
        <w:t xml:space="preserve">direct </w:t>
      </w:r>
      <w:r w:rsidR="0083713E" w:rsidRPr="00D47DAA">
        <w:rPr>
          <w:color w:val="000000" w:themeColor="text1"/>
        </w:rPr>
        <w:t xml:space="preserve">government </w:t>
      </w:r>
      <w:r w:rsidR="00F60512" w:rsidRPr="00D47DAA">
        <w:rPr>
          <w:color w:val="000000" w:themeColor="text1"/>
        </w:rPr>
        <w:t>administration:</w:t>
      </w:r>
      <w:r w:rsidR="006B7424" w:rsidRPr="00D47DAA">
        <w:rPr>
          <w:color w:val="000000" w:themeColor="text1"/>
        </w:rPr>
        <w:t xml:space="preserve"> democratic in </w:t>
      </w:r>
      <w:r w:rsidR="00F60512" w:rsidRPr="00D47DAA">
        <w:rPr>
          <w:color w:val="000000" w:themeColor="text1"/>
        </w:rPr>
        <w:t>purpose, access and transparency</w:t>
      </w:r>
      <w:r w:rsidR="005D0012" w:rsidRPr="00D47DAA">
        <w:rPr>
          <w:color w:val="000000" w:themeColor="text1"/>
        </w:rPr>
        <w:t xml:space="preserve">, and in the range of </w:t>
      </w:r>
      <w:r w:rsidRPr="00D47DAA">
        <w:rPr>
          <w:color w:val="000000" w:themeColor="text1"/>
        </w:rPr>
        <w:t>social engagement</w:t>
      </w:r>
      <w:r w:rsidR="005D0012" w:rsidRPr="00D47DAA">
        <w:rPr>
          <w:color w:val="000000" w:themeColor="text1"/>
        </w:rPr>
        <w:t>,</w:t>
      </w:r>
      <w:r w:rsidR="00F60512" w:rsidRPr="00D47DAA">
        <w:rPr>
          <w:color w:val="000000" w:themeColor="text1"/>
        </w:rPr>
        <w:t xml:space="preserve"> </w:t>
      </w:r>
      <w:r w:rsidR="00F9352D" w:rsidRPr="00D47DAA">
        <w:rPr>
          <w:color w:val="000000" w:themeColor="text1"/>
        </w:rPr>
        <w:t xml:space="preserve">but </w:t>
      </w:r>
      <w:r w:rsidR="006B7424" w:rsidRPr="00D47DAA">
        <w:rPr>
          <w:color w:val="000000" w:themeColor="text1"/>
        </w:rPr>
        <w:t xml:space="preserve">closed to electoral contest or political capture. </w:t>
      </w:r>
    </w:p>
    <w:p w14:paraId="1A38B1FD" w14:textId="0A2346F3" w:rsidR="00F9352D" w:rsidRPr="00D47DAA" w:rsidRDefault="00E93801" w:rsidP="00DF6211">
      <w:pPr>
        <w:ind w:firstLine="454"/>
        <w:rPr>
          <w:color w:val="000000" w:themeColor="text1"/>
        </w:rPr>
      </w:pPr>
      <w:r w:rsidRPr="00D47DAA">
        <w:rPr>
          <w:color w:val="000000" w:themeColor="text1"/>
        </w:rPr>
        <w:t>Ye</w:t>
      </w:r>
      <w:r w:rsidR="00FC7A1D" w:rsidRPr="00D47DAA">
        <w:rPr>
          <w:color w:val="000000" w:themeColor="text1"/>
        </w:rPr>
        <w:t xml:space="preserve">t </w:t>
      </w:r>
      <w:r w:rsidR="00EB0BD1" w:rsidRPr="00D47DAA">
        <w:rPr>
          <w:color w:val="000000" w:themeColor="text1"/>
        </w:rPr>
        <w:t xml:space="preserve">the </w:t>
      </w:r>
      <w:r w:rsidR="00FC7A1D" w:rsidRPr="00D47DAA">
        <w:rPr>
          <w:color w:val="000000" w:themeColor="text1"/>
        </w:rPr>
        <w:t xml:space="preserve">institutions could not retreat too far from public </w:t>
      </w:r>
      <w:r w:rsidR="00F9352D" w:rsidRPr="00D47DAA">
        <w:rPr>
          <w:color w:val="000000" w:themeColor="text1"/>
        </w:rPr>
        <w:t>responsibility</w:t>
      </w:r>
      <w:r w:rsidR="00FC7A1D" w:rsidRPr="00D47DAA">
        <w:rPr>
          <w:color w:val="000000" w:themeColor="text1"/>
        </w:rPr>
        <w:t xml:space="preserve">. The </w:t>
      </w:r>
      <w:r w:rsidR="00FF769B" w:rsidRPr="00D47DAA">
        <w:rPr>
          <w:color w:val="000000" w:themeColor="text1"/>
        </w:rPr>
        <w:t xml:space="preserve">trust inherent in the </w:t>
      </w:r>
      <w:r w:rsidR="005D0012" w:rsidRPr="00D47DAA">
        <w:rPr>
          <w:color w:val="000000" w:themeColor="text1"/>
        </w:rPr>
        <w:t>Master Plan rested on the capacity</w:t>
      </w:r>
      <w:r w:rsidR="00F9352D" w:rsidRPr="00D47DAA">
        <w:rPr>
          <w:color w:val="000000" w:themeColor="text1"/>
        </w:rPr>
        <w:t xml:space="preserve"> of universities and colleges</w:t>
      </w:r>
      <w:r w:rsidR="005D0012" w:rsidRPr="00D47DAA">
        <w:rPr>
          <w:color w:val="000000" w:themeColor="text1"/>
        </w:rPr>
        <w:t xml:space="preserve"> to </w:t>
      </w:r>
      <w:r w:rsidR="004905E2" w:rsidRPr="00D47DAA">
        <w:rPr>
          <w:color w:val="000000" w:themeColor="text1"/>
        </w:rPr>
        <w:t>identify and meet</w:t>
      </w:r>
      <w:r w:rsidR="005D0012" w:rsidRPr="00D47DAA">
        <w:rPr>
          <w:color w:val="000000" w:themeColor="text1"/>
        </w:rPr>
        <w:t xml:space="preserve"> emerging </w:t>
      </w:r>
      <w:r w:rsidR="00F9352D" w:rsidRPr="00D47DAA">
        <w:rPr>
          <w:color w:val="000000" w:themeColor="text1"/>
        </w:rPr>
        <w:t>social</w:t>
      </w:r>
      <w:r w:rsidR="005D0012" w:rsidRPr="00D47DAA">
        <w:rPr>
          <w:color w:val="000000" w:themeColor="text1"/>
        </w:rPr>
        <w:t xml:space="preserve"> needs</w:t>
      </w:r>
      <w:r w:rsidR="00FC7A1D" w:rsidRPr="00D47DAA">
        <w:rPr>
          <w:color w:val="000000" w:themeColor="text1"/>
        </w:rPr>
        <w:t xml:space="preserve"> on a voluntary basis</w:t>
      </w:r>
      <w:r w:rsidR="00FF769B" w:rsidRPr="00D47DAA">
        <w:rPr>
          <w:color w:val="000000" w:themeColor="text1"/>
        </w:rPr>
        <w:t xml:space="preserve">, to listen to vocal groups, and to </w:t>
      </w:r>
      <w:r w:rsidR="00F9352D" w:rsidRPr="00D47DAA">
        <w:rPr>
          <w:color w:val="000000" w:themeColor="text1"/>
        </w:rPr>
        <w:t>also keep</w:t>
      </w:r>
      <w:r w:rsidR="00A353B8" w:rsidRPr="00D47DAA">
        <w:rPr>
          <w:color w:val="000000" w:themeColor="text1"/>
        </w:rPr>
        <w:t xml:space="preserve"> </w:t>
      </w:r>
      <w:r w:rsidR="00F9352D" w:rsidRPr="00D47DAA">
        <w:rPr>
          <w:color w:val="000000" w:themeColor="text1"/>
        </w:rPr>
        <w:t xml:space="preserve">on </w:t>
      </w:r>
      <w:r w:rsidR="00FF769B" w:rsidRPr="00D47DAA">
        <w:rPr>
          <w:color w:val="000000" w:themeColor="text1"/>
        </w:rPr>
        <w:t>persuad</w:t>
      </w:r>
      <w:r w:rsidR="00F9352D" w:rsidRPr="00D47DAA">
        <w:rPr>
          <w:color w:val="000000" w:themeColor="text1"/>
        </w:rPr>
        <w:t>ing</w:t>
      </w:r>
      <w:r w:rsidR="00FF769B" w:rsidRPr="00D47DAA">
        <w:rPr>
          <w:color w:val="000000" w:themeColor="text1"/>
        </w:rPr>
        <w:t xml:space="preserve"> them that higher education for all was </w:t>
      </w:r>
      <w:r w:rsidR="00F9352D" w:rsidRPr="00D47DAA">
        <w:rPr>
          <w:color w:val="000000" w:themeColor="text1"/>
        </w:rPr>
        <w:t>the California way</w:t>
      </w:r>
      <w:r w:rsidR="00FF769B" w:rsidRPr="00D47DAA">
        <w:rPr>
          <w:color w:val="000000" w:themeColor="text1"/>
        </w:rPr>
        <w:t xml:space="preserve">. </w:t>
      </w:r>
      <w:r w:rsidR="00F9352D" w:rsidRPr="00D47DAA">
        <w:rPr>
          <w:color w:val="000000" w:themeColor="text1"/>
        </w:rPr>
        <w:t xml:space="preserve">They had to become advocates for access and excellence. </w:t>
      </w:r>
      <w:r w:rsidR="00A353B8" w:rsidRPr="00D47DAA">
        <w:rPr>
          <w:color w:val="000000" w:themeColor="text1"/>
        </w:rPr>
        <w:t xml:space="preserve">In this gift economy, what the higher education institutions </w:t>
      </w:r>
      <w:r w:rsidR="00FF769B" w:rsidRPr="00D47DAA">
        <w:rPr>
          <w:color w:val="000000" w:themeColor="text1"/>
        </w:rPr>
        <w:t xml:space="preserve">offered </w:t>
      </w:r>
      <w:r w:rsidR="00FC7A1D" w:rsidRPr="00D47DAA">
        <w:rPr>
          <w:color w:val="000000" w:themeColor="text1"/>
        </w:rPr>
        <w:t>to the public</w:t>
      </w:r>
      <w:r w:rsidR="00A353B8" w:rsidRPr="00D47DAA">
        <w:rPr>
          <w:color w:val="000000" w:themeColor="text1"/>
        </w:rPr>
        <w:t>,</w:t>
      </w:r>
      <w:r w:rsidR="00FC7A1D" w:rsidRPr="00D47DAA">
        <w:rPr>
          <w:color w:val="000000" w:themeColor="text1"/>
        </w:rPr>
        <w:t xml:space="preserve"> </w:t>
      </w:r>
      <w:r w:rsidR="00A353B8" w:rsidRPr="00D47DAA">
        <w:rPr>
          <w:color w:val="000000" w:themeColor="text1"/>
        </w:rPr>
        <w:t>jointly and severally, w</w:t>
      </w:r>
      <w:r w:rsidR="00F9352D" w:rsidRPr="00D47DAA">
        <w:rPr>
          <w:color w:val="000000" w:themeColor="text1"/>
        </w:rPr>
        <w:t>ere</w:t>
      </w:r>
      <w:r w:rsidR="00A353B8" w:rsidRPr="00D47DAA">
        <w:rPr>
          <w:color w:val="000000" w:themeColor="text1"/>
        </w:rPr>
        <w:t xml:space="preserve"> the gifts of </w:t>
      </w:r>
      <w:r w:rsidR="00694681" w:rsidRPr="00D47DAA">
        <w:rPr>
          <w:color w:val="000000" w:themeColor="text1"/>
        </w:rPr>
        <w:t>mass education</w:t>
      </w:r>
      <w:r w:rsidR="00F9352D" w:rsidRPr="00D47DAA">
        <w:rPr>
          <w:color w:val="000000" w:themeColor="text1"/>
        </w:rPr>
        <w:t xml:space="preserve">, meritocracy, </w:t>
      </w:r>
      <w:r w:rsidR="00A1214F" w:rsidRPr="00D47DAA">
        <w:rPr>
          <w:color w:val="000000" w:themeColor="text1"/>
        </w:rPr>
        <w:t>discovery</w:t>
      </w:r>
      <w:r w:rsidR="00F9352D" w:rsidRPr="00D47DAA">
        <w:rPr>
          <w:color w:val="000000" w:themeColor="text1"/>
        </w:rPr>
        <w:t xml:space="preserve"> and intellectual leadership</w:t>
      </w:r>
      <w:r w:rsidR="00A1214F" w:rsidRPr="00D47DAA">
        <w:rPr>
          <w:color w:val="000000" w:themeColor="text1"/>
        </w:rPr>
        <w:t xml:space="preserve">. </w:t>
      </w:r>
      <w:r w:rsidR="00694681" w:rsidRPr="00D47DAA">
        <w:rPr>
          <w:color w:val="000000" w:themeColor="text1"/>
        </w:rPr>
        <w:t>T</w:t>
      </w:r>
      <w:r w:rsidR="005D0012" w:rsidRPr="00D47DAA">
        <w:rPr>
          <w:color w:val="000000" w:themeColor="text1"/>
        </w:rPr>
        <w:t xml:space="preserve">he two-year colleges </w:t>
      </w:r>
      <w:r w:rsidR="00A1214F" w:rsidRPr="00D47DAA">
        <w:rPr>
          <w:color w:val="000000" w:themeColor="text1"/>
        </w:rPr>
        <w:t>provided</w:t>
      </w:r>
      <w:r w:rsidR="005D0012" w:rsidRPr="00D47DAA">
        <w:rPr>
          <w:color w:val="000000" w:themeColor="text1"/>
        </w:rPr>
        <w:t xml:space="preserve"> an open door to all comers, </w:t>
      </w:r>
      <w:r w:rsidR="00A1214F" w:rsidRPr="00D47DAA">
        <w:rPr>
          <w:color w:val="000000" w:themeColor="text1"/>
        </w:rPr>
        <w:t>undertaking to provide for the</w:t>
      </w:r>
      <w:r w:rsidR="005D0012" w:rsidRPr="00D47DAA">
        <w:rPr>
          <w:color w:val="000000" w:themeColor="text1"/>
        </w:rPr>
        <w:t xml:space="preserve"> literacy</w:t>
      </w:r>
      <w:r w:rsidR="00A1214F" w:rsidRPr="00D47DAA">
        <w:rPr>
          <w:color w:val="000000" w:themeColor="text1"/>
        </w:rPr>
        <w:t xml:space="preserve"> </w:t>
      </w:r>
      <w:r w:rsidR="0083713E" w:rsidRPr="00D47DAA">
        <w:rPr>
          <w:color w:val="000000" w:themeColor="text1"/>
        </w:rPr>
        <w:t xml:space="preserve">of California </w:t>
      </w:r>
      <w:r w:rsidR="00A1214F" w:rsidRPr="00D47DAA">
        <w:rPr>
          <w:color w:val="000000" w:themeColor="text1"/>
        </w:rPr>
        <w:t xml:space="preserve">as well as </w:t>
      </w:r>
      <w:r w:rsidR="0083713E" w:rsidRPr="00D47DAA">
        <w:rPr>
          <w:color w:val="000000" w:themeColor="text1"/>
        </w:rPr>
        <w:t xml:space="preserve">its social </w:t>
      </w:r>
      <w:r w:rsidR="00A1214F" w:rsidRPr="00D47DAA">
        <w:rPr>
          <w:color w:val="000000" w:themeColor="text1"/>
        </w:rPr>
        <w:t>opportunit</w:t>
      </w:r>
      <w:r w:rsidR="0083713E" w:rsidRPr="00D47DAA">
        <w:rPr>
          <w:color w:val="000000" w:themeColor="text1"/>
        </w:rPr>
        <w:t>ies</w:t>
      </w:r>
      <w:r w:rsidR="005D0012" w:rsidRPr="00D47DAA">
        <w:rPr>
          <w:color w:val="000000" w:themeColor="text1"/>
        </w:rPr>
        <w:t>. T</w:t>
      </w:r>
      <w:r w:rsidR="00F60512" w:rsidRPr="00D47DAA">
        <w:rPr>
          <w:color w:val="000000" w:themeColor="text1"/>
        </w:rPr>
        <w:t xml:space="preserve">he elite </w:t>
      </w:r>
      <w:r w:rsidR="005D0012" w:rsidRPr="00D47DAA">
        <w:rPr>
          <w:color w:val="000000" w:themeColor="text1"/>
        </w:rPr>
        <w:t>UC</w:t>
      </w:r>
      <w:r w:rsidR="00F60512" w:rsidRPr="00D47DAA">
        <w:rPr>
          <w:color w:val="000000" w:themeColor="text1"/>
        </w:rPr>
        <w:t xml:space="preserve"> campuses </w:t>
      </w:r>
      <w:r w:rsidR="00A1214F" w:rsidRPr="00D47DAA">
        <w:rPr>
          <w:color w:val="000000" w:themeColor="text1"/>
        </w:rPr>
        <w:t xml:space="preserve">were </w:t>
      </w:r>
      <w:r w:rsidR="00FF769B" w:rsidRPr="00D47DAA">
        <w:rPr>
          <w:color w:val="000000" w:themeColor="text1"/>
        </w:rPr>
        <w:t xml:space="preserve">committed to </w:t>
      </w:r>
      <w:r w:rsidR="007948D7" w:rsidRPr="00D47DAA">
        <w:rPr>
          <w:color w:val="000000" w:themeColor="text1"/>
        </w:rPr>
        <w:t>providing</w:t>
      </w:r>
      <w:r w:rsidR="00A1214F" w:rsidRPr="00D47DAA">
        <w:rPr>
          <w:color w:val="000000" w:themeColor="text1"/>
        </w:rPr>
        <w:t xml:space="preserve"> </w:t>
      </w:r>
      <w:proofErr w:type="gramStart"/>
      <w:r w:rsidR="00F9352D" w:rsidRPr="00D47DAA">
        <w:rPr>
          <w:color w:val="000000" w:themeColor="text1"/>
        </w:rPr>
        <w:t>all of</w:t>
      </w:r>
      <w:proofErr w:type="gramEnd"/>
      <w:r w:rsidR="00F9352D" w:rsidRPr="00D47DAA">
        <w:rPr>
          <w:color w:val="000000" w:themeColor="text1"/>
        </w:rPr>
        <w:t xml:space="preserve"> </w:t>
      </w:r>
      <w:r w:rsidR="00FF769B" w:rsidRPr="00D47DAA">
        <w:rPr>
          <w:color w:val="000000" w:themeColor="text1"/>
        </w:rPr>
        <w:t>scientific infrastructure</w:t>
      </w:r>
      <w:r w:rsidR="00A1214F" w:rsidRPr="00D47DAA">
        <w:rPr>
          <w:color w:val="000000" w:themeColor="text1"/>
        </w:rPr>
        <w:t xml:space="preserve">, general </w:t>
      </w:r>
      <w:r w:rsidR="0083713E" w:rsidRPr="00D47DAA">
        <w:rPr>
          <w:color w:val="000000" w:themeColor="text1"/>
        </w:rPr>
        <w:t xml:space="preserve">disciplinary </w:t>
      </w:r>
      <w:r w:rsidR="00A1214F" w:rsidRPr="00D47DAA">
        <w:rPr>
          <w:color w:val="000000" w:themeColor="text1"/>
        </w:rPr>
        <w:t>education</w:t>
      </w:r>
      <w:r w:rsidR="00FF769B" w:rsidRPr="00D47DAA">
        <w:rPr>
          <w:color w:val="000000" w:themeColor="text1"/>
        </w:rPr>
        <w:t xml:space="preserve"> and professional training </w:t>
      </w:r>
      <w:r w:rsidR="00A1214F" w:rsidRPr="00D47DAA">
        <w:rPr>
          <w:color w:val="000000" w:themeColor="text1"/>
        </w:rPr>
        <w:t xml:space="preserve">at the highest possible </w:t>
      </w:r>
      <w:r w:rsidR="00FC50CD" w:rsidRPr="00D47DAA">
        <w:rPr>
          <w:color w:val="000000" w:themeColor="text1"/>
        </w:rPr>
        <w:t>level</w:t>
      </w:r>
      <w:r w:rsidR="00A353B8" w:rsidRPr="00D47DAA">
        <w:rPr>
          <w:color w:val="000000" w:themeColor="text1"/>
        </w:rPr>
        <w:t xml:space="preserve">. </w:t>
      </w:r>
      <w:r w:rsidR="00B754A4" w:rsidRPr="00D47DAA">
        <w:rPr>
          <w:color w:val="000000" w:themeColor="text1"/>
        </w:rPr>
        <w:t xml:space="preserve">Public university education and science </w:t>
      </w:r>
      <w:proofErr w:type="gramStart"/>
      <w:r w:rsidR="00B754A4" w:rsidRPr="00D47DAA">
        <w:rPr>
          <w:color w:val="000000" w:themeColor="text1"/>
        </w:rPr>
        <w:t>were seen as</w:t>
      </w:r>
      <w:proofErr w:type="gramEnd"/>
      <w:r w:rsidR="00B754A4" w:rsidRPr="00D47DAA">
        <w:rPr>
          <w:color w:val="000000" w:themeColor="text1"/>
        </w:rPr>
        <w:t xml:space="preserve"> the higher public good, the crown of the modern secular order, not banks and not battleships.</w:t>
      </w:r>
    </w:p>
    <w:p w14:paraId="6CBE3382" w14:textId="06657D26" w:rsidR="00F443E2" w:rsidRPr="00D47DAA" w:rsidRDefault="00A353B8" w:rsidP="00DF6211">
      <w:pPr>
        <w:ind w:firstLine="454"/>
        <w:rPr>
          <w:color w:val="000000" w:themeColor="text1"/>
        </w:rPr>
      </w:pPr>
      <w:r w:rsidRPr="00D47DAA">
        <w:rPr>
          <w:color w:val="000000" w:themeColor="text1"/>
        </w:rPr>
        <w:t xml:space="preserve">In </w:t>
      </w:r>
      <w:r w:rsidR="00F9352D" w:rsidRPr="00D47DAA">
        <w:rPr>
          <w:color w:val="000000" w:themeColor="text1"/>
        </w:rPr>
        <w:t xml:space="preserve">the </w:t>
      </w:r>
      <w:r w:rsidR="00A1214F" w:rsidRPr="00D47DAA">
        <w:rPr>
          <w:color w:val="000000" w:themeColor="text1"/>
        </w:rPr>
        <w:t xml:space="preserve">public </w:t>
      </w:r>
      <w:r w:rsidR="00F9352D" w:rsidRPr="00D47DAA">
        <w:rPr>
          <w:color w:val="000000" w:themeColor="text1"/>
        </w:rPr>
        <w:t xml:space="preserve">non-market form </w:t>
      </w:r>
      <w:r w:rsidR="00B754A4" w:rsidRPr="00D47DAA">
        <w:rPr>
          <w:color w:val="000000" w:themeColor="text1"/>
        </w:rPr>
        <w:t xml:space="preserve">of </w:t>
      </w:r>
      <w:r w:rsidR="00A1214F" w:rsidRPr="00D47DAA">
        <w:rPr>
          <w:color w:val="000000" w:themeColor="text1"/>
        </w:rPr>
        <w:t xml:space="preserve">production there </w:t>
      </w:r>
      <w:r w:rsidRPr="00D47DAA">
        <w:rPr>
          <w:color w:val="000000" w:themeColor="text1"/>
        </w:rPr>
        <w:t>i</w:t>
      </w:r>
      <w:r w:rsidR="00A1214F" w:rsidRPr="00D47DAA">
        <w:rPr>
          <w:color w:val="000000" w:themeColor="text1"/>
        </w:rPr>
        <w:t>s no natural limit to t</w:t>
      </w:r>
      <w:r w:rsidRPr="00D47DAA">
        <w:rPr>
          <w:color w:val="000000" w:themeColor="text1"/>
        </w:rPr>
        <w:t>he volume and quality of outputs</w:t>
      </w:r>
      <w:r w:rsidR="00A1214F" w:rsidRPr="00D47DAA">
        <w:rPr>
          <w:color w:val="000000" w:themeColor="text1"/>
        </w:rPr>
        <w:t xml:space="preserve">. </w:t>
      </w:r>
      <w:r w:rsidRPr="00D47DAA">
        <w:rPr>
          <w:color w:val="000000" w:themeColor="text1"/>
        </w:rPr>
        <w:t xml:space="preserve">There are merely opportunity costs, when </w:t>
      </w:r>
      <w:r w:rsidR="007948D7" w:rsidRPr="00D47DAA">
        <w:rPr>
          <w:color w:val="000000" w:themeColor="text1"/>
        </w:rPr>
        <w:t xml:space="preserve">within a bundle of finite resources </w:t>
      </w:r>
      <w:r w:rsidRPr="00D47DAA">
        <w:rPr>
          <w:color w:val="000000" w:themeColor="text1"/>
        </w:rPr>
        <w:t>one course of action is chosen</w:t>
      </w:r>
      <w:r w:rsidR="007948D7" w:rsidRPr="00D47DAA">
        <w:rPr>
          <w:color w:val="000000" w:themeColor="text1"/>
        </w:rPr>
        <w:t xml:space="preserve"> over another. There are also </w:t>
      </w:r>
      <w:r w:rsidRPr="00D47DAA">
        <w:rPr>
          <w:color w:val="000000" w:themeColor="text1"/>
        </w:rPr>
        <w:t xml:space="preserve">limits to </w:t>
      </w:r>
      <w:r w:rsidR="007948D7" w:rsidRPr="00D47DAA">
        <w:rPr>
          <w:color w:val="000000" w:themeColor="text1"/>
        </w:rPr>
        <w:t xml:space="preserve">the </w:t>
      </w:r>
      <w:r w:rsidRPr="00D47DAA">
        <w:rPr>
          <w:color w:val="000000" w:themeColor="text1"/>
        </w:rPr>
        <w:t>imagination</w:t>
      </w:r>
      <w:r w:rsidR="007948D7" w:rsidRPr="00D47DAA">
        <w:rPr>
          <w:color w:val="000000" w:themeColor="text1"/>
        </w:rPr>
        <w:t xml:space="preserve">, but this is less of a constraint in research universities </w:t>
      </w:r>
      <w:r w:rsidR="00F9352D" w:rsidRPr="00D47DAA">
        <w:rPr>
          <w:color w:val="000000" w:themeColor="text1"/>
        </w:rPr>
        <w:t>with</w:t>
      </w:r>
      <w:r w:rsidR="007948D7" w:rsidRPr="00D47DAA">
        <w:rPr>
          <w:color w:val="000000" w:themeColor="text1"/>
        </w:rPr>
        <w:t xml:space="preserve"> scope for b</w:t>
      </w:r>
      <w:r w:rsidR="00403ABA" w:rsidRPr="00D47DAA">
        <w:rPr>
          <w:color w:val="000000" w:themeColor="text1"/>
        </w:rPr>
        <w:t>right people to take decentralis</w:t>
      </w:r>
      <w:r w:rsidR="007948D7" w:rsidRPr="00D47DAA">
        <w:rPr>
          <w:color w:val="000000" w:themeColor="text1"/>
        </w:rPr>
        <w:t>ed initiatives</w:t>
      </w:r>
      <w:r w:rsidRPr="00D47DAA">
        <w:rPr>
          <w:color w:val="000000" w:themeColor="text1"/>
        </w:rPr>
        <w:t xml:space="preserve">. </w:t>
      </w:r>
      <w:r w:rsidR="0083713E" w:rsidRPr="00D47DAA">
        <w:rPr>
          <w:color w:val="000000" w:themeColor="text1"/>
        </w:rPr>
        <w:t xml:space="preserve">In return the </w:t>
      </w:r>
      <w:r w:rsidR="00FC7A1D" w:rsidRPr="00D47DAA">
        <w:rPr>
          <w:color w:val="000000" w:themeColor="text1"/>
        </w:rPr>
        <w:t>UC</w:t>
      </w:r>
      <w:r w:rsidR="0083713E" w:rsidRPr="00D47DAA">
        <w:rPr>
          <w:color w:val="000000" w:themeColor="text1"/>
        </w:rPr>
        <w:t xml:space="preserve"> campuses gained</w:t>
      </w:r>
      <w:r w:rsidR="00F60512" w:rsidRPr="00D47DAA">
        <w:rPr>
          <w:color w:val="000000" w:themeColor="text1"/>
        </w:rPr>
        <w:t xml:space="preserve"> the</w:t>
      </w:r>
      <w:r w:rsidR="0083713E" w:rsidRPr="00D47DAA">
        <w:rPr>
          <w:color w:val="000000" w:themeColor="text1"/>
        </w:rPr>
        <w:t xml:space="preserve"> freedom to accumulate </w:t>
      </w:r>
      <w:r w:rsidR="00F60512" w:rsidRPr="00D47DAA">
        <w:rPr>
          <w:color w:val="000000" w:themeColor="text1"/>
        </w:rPr>
        <w:t>resources</w:t>
      </w:r>
      <w:r w:rsidR="00F9352D" w:rsidRPr="00D47DAA">
        <w:rPr>
          <w:color w:val="000000" w:themeColor="text1"/>
        </w:rPr>
        <w:t>,</w:t>
      </w:r>
      <w:r w:rsidR="0083713E" w:rsidRPr="00D47DAA">
        <w:rPr>
          <w:color w:val="000000" w:themeColor="text1"/>
        </w:rPr>
        <w:t xml:space="preserve"> and local, national and global power,</w:t>
      </w:r>
      <w:r w:rsidR="00F9352D" w:rsidRPr="00D47DAA">
        <w:rPr>
          <w:color w:val="000000" w:themeColor="text1"/>
        </w:rPr>
        <w:t xml:space="preserve"> on a secure basis—p</w:t>
      </w:r>
      <w:r w:rsidR="00F60512" w:rsidRPr="00D47DAA">
        <w:rPr>
          <w:color w:val="000000" w:themeColor="text1"/>
        </w:rPr>
        <w:t xml:space="preserve">roviding </w:t>
      </w:r>
      <w:r w:rsidR="007948D7" w:rsidRPr="00D47DAA">
        <w:rPr>
          <w:color w:val="000000" w:themeColor="text1"/>
        </w:rPr>
        <w:t xml:space="preserve">the </w:t>
      </w:r>
      <w:r w:rsidR="00F60512" w:rsidRPr="00D47DAA">
        <w:rPr>
          <w:color w:val="000000" w:themeColor="text1"/>
        </w:rPr>
        <w:t xml:space="preserve">public subsidies </w:t>
      </w:r>
      <w:r w:rsidRPr="00D47DAA">
        <w:rPr>
          <w:color w:val="000000" w:themeColor="text1"/>
        </w:rPr>
        <w:t>continued to</w:t>
      </w:r>
      <w:r w:rsidR="00F60512" w:rsidRPr="00D47DAA">
        <w:rPr>
          <w:color w:val="000000" w:themeColor="text1"/>
        </w:rPr>
        <w:t xml:space="preserve"> flow. </w:t>
      </w:r>
      <w:r w:rsidR="000F12E9" w:rsidRPr="00D47DAA">
        <w:rPr>
          <w:color w:val="000000" w:themeColor="text1"/>
        </w:rPr>
        <w:t xml:space="preserve">In charge of their own destiny, they could become institutionally distinctive and creative. </w:t>
      </w:r>
      <w:r w:rsidR="005D0012" w:rsidRPr="00D47DAA">
        <w:rPr>
          <w:color w:val="000000" w:themeColor="text1"/>
        </w:rPr>
        <w:t>This</w:t>
      </w:r>
      <w:r w:rsidR="006B7424" w:rsidRPr="00D47DAA">
        <w:rPr>
          <w:color w:val="000000" w:themeColor="text1"/>
        </w:rPr>
        <w:t xml:space="preserve"> freed the </w:t>
      </w:r>
      <w:r w:rsidR="00F9352D" w:rsidRPr="00D47DAA">
        <w:rPr>
          <w:color w:val="000000" w:themeColor="text1"/>
        </w:rPr>
        <w:t xml:space="preserve">research </w:t>
      </w:r>
      <w:r w:rsidR="00F60512" w:rsidRPr="00D47DAA">
        <w:rPr>
          <w:color w:val="000000" w:themeColor="text1"/>
        </w:rPr>
        <w:t>m</w:t>
      </w:r>
      <w:r w:rsidR="006B7424" w:rsidRPr="00D47DAA">
        <w:rPr>
          <w:color w:val="000000" w:themeColor="text1"/>
        </w:rPr>
        <w:t xml:space="preserve">ultiversity to </w:t>
      </w:r>
      <w:r w:rsidRPr="00D47DAA">
        <w:rPr>
          <w:color w:val="000000" w:themeColor="text1"/>
        </w:rPr>
        <w:t>do public good</w:t>
      </w:r>
      <w:r w:rsidR="00F9352D" w:rsidRPr="00D47DAA">
        <w:rPr>
          <w:color w:val="000000" w:themeColor="text1"/>
        </w:rPr>
        <w:t>,</w:t>
      </w:r>
      <w:r w:rsidRPr="00D47DAA">
        <w:rPr>
          <w:color w:val="000000" w:themeColor="text1"/>
        </w:rPr>
        <w:t xml:space="preserve"> and </w:t>
      </w:r>
      <w:r w:rsidR="00F9352D" w:rsidRPr="00D47DAA">
        <w:rPr>
          <w:color w:val="000000" w:themeColor="text1"/>
        </w:rPr>
        <w:t xml:space="preserve">to </w:t>
      </w:r>
      <w:r w:rsidRPr="00D47DAA">
        <w:rPr>
          <w:color w:val="000000" w:themeColor="text1"/>
        </w:rPr>
        <w:t>be itself</w:t>
      </w:r>
      <w:r w:rsidR="00F9352D" w:rsidRPr="00D47DAA">
        <w:rPr>
          <w:color w:val="000000" w:themeColor="text1"/>
        </w:rPr>
        <w:t>,</w:t>
      </w:r>
      <w:r w:rsidR="006B7424" w:rsidRPr="00D47DAA">
        <w:rPr>
          <w:color w:val="000000" w:themeColor="text1"/>
        </w:rPr>
        <w:t xml:space="preserve"> while holding it at the pinnacle of the </w:t>
      </w:r>
      <w:r w:rsidR="00F9352D" w:rsidRPr="00D47DAA">
        <w:rPr>
          <w:color w:val="000000" w:themeColor="text1"/>
        </w:rPr>
        <w:t xml:space="preserve">higher education </w:t>
      </w:r>
      <w:r w:rsidR="006B7424" w:rsidRPr="00D47DAA">
        <w:rPr>
          <w:color w:val="000000" w:themeColor="text1"/>
        </w:rPr>
        <w:t>system</w:t>
      </w:r>
      <w:r w:rsidR="00177828" w:rsidRPr="00D47DAA">
        <w:rPr>
          <w:color w:val="000000" w:themeColor="text1"/>
        </w:rPr>
        <w:t xml:space="preserve">. </w:t>
      </w:r>
    </w:p>
    <w:p w14:paraId="672FBCD0" w14:textId="77777777" w:rsidR="00041154" w:rsidRPr="00D47DAA" w:rsidRDefault="00041154" w:rsidP="00DF6211">
      <w:pPr>
        <w:rPr>
          <w:color w:val="000000" w:themeColor="text1"/>
        </w:rPr>
      </w:pPr>
    </w:p>
    <w:p w14:paraId="0A323D61" w14:textId="77777777" w:rsidR="000F5DB5" w:rsidRPr="00D47DAA" w:rsidRDefault="000F5DB5" w:rsidP="00DF6211">
      <w:pPr>
        <w:rPr>
          <w:color w:val="000000" w:themeColor="text1"/>
        </w:rPr>
      </w:pPr>
    </w:p>
    <w:p w14:paraId="2D6B6A0E" w14:textId="30A90E0B" w:rsidR="00041154" w:rsidRPr="00D47DAA" w:rsidRDefault="000F5DB5" w:rsidP="00DF6211">
      <w:pPr>
        <w:rPr>
          <w:b/>
          <w:color w:val="000000" w:themeColor="text1"/>
          <w:sz w:val="28"/>
          <w:szCs w:val="28"/>
        </w:rPr>
      </w:pPr>
      <w:r w:rsidRPr="00D47DAA">
        <w:rPr>
          <w:b/>
          <w:color w:val="000000" w:themeColor="text1"/>
          <w:sz w:val="28"/>
          <w:szCs w:val="28"/>
        </w:rPr>
        <w:t>O</w:t>
      </w:r>
      <w:r w:rsidR="005B429C" w:rsidRPr="00D47DAA">
        <w:rPr>
          <w:b/>
          <w:color w:val="000000" w:themeColor="text1"/>
          <w:sz w:val="28"/>
          <w:szCs w:val="28"/>
        </w:rPr>
        <w:t>utcome</w:t>
      </w:r>
      <w:r w:rsidR="00177828" w:rsidRPr="00D47DAA">
        <w:rPr>
          <w:b/>
          <w:color w:val="000000" w:themeColor="text1"/>
          <w:sz w:val="28"/>
          <w:szCs w:val="28"/>
        </w:rPr>
        <w:t>s of the Plan</w:t>
      </w:r>
      <w:r w:rsidR="00E00E69" w:rsidRPr="00D47DAA">
        <w:rPr>
          <w:b/>
          <w:color w:val="000000" w:themeColor="text1"/>
          <w:sz w:val="28"/>
          <w:szCs w:val="28"/>
        </w:rPr>
        <w:t xml:space="preserve"> </w:t>
      </w:r>
    </w:p>
    <w:p w14:paraId="0CD0638C" w14:textId="77777777" w:rsidR="00041154" w:rsidRPr="00D47DAA" w:rsidRDefault="00041154" w:rsidP="00DF6211">
      <w:pPr>
        <w:rPr>
          <w:color w:val="000000" w:themeColor="text1"/>
        </w:rPr>
      </w:pPr>
    </w:p>
    <w:p w14:paraId="2932A1A2" w14:textId="52BEF490" w:rsidR="002A1E57" w:rsidRPr="00D47DAA" w:rsidRDefault="002A1E57" w:rsidP="00DF6211">
      <w:pPr>
        <w:rPr>
          <w:color w:val="000000" w:themeColor="text1"/>
        </w:rPr>
      </w:pPr>
      <w:r w:rsidRPr="00D47DAA">
        <w:rPr>
          <w:color w:val="000000" w:themeColor="text1"/>
        </w:rPr>
        <w:t xml:space="preserve">How did the different components of the California Master Plan fare after </w:t>
      </w:r>
      <w:r w:rsidR="000F5DB5" w:rsidRPr="00D47DAA">
        <w:rPr>
          <w:color w:val="000000" w:themeColor="text1"/>
        </w:rPr>
        <w:t>Clark Kerr and his colleagues had done their work</w:t>
      </w:r>
      <w:r w:rsidRPr="00D47DAA">
        <w:rPr>
          <w:color w:val="000000" w:themeColor="text1"/>
        </w:rPr>
        <w:t>?</w:t>
      </w:r>
    </w:p>
    <w:p w14:paraId="318797C6" w14:textId="6CAC03AA" w:rsidR="00BB19B4" w:rsidRPr="00D47DAA" w:rsidRDefault="000F5DB5" w:rsidP="00DF6211">
      <w:pPr>
        <w:ind w:firstLine="454"/>
        <w:rPr>
          <w:color w:val="000000" w:themeColor="text1"/>
        </w:rPr>
      </w:pPr>
      <w:r w:rsidRPr="00D47DAA">
        <w:rPr>
          <w:color w:val="000000" w:themeColor="text1"/>
        </w:rPr>
        <w:t>T</w:t>
      </w:r>
      <w:r w:rsidR="00C16F9A" w:rsidRPr="00D47DAA">
        <w:rPr>
          <w:color w:val="000000" w:themeColor="text1"/>
        </w:rPr>
        <w:t xml:space="preserve">he division of labour between the three sub-sectors has proven stable, more so </w:t>
      </w:r>
      <w:r w:rsidR="00833413" w:rsidRPr="00D47DAA">
        <w:rPr>
          <w:color w:val="000000" w:themeColor="text1"/>
        </w:rPr>
        <w:t xml:space="preserve">than </w:t>
      </w:r>
      <w:r w:rsidR="00C16F9A" w:rsidRPr="00D47DAA">
        <w:rPr>
          <w:color w:val="000000" w:themeColor="text1"/>
        </w:rPr>
        <w:t xml:space="preserve">in countries which have seen upward ‘academic drift’ from the lower tiers. </w:t>
      </w:r>
      <w:r w:rsidR="00177828" w:rsidRPr="00D47DAA">
        <w:rPr>
          <w:color w:val="000000" w:themeColor="text1"/>
        </w:rPr>
        <w:t>On the other hand, i</w:t>
      </w:r>
      <w:r w:rsidR="00C16F9A" w:rsidRPr="00D47DAA">
        <w:rPr>
          <w:color w:val="000000" w:themeColor="text1"/>
        </w:rPr>
        <w:t xml:space="preserve">n California the multiversity has travelled better than has the overall system design. </w:t>
      </w:r>
      <w:r w:rsidR="00FA00B9" w:rsidRPr="00D47DAA">
        <w:rPr>
          <w:color w:val="000000" w:themeColor="text1"/>
        </w:rPr>
        <w:t xml:space="preserve">There is continued commitment to some aspects of the Master Plan vision but not others. </w:t>
      </w:r>
      <w:r w:rsidR="00C16F9A" w:rsidRPr="00D47DAA">
        <w:rPr>
          <w:color w:val="000000" w:themeColor="text1"/>
        </w:rPr>
        <w:t>The</w:t>
      </w:r>
      <w:r w:rsidR="007D4892" w:rsidRPr="00D47DAA">
        <w:rPr>
          <w:color w:val="000000" w:themeColor="text1"/>
        </w:rPr>
        <w:t xml:space="preserve"> goal of excellence has been</w:t>
      </w:r>
      <w:r w:rsidR="00403ABA" w:rsidRPr="00D47DAA">
        <w:rPr>
          <w:color w:val="000000" w:themeColor="text1"/>
        </w:rPr>
        <w:t xml:space="preserve"> realis</w:t>
      </w:r>
      <w:r w:rsidR="007D4892" w:rsidRPr="00D47DAA">
        <w:rPr>
          <w:color w:val="000000" w:themeColor="text1"/>
        </w:rPr>
        <w:t xml:space="preserve">ed more completely than </w:t>
      </w:r>
      <w:r w:rsidR="00833413" w:rsidRPr="00D47DAA">
        <w:rPr>
          <w:color w:val="000000" w:themeColor="text1"/>
        </w:rPr>
        <w:t xml:space="preserve">that of </w:t>
      </w:r>
      <w:r w:rsidR="007D4892" w:rsidRPr="00D47DAA">
        <w:rPr>
          <w:color w:val="000000" w:themeColor="text1"/>
        </w:rPr>
        <w:t>access</w:t>
      </w:r>
      <w:r w:rsidR="00D74240" w:rsidRPr="00D47DAA">
        <w:rPr>
          <w:color w:val="000000" w:themeColor="text1"/>
        </w:rPr>
        <w:t>. E</w:t>
      </w:r>
      <w:r w:rsidR="0039357C" w:rsidRPr="00D47DAA">
        <w:rPr>
          <w:color w:val="000000" w:themeColor="text1"/>
        </w:rPr>
        <w:t xml:space="preserve">quality of </w:t>
      </w:r>
      <w:r w:rsidR="00177828" w:rsidRPr="00D47DAA">
        <w:rPr>
          <w:color w:val="000000" w:themeColor="text1"/>
        </w:rPr>
        <w:t xml:space="preserve">social </w:t>
      </w:r>
      <w:r w:rsidR="0039357C" w:rsidRPr="00D47DAA">
        <w:rPr>
          <w:color w:val="000000" w:themeColor="text1"/>
        </w:rPr>
        <w:t xml:space="preserve">opportunity </w:t>
      </w:r>
      <w:r w:rsidR="001311F6" w:rsidRPr="00D47DAA">
        <w:rPr>
          <w:color w:val="000000" w:themeColor="text1"/>
        </w:rPr>
        <w:t xml:space="preserve">through public </w:t>
      </w:r>
      <w:r w:rsidR="00177828" w:rsidRPr="00D47DAA">
        <w:rPr>
          <w:color w:val="000000" w:themeColor="text1"/>
        </w:rPr>
        <w:t xml:space="preserve">higher </w:t>
      </w:r>
      <w:r w:rsidR="001311F6" w:rsidRPr="00D47DAA">
        <w:rPr>
          <w:color w:val="000000" w:themeColor="text1"/>
        </w:rPr>
        <w:t xml:space="preserve">education </w:t>
      </w:r>
      <w:r w:rsidR="00177828" w:rsidRPr="00D47DAA">
        <w:rPr>
          <w:color w:val="000000" w:themeColor="text1"/>
        </w:rPr>
        <w:t xml:space="preserve">now </w:t>
      </w:r>
      <w:r w:rsidR="00C16F9A" w:rsidRPr="00D47DAA">
        <w:rPr>
          <w:color w:val="000000" w:themeColor="text1"/>
        </w:rPr>
        <w:t>seems</w:t>
      </w:r>
      <w:r w:rsidR="0039357C" w:rsidRPr="00D47DAA">
        <w:rPr>
          <w:color w:val="000000" w:themeColor="text1"/>
        </w:rPr>
        <w:t xml:space="preserve"> </w:t>
      </w:r>
      <w:r w:rsidR="00FA00B9" w:rsidRPr="00D47DAA">
        <w:rPr>
          <w:color w:val="000000" w:themeColor="text1"/>
        </w:rPr>
        <w:t xml:space="preserve">much further </w:t>
      </w:r>
      <w:r w:rsidR="00177828" w:rsidRPr="00D47DAA">
        <w:rPr>
          <w:color w:val="000000" w:themeColor="text1"/>
        </w:rPr>
        <w:t xml:space="preserve">off than in the first two decades of </w:t>
      </w:r>
      <w:r w:rsidR="00E160C1" w:rsidRPr="00D47DAA">
        <w:rPr>
          <w:color w:val="000000" w:themeColor="text1"/>
        </w:rPr>
        <w:t xml:space="preserve">the Plan’s </w:t>
      </w:r>
      <w:r w:rsidR="00177828" w:rsidRPr="00D47DAA">
        <w:rPr>
          <w:color w:val="000000" w:themeColor="text1"/>
        </w:rPr>
        <w:t>expanding provision.</w:t>
      </w:r>
      <w:r w:rsidRPr="00D47DAA">
        <w:rPr>
          <w:color w:val="000000" w:themeColor="text1"/>
        </w:rPr>
        <w:t xml:space="preserve"> </w:t>
      </w:r>
      <w:r w:rsidR="006871E9" w:rsidRPr="00D47DAA">
        <w:rPr>
          <w:color w:val="000000" w:themeColor="text1"/>
        </w:rPr>
        <w:t xml:space="preserve">Clark Kerr would have been only half pleased at the outcome of his work. </w:t>
      </w:r>
      <w:r w:rsidRPr="00D47DAA">
        <w:rPr>
          <w:color w:val="000000" w:themeColor="text1"/>
        </w:rPr>
        <w:t>This is partly due to weaknesses internal to the Plan’s design, interacting with contextual factors</w:t>
      </w:r>
      <w:r w:rsidR="0083459D" w:rsidRPr="00D47DAA">
        <w:rPr>
          <w:color w:val="000000" w:themeColor="text1"/>
        </w:rPr>
        <w:t>. However, it is</w:t>
      </w:r>
      <w:r w:rsidRPr="00D47DAA">
        <w:rPr>
          <w:color w:val="000000" w:themeColor="text1"/>
        </w:rPr>
        <w:t xml:space="preserve"> primarily due to changes in the external political economic environment. The political, ideological, fiscal and social conditions of higher education are now very different to those of 1960. </w:t>
      </w:r>
      <w:r w:rsidR="00E160C1" w:rsidRPr="00D47DAA">
        <w:rPr>
          <w:color w:val="000000" w:themeColor="text1"/>
        </w:rPr>
        <w:t xml:space="preserve">As noted, the consensus on </w:t>
      </w:r>
      <w:r w:rsidR="00833413" w:rsidRPr="00D47DAA">
        <w:rPr>
          <w:color w:val="000000" w:themeColor="text1"/>
        </w:rPr>
        <w:t xml:space="preserve">public </w:t>
      </w:r>
      <w:r w:rsidR="00E160C1" w:rsidRPr="00D47DAA">
        <w:rPr>
          <w:color w:val="000000" w:themeColor="text1"/>
        </w:rPr>
        <w:t>values has shifted</w:t>
      </w:r>
      <w:r w:rsidR="00FA00B9" w:rsidRPr="00D47DAA">
        <w:rPr>
          <w:color w:val="000000" w:themeColor="text1"/>
        </w:rPr>
        <w:t xml:space="preserve">. Underlying that </w:t>
      </w:r>
      <w:r w:rsidR="0083459D" w:rsidRPr="00D47DAA">
        <w:rPr>
          <w:color w:val="000000" w:themeColor="text1"/>
        </w:rPr>
        <w:t>change</w:t>
      </w:r>
      <w:r w:rsidR="00FA00B9" w:rsidRPr="00D47DAA">
        <w:rPr>
          <w:color w:val="000000" w:themeColor="text1"/>
        </w:rPr>
        <w:t>, there is</w:t>
      </w:r>
      <w:r w:rsidR="00833413" w:rsidRPr="00D47DAA">
        <w:rPr>
          <w:color w:val="000000" w:themeColor="text1"/>
        </w:rPr>
        <w:t xml:space="preserve"> </w:t>
      </w:r>
      <w:r w:rsidR="00E160C1" w:rsidRPr="00D47DAA">
        <w:rPr>
          <w:color w:val="000000" w:themeColor="text1"/>
        </w:rPr>
        <w:t xml:space="preserve">less </w:t>
      </w:r>
      <w:r w:rsidR="00833413" w:rsidRPr="00D47DAA">
        <w:rPr>
          <w:color w:val="000000" w:themeColor="text1"/>
        </w:rPr>
        <w:t xml:space="preserve">real </w:t>
      </w:r>
      <w:r w:rsidR="00E160C1" w:rsidRPr="00D47DAA">
        <w:rPr>
          <w:color w:val="000000" w:themeColor="text1"/>
        </w:rPr>
        <w:t>scope for social mobility and equality of opportunity than before</w:t>
      </w:r>
      <w:r w:rsidR="00FA00B9" w:rsidRPr="00D47DAA">
        <w:rPr>
          <w:color w:val="000000" w:themeColor="text1"/>
        </w:rPr>
        <w:t xml:space="preserve">—partly due to the closing of Piketty’s window for social mobility that opened after World War II, and partly due to </w:t>
      </w:r>
      <w:r w:rsidR="0083459D" w:rsidRPr="00D47DAA">
        <w:rPr>
          <w:color w:val="000000" w:themeColor="text1"/>
        </w:rPr>
        <w:t>ideological-</w:t>
      </w:r>
      <w:r w:rsidR="00FA00B9" w:rsidRPr="00D47DAA">
        <w:rPr>
          <w:color w:val="000000" w:themeColor="text1"/>
        </w:rPr>
        <w:t>political shift</w:t>
      </w:r>
      <w:r w:rsidR="0083459D" w:rsidRPr="00D47DAA">
        <w:rPr>
          <w:color w:val="000000" w:themeColor="text1"/>
        </w:rPr>
        <w:t>s, for example in tax policy</w:t>
      </w:r>
      <w:r w:rsidR="00E160C1" w:rsidRPr="00D47DAA">
        <w:rPr>
          <w:color w:val="000000" w:themeColor="text1"/>
        </w:rPr>
        <w:t xml:space="preserve">. No doubt </w:t>
      </w:r>
      <w:r w:rsidR="00FA00B9" w:rsidRPr="00D47DAA">
        <w:rPr>
          <w:color w:val="000000" w:themeColor="text1"/>
        </w:rPr>
        <w:t xml:space="preserve">all </w:t>
      </w:r>
      <w:r w:rsidR="00E160C1" w:rsidRPr="00D47DAA">
        <w:rPr>
          <w:color w:val="000000" w:themeColor="text1"/>
        </w:rPr>
        <w:t>these fact</w:t>
      </w:r>
      <w:r w:rsidR="00833413" w:rsidRPr="00D47DAA">
        <w:rPr>
          <w:color w:val="000000" w:themeColor="text1"/>
        </w:rPr>
        <w:t>or</w:t>
      </w:r>
      <w:r w:rsidR="00E160C1" w:rsidRPr="00D47DAA">
        <w:rPr>
          <w:color w:val="000000" w:themeColor="text1"/>
        </w:rPr>
        <w:t xml:space="preserve">s are linked. </w:t>
      </w:r>
    </w:p>
    <w:p w14:paraId="5537580C" w14:textId="77777777" w:rsidR="003C1D83" w:rsidRPr="00D47DAA" w:rsidRDefault="003C1D83" w:rsidP="00E160C1">
      <w:pPr>
        <w:rPr>
          <w:color w:val="000000" w:themeColor="text1"/>
        </w:rPr>
      </w:pPr>
    </w:p>
    <w:p w14:paraId="375864A2" w14:textId="44695B00" w:rsidR="00177828" w:rsidRPr="00D47DAA" w:rsidRDefault="00177828" w:rsidP="00DF6211">
      <w:pPr>
        <w:rPr>
          <w:b/>
          <w:color w:val="000000" w:themeColor="text1"/>
        </w:rPr>
      </w:pPr>
      <w:r w:rsidRPr="00D47DAA">
        <w:rPr>
          <w:b/>
          <w:color w:val="000000" w:themeColor="text1"/>
        </w:rPr>
        <w:t xml:space="preserve">Excellence </w:t>
      </w:r>
    </w:p>
    <w:p w14:paraId="48DB874C" w14:textId="77777777" w:rsidR="00177828" w:rsidRPr="00D47DAA" w:rsidRDefault="00177828" w:rsidP="00DF6211">
      <w:pPr>
        <w:rPr>
          <w:color w:val="000000" w:themeColor="text1"/>
        </w:rPr>
      </w:pPr>
    </w:p>
    <w:p w14:paraId="6FC6FD2F" w14:textId="1B7E4BC9" w:rsidR="00041154" w:rsidRPr="00D47DAA" w:rsidRDefault="00C16F9A" w:rsidP="00DF6211">
      <w:pPr>
        <w:rPr>
          <w:color w:val="000000" w:themeColor="text1"/>
        </w:rPr>
      </w:pPr>
      <w:r w:rsidRPr="00D47DAA">
        <w:rPr>
          <w:color w:val="000000" w:themeColor="text1"/>
        </w:rPr>
        <w:t>T</w:t>
      </w:r>
      <w:r w:rsidR="00041154" w:rsidRPr="00D47DAA">
        <w:rPr>
          <w:color w:val="000000" w:themeColor="text1"/>
        </w:rPr>
        <w:t xml:space="preserve">he University of California </w:t>
      </w:r>
      <w:r w:rsidR="006068DC" w:rsidRPr="00D47DAA">
        <w:rPr>
          <w:color w:val="000000" w:themeColor="text1"/>
        </w:rPr>
        <w:t xml:space="preserve">(UC) </w:t>
      </w:r>
      <w:r w:rsidR="00041154" w:rsidRPr="00D47DAA">
        <w:rPr>
          <w:color w:val="000000" w:themeColor="text1"/>
        </w:rPr>
        <w:t>sustain</w:t>
      </w:r>
      <w:r w:rsidR="006068DC" w:rsidRPr="00D47DAA">
        <w:rPr>
          <w:color w:val="000000" w:themeColor="text1"/>
        </w:rPr>
        <w:t>s</w:t>
      </w:r>
      <w:r w:rsidR="00041154" w:rsidRPr="00D47DAA">
        <w:rPr>
          <w:color w:val="000000" w:themeColor="text1"/>
        </w:rPr>
        <w:t xml:space="preserve"> unquestionable research excellence across all campuses, except UC Merced, founded in 2005, which is still </w:t>
      </w:r>
      <w:r w:rsidR="00597F99" w:rsidRPr="00D47DAA">
        <w:rPr>
          <w:color w:val="000000" w:themeColor="text1"/>
        </w:rPr>
        <w:t>emerging</w:t>
      </w:r>
      <w:r w:rsidR="00041154" w:rsidRPr="00D47DAA">
        <w:rPr>
          <w:color w:val="000000" w:themeColor="text1"/>
        </w:rPr>
        <w:t xml:space="preserve">. In the </w:t>
      </w:r>
      <w:proofErr w:type="gramStart"/>
      <w:r w:rsidR="00041154" w:rsidRPr="00D47DAA">
        <w:rPr>
          <w:color w:val="000000" w:themeColor="text1"/>
        </w:rPr>
        <w:t>Shanghai</w:t>
      </w:r>
      <w:proofErr w:type="gramEnd"/>
      <w:r w:rsidR="00041154" w:rsidRPr="00D47DAA">
        <w:rPr>
          <w:color w:val="000000" w:themeColor="text1"/>
        </w:rPr>
        <w:t xml:space="preserve"> Academic Ranking of World Universities</w:t>
      </w:r>
      <w:r w:rsidR="00E00E69" w:rsidRPr="00D47DAA">
        <w:rPr>
          <w:color w:val="000000" w:themeColor="text1"/>
        </w:rPr>
        <w:t xml:space="preserve"> (ARWU)</w:t>
      </w:r>
      <w:r w:rsidR="00041154" w:rsidRPr="00D47DAA">
        <w:rPr>
          <w:color w:val="000000" w:themeColor="text1"/>
        </w:rPr>
        <w:t xml:space="preserve">, focused solely on research, seven UC campuses </w:t>
      </w:r>
      <w:r w:rsidR="00DC1B8C" w:rsidRPr="00D47DAA">
        <w:rPr>
          <w:color w:val="000000" w:themeColor="text1"/>
        </w:rPr>
        <w:t>were in the world top 60 in 2016</w:t>
      </w:r>
      <w:r w:rsidR="00041154" w:rsidRPr="00D47DAA">
        <w:rPr>
          <w:color w:val="000000" w:themeColor="text1"/>
        </w:rPr>
        <w:t xml:space="preserve">. UC Berkeley was </w:t>
      </w:r>
      <w:r w:rsidR="00DC1B8C" w:rsidRPr="00D47DAA">
        <w:rPr>
          <w:color w:val="000000" w:themeColor="text1"/>
        </w:rPr>
        <w:t xml:space="preserve">third behind Harvard and </w:t>
      </w:r>
      <w:r w:rsidR="00041154" w:rsidRPr="00D47DAA">
        <w:rPr>
          <w:color w:val="000000" w:themeColor="text1"/>
        </w:rPr>
        <w:t>Stanford</w:t>
      </w:r>
      <w:r w:rsidR="00B451B5" w:rsidRPr="00D47DAA">
        <w:rPr>
          <w:color w:val="000000" w:themeColor="text1"/>
        </w:rPr>
        <w:t xml:space="preserve"> Universities</w:t>
      </w:r>
      <w:r w:rsidR="00041154" w:rsidRPr="00D47DAA">
        <w:rPr>
          <w:color w:val="000000" w:themeColor="text1"/>
        </w:rPr>
        <w:t>, and ahead of the University of Cambridge in the UK, Princeton</w:t>
      </w:r>
      <w:r w:rsidR="00DC1B8C" w:rsidRPr="00D47DAA">
        <w:rPr>
          <w:color w:val="000000" w:themeColor="text1"/>
        </w:rPr>
        <w:t>, Oxford</w:t>
      </w:r>
      <w:r w:rsidR="00041154" w:rsidRPr="00D47DAA">
        <w:rPr>
          <w:color w:val="000000" w:themeColor="text1"/>
        </w:rPr>
        <w:t xml:space="preserve"> and Caltech. UC Los Angeles was twelfth and San Diego was in fourteenth place, </w:t>
      </w:r>
      <w:r w:rsidR="00DC1B8C" w:rsidRPr="00D47DAA">
        <w:rPr>
          <w:color w:val="000000" w:themeColor="text1"/>
        </w:rPr>
        <w:t xml:space="preserve">followed by </w:t>
      </w:r>
      <w:r w:rsidR="00041154" w:rsidRPr="00D47DAA">
        <w:rPr>
          <w:color w:val="000000" w:themeColor="text1"/>
        </w:rPr>
        <w:t>San Francisco (</w:t>
      </w:r>
      <w:r w:rsidR="00DC1B8C" w:rsidRPr="00D47DAA">
        <w:rPr>
          <w:color w:val="000000" w:themeColor="text1"/>
        </w:rPr>
        <w:t>21), Santa Barbara (42</w:t>
      </w:r>
      <w:r w:rsidR="00041154" w:rsidRPr="00D47DAA">
        <w:rPr>
          <w:color w:val="000000" w:themeColor="text1"/>
        </w:rPr>
        <w:t>), Irvine (</w:t>
      </w:r>
      <w:r w:rsidR="00DC1B8C" w:rsidRPr="00D47DAA">
        <w:rPr>
          <w:color w:val="000000" w:themeColor="text1"/>
        </w:rPr>
        <w:t>58</w:t>
      </w:r>
      <w:r w:rsidR="00041154" w:rsidRPr="00D47DAA">
        <w:rPr>
          <w:color w:val="000000" w:themeColor="text1"/>
        </w:rPr>
        <w:t>), Davis (</w:t>
      </w:r>
      <w:r w:rsidR="00DC1B8C" w:rsidRPr="00D47DAA">
        <w:rPr>
          <w:color w:val="000000" w:themeColor="text1"/>
        </w:rPr>
        <w:t xml:space="preserve">75) and Santa Cruz (83). </w:t>
      </w:r>
      <w:r w:rsidR="00041154" w:rsidRPr="00D47DAA">
        <w:rPr>
          <w:color w:val="000000" w:themeColor="text1"/>
        </w:rPr>
        <w:t xml:space="preserve">Riverside </w:t>
      </w:r>
      <w:r w:rsidR="00DC1B8C" w:rsidRPr="00D47DAA">
        <w:rPr>
          <w:color w:val="000000" w:themeColor="text1"/>
        </w:rPr>
        <w:t>wa</w:t>
      </w:r>
      <w:r w:rsidR="00041154" w:rsidRPr="00D47DAA">
        <w:rPr>
          <w:color w:val="000000" w:themeColor="text1"/>
        </w:rPr>
        <w:t xml:space="preserve">s </w:t>
      </w:r>
      <w:r w:rsidR="005B429C" w:rsidRPr="00D47DAA">
        <w:rPr>
          <w:color w:val="000000" w:themeColor="text1"/>
        </w:rPr>
        <w:t xml:space="preserve">also </w:t>
      </w:r>
      <w:r w:rsidR="00041154" w:rsidRPr="00D47DAA">
        <w:rPr>
          <w:color w:val="000000" w:themeColor="text1"/>
        </w:rPr>
        <w:t xml:space="preserve">in the first </w:t>
      </w:r>
      <w:r w:rsidR="00DC1B8C" w:rsidRPr="00D47DAA">
        <w:rPr>
          <w:color w:val="000000" w:themeColor="text1"/>
        </w:rPr>
        <w:t>20</w:t>
      </w:r>
      <w:r w:rsidR="00041154" w:rsidRPr="00D47DAA">
        <w:rPr>
          <w:color w:val="000000" w:themeColor="text1"/>
        </w:rPr>
        <w:t>0</w:t>
      </w:r>
      <w:r w:rsidR="005B429C" w:rsidRPr="00D47DAA">
        <w:rPr>
          <w:color w:val="000000" w:themeColor="text1"/>
        </w:rPr>
        <w:t xml:space="preserve"> (ARWU</w:t>
      </w:r>
      <w:r w:rsidR="005A0886" w:rsidRPr="00D47DAA">
        <w:rPr>
          <w:color w:val="000000" w:themeColor="text1"/>
        </w:rPr>
        <w:t>, 2016</w:t>
      </w:r>
      <w:r w:rsidR="005B429C" w:rsidRPr="00D47DAA">
        <w:rPr>
          <w:color w:val="000000" w:themeColor="text1"/>
        </w:rPr>
        <w:t>)</w:t>
      </w:r>
      <w:r w:rsidR="00DC1B8C" w:rsidRPr="00D47DAA">
        <w:rPr>
          <w:color w:val="000000" w:themeColor="text1"/>
        </w:rPr>
        <w:t>.</w:t>
      </w:r>
      <w:r w:rsidR="00041154" w:rsidRPr="00D47DAA">
        <w:rPr>
          <w:color w:val="000000" w:themeColor="text1"/>
        </w:rPr>
        <w:t xml:space="preserve"> If science is </w:t>
      </w:r>
      <w:r w:rsidR="005B429C" w:rsidRPr="00D47DAA">
        <w:rPr>
          <w:color w:val="000000" w:themeColor="text1"/>
        </w:rPr>
        <w:t>the hope</w:t>
      </w:r>
      <w:r w:rsidR="00E00E69" w:rsidRPr="00D47DAA">
        <w:rPr>
          <w:color w:val="000000" w:themeColor="text1"/>
        </w:rPr>
        <w:t xml:space="preserve"> of the world</w:t>
      </w:r>
      <w:r w:rsidR="00B451B5" w:rsidRPr="00D47DAA">
        <w:rPr>
          <w:color w:val="000000" w:themeColor="text1"/>
        </w:rPr>
        <w:t>,</w:t>
      </w:r>
      <w:r w:rsidR="00E00E69" w:rsidRPr="00D47DAA">
        <w:rPr>
          <w:color w:val="000000" w:themeColor="text1"/>
        </w:rPr>
        <w:t xml:space="preserve"> </w:t>
      </w:r>
      <w:r w:rsidR="0086274D" w:rsidRPr="00D47DAA">
        <w:rPr>
          <w:color w:val="000000" w:themeColor="text1"/>
        </w:rPr>
        <w:t xml:space="preserve">then </w:t>
      </w:r>
      <w:r w:rsidR="00041154" w:rsidRPr="00D47DAA">
        <w:rPr>
          <w:color w:val="000000" w:themeColor="text1"/>
        </w:rPr>
        <w:t xml:space="preserve">much </w:t>
      </w:r>
      <w:r w:rsidR="00E00E69" w:rsidRPr="00D47DAA">
        <w:rPr>
          <w:color w:val="000000" w:themeColor="text1"/>
        </w:rPr>
        <w:t xml:space="preserve">of that </w:t>
      </w:r>
      <w:r w:rsidR="00041154" w:rsidRPr="00D47DAA">
        <w:rPr>
          <w:color w:val="000000" w:themeColor="text1"/>
        </w:rPr>
        <w:t xml:space="preserve">hope </w:t>
      </w:r>
      <w:r w:rsidR="005B429C" w:rsidRPr="00D47DAA">
        <w:rPr>
          <w:color w:val="000000" w:themeColor="text1"/>
        </w:rPr>
        <w:t xml:space="preserve">continues to be </w:t>
      </w:r>
      <w:r w:rsidR="00041154" w:rsidRPr="00D47DAA">
        <w:rPr>
          <w:color w:val="000000" w:themeColor="text1"/>
        </w:rPr>
        <w:t xml:space="preserve">invested in California. </w:t>
      </w:r>
    </w:p>
    <w:p w14:paraId="21EDC665" w14:textId="77777777" w:rsidR="005B429C" w:rsidRPr="00D47DAA" w:rsidRDefault="005B429C" w:rsidP="00DF6211">
      <w:pPr>
        <w:rPr>
          <w:color w:val="000000" w:themeColor="text1"/>
        </w:rPr>
      </w:pPr>
    </w:p>
    <w:p w14:paraId="39E0D687" w14:textId="76C29004" w:rsidR="005B429C" w:rsidRPr="00D47DAA" w:rsidRDefault="005B429C" w:rsidP="00DF6211">
      <w:pPr>
        <w:rPr>
          <w:i/>
          <w:color w:val="000000" w:themeColor="text1"/>
        </w:rPr>
      </w:pPr>
      <w:r w:rsidRPr="00D47DAA">
        <w:rPr>
          <w:i/>
          <w:color w:val="000000" w:themeColor="text1"/>
        </w:rPr>
        <w:t>[Insert Table 1 about here]</w:t>
      </w:r>
    </w:p>
    <w:p w14:paraId="0192C600" w14:textId="77777777" w:rsidR="005B429C" w:rsidRPr="00D47DAA" w:rsidRDefault="005B429C" w:rsidP="00DF6211">
      <w:pPr>
        <w:rPr>
          <w:color w:val="000000" w:themeColor="text1"/>
        </w:rPr>
      </w:pPr>
    </w:p>
    <w:p w14:paraId="3FEBF194" w14:textId="0D966285" w:rsidR="00041154" w:rsidRPr="00D47DAA" w:rsidRDefault="00041154" w:rsidP="00DF6211">
      <w:pPr>
        <w:ind w:firstLine="454"/>
        <w:rPr>
          <w:color w:val="000000" w:themeColor="text1"/>
        </w:rPr>
      </w:pPr>
      <w:r w:rsidRPr="00D47DAA">
        <w:rPr>
          <w:color w:val="000000" w:themeColor="text1"/>
        </w:rPr>
        <w:t xml:space="preserve">The University of Leiden Centre for Science and Technology Studies (CWTS) provides detailed comparisons of </w:t>
      </w:r>
      <w:r w:rsidR="00B451B5" w:rsidRPr="00D47DAA">
        <w:rPr>
          <w:color w:val="000000" w:themeColor="text1"/>
        </w:rPr>
        <w:t xml:space="preserve">high quality </w:t>
      </w:r>
      <w:r w:rsidRPr="00D47DAA">
        <w:rPr>
          <w:color w:val="000000" w:themeColor="text1"/>
        </w:rPr>
        <w:t xml:space="preserve">university </w:t>
      </w:r>
      <w:r w:rsidR="0017640F" w:rsidRPr="00D47DAA">
        <w:rPr>
          <w:color w:val="000000" w:themeColor="text1"/>
        </w:rPr>
        <w:t>research output</w:t>
      </w:r>
      <w:r w:rsidR="00DC1B8C" w:rsidRPr="00D47DAA">
        <w:rPr>
          <w:color w:val="000000" w:themeColor="text1"/>
        </w:rPr>
        <w:t xml:space="preserve">. </w:t>
      </w:r>
      <w:r w:rsidR="00B451B5" w:rsidRPr="00D47DAA">
        <w:rPr>
          <w:color w:val="000000" w:themeColor="text1"/>
        </w:rPr>
        <w:t>It</w:t>
      </w:r>
      <w:r w:rsidR="00DC1B8C" w:rsidRPr="00D47DAA">
        <w:rPr>
          <w:color w:val="000000" w:themeColor="text1"/>
        </w:rPr>
        <w:t xml:space="preserve"> </w:t>
      </w:r>
      <w:r w:rsidR="00B451B5" w:rsidRPr="00D47DAA">
        <w:rPr>
          <w:color w:val="000000" w:themeColor="text1"/>
        </w:rPr>
        <w:t>list</w:t>
      </w:r>
      <w:r w:rsidR="00DC1B8C" w:rsidRPr="00D47DAA">
        <w:rPr>
          <w:color w:val="000000" w:themeColor="text1"/>
        </w:rPr>
        <w:t xml:space="preserve">s the number of high citation journal papers, in the top 10 per cent of their field by citation rate, </w:t>
      </w:r>
      <w:r w:rsidR="00B451B5" w:rsidRPr="00D47DAA">
        <w:rPr>
          <w:color w:val="000000" w:themeColor="text1"/>
        </w:rPr>
        <w:t>from</w:t>
      </w:r>
      <w:r w:rsidR="00DC1B8C" w:rsidRPr="00D47DAA">
        <w:rPr>
          <w:color w:val="000000" w:themeColor="text1"/>
        </w:rPr>
        <w:t xml:space="preserve"> each university</w:t>
      </w:r>
      <w:r w:rsidR="001567BC" w:rsidRPr="00D47DAA">
        <w:rPr>
          <w:color w:val="000000" w:themeColor="text1"/>
        </w:rPr>
        <w:t xml:space="preserve"> (see Table 1)</w:t>
      </w:r>
      <w:r w:rsidR="00DC1B8C" w:rsidRPr="00D47DAA">
        <w:rPr>
          <w:color w:val="000000" w:themeColor="text1"/>
        </w:rPr>
        <w:t>. I</w:t>
      </w:r>
      <w:r w:rsidRPr="00D47DAA">
        <w:rPr>
          <w:color w:val="000000" w:themeColor="text1"/>
        </w:rPr>
        <w:t>n the 20</w:t>
      </w:r>
      <w:r w:rsidR="000E2E20" w:rsidRPr="00D47DAA">
        <w:rPr>
          <w:color w:val="000000" w:themeColor="text1"/>
        </w:rPr>
        <w:t>1</w:t>
      </w:r>
      <w:r w:rsidR="006C531C" w:rsidRPr="00D47DAA">
        <w:rPr>
          <w:color w:val="000000" w:themeColor="text1"/>
        </w:rPr>
        <w:t>2</w:t>
      </w:r>
      <w:r w:rsidRPr="00D47DAA">
        <w:rPr>
          <w:color w:val="000000" w:themeColor="text1"/>
        </w:rPr>
        <w:t>-201</w:t>
      </w:r>
      <w:r w:rsidR="006C531C" w:rsidRPr="00D47DAA">
        <w:rPr>
          <w:color w:val="000000" w:themeColor="text1"/>
        </w:rPr>
        <w:t>5</w:t>
      </w:r>
      <w:r w:rsidR="00B451B5" w:rsidRPr="00D47DAA">
        <w:rPr>
          <w:color w:val="000000" w:themeColor="text1"/>
        </w:rPr>
        <w:t xml:space="preserve">, </w:t>
      </w:r>
      <w:r w:rsidR="006C531C" w:rsidRPr="00D47DAA">
        <w:rPr>
          <w:color w:val="000000" w:themeColor="text1"/>
        </w:rPr>
        <w:t>21.7</w:t>
      </w:r>
      <w:r w:rsidRPr="00D47DAA">
        <w:rPr>
          <w:color w:val="000000" w:themeColor="text1"/>
        </w:rPr>
        <w:t xml:space="preserve"> per cent of Berkeley papers </w:t>
      </w:r>
      <w:r w:rsidR="0017640F" w:rsidRPr="00D47DAA">
        <w:rPr>
          <w:color w:val="000000" w:themeColor="text1"/>
        </w:rPr>
        <w:t xml:space="preserve">were </w:t>
      </w:r>
      <w:r w:rsidRPr="00D47DAA">
        <w:rPr>
          <w:color w:val="000000" w:themeColor="text1"/>
        </w:rPr>
        <w:t xml:space="preserve">high citation </w:t>
      </w:r>
      <w:r w:rsidR="0017640F" w:rsidRPr="00D47DAA">
        <w:rPr>
          <w:color w:val="000000" w:themeColor="text1"/>
        </w:rPr>
        <w:t>papers</w:t>
      </w:r>
      <w:r w:rsidR="00B451B5" w:rsidRPr="00D47DAA">
        <w:rPr>
          <w:color w:val="000000" w:themeColor="text1"/>
        </w:rPr>
        <w:t xml:space="preserve">. There were </w:t>
      </w:r>
      <w:r w:rsidR="006C531C" w:rsidRPr="00D47DAA">
        <w:rPr>
          <w:color w:val="000000" w:themeColor="text1"/>
        </w:rPr>
        <w:t>2628</w:t>
      </w:r>
      <w:r w:rsidR="00B451B5" w:rsidRPr="00D47DAA">
        <w:rPr>
          <w:color w:val="000000" w:themeColor="text1"/>
        </w:rPr>
        <w:t xml:space="preserve"> such papers in the four years, </w:t>
      </w:r>
      <w:r w:rsidR="00203CB1" w:rsidRPr="00D47DAA">
        <w:rPr>
          <w:color w:val="000000" w:themeColor="text1"/>
        </w:rPr>
        <w:t xml:space="preserve">behind only </w:t>
      </w:r>
      <w:r w:rsidR="00B451B5" w:rsidRPr="00D47DAA">
        <w:rPr>
          <w:color w:val="000000" w:themeColor="text1"/>
        </w:rPr>
        <w:t xml:space="preserve">Harvard, </w:t>
      </w:r>
      <w:r w:rsidRPr="00D47DAA">
        <w:rPr>
          <w:color w:val="000000" w:themeColor="text1"/>
        </w:rPr>
        <w:t>Stanford</w:t>
      </w:r>
      <w:r w:rsidR="00B451B5" w:rsidRPr="00D47DAA">
        <w:rPr>
          <w:color w:val="000000" w:themeColor="text1"/>
        </w:rPr>
        <w:t xml:space="preserve">, </w:t>
      </w:r>
      <w:r w:rsidR="001567BC" w:rsidRPr="00D47DAA">
        <w:rPr>
          <w:color w:val="000000" w:themeColor="text1"/>
        </w:rPr>
        <w:t xml:space="preserve">much </w:t>
      </w:r>
      <w:r w:rsidR="00B451B5" w:rsidRPr="00D47DAA">
        <w:rPr>
          <w:color w:val="000000" w:themeColor="text1"/>
        </w:rPr>
        <w:t xml:space="preserve">larger public universities </w:t>
      </w:r>
      <w:r w:rsidR="001567BC" w:rsidRPr="00D47DAA">
        <w:rPr>
          <w:color w:val="000000" w:themeColor="text1"/>
        </w:rPr>
        <w:t>in</w:t>
      </w:r>
      <w:r w:rsidR="00B451B5" w:rsidRPr="00D47DAA">
        <w:rPr>
          <w:color w:val="000000" w:themeColor="text1"/>
        </w:rPr>
        <w:t xml:space="preserve"> Toronto in Canada and Michigan in the US</w:t>
      </w:r>
      <w:r w:rsidR="006C531C" w:rsidRPr="00D47DAA">
        <w:rPr>
          <w:color w:val="000000" w:themeColor="text1"/>
        </w:rPr>
        <w:t>, and Johns Hopkins</w:t>
      </w:r>
      <w:r w:rsidR="00280B22" w:rsidRPr="00D47DAA">
        <w:rPr>
          <w:color w:val="000000" w:themeColor="text1"/>
        </w:rPr>
        <w:t xml:space="preserve"> which has massive medical research</w:t>
      </w:r>
      <w:r w:rsidRPr="00D47DAA">
        <w:rPr>
          <w:color w:val="000000" w:themeColor="text1"/>
        </w:rPr>
        <w:t xml:space="preserve">. </w:t>
      </w:r>
      <w:r w:rsidR="00963325" w:rsidRPr="00D47DAA">
        <w:rPr>
          <w:color w:val="000000" w:themeColor="text1"/>
        </w:rPr>
        <w:t xml:space="preserve">This is a good </w:t>
      </w:r>
      <w:r w:rsidR="002A1A03" w:rsidRPr="00D47DAA">
        <w:rPr>
          <w:color w:val="000000" w:themeColor="text1"/>
        </w:rPr>
        <w:t>indication</w:t>
      </w:r>
      <w:r w:rsidR="00963325" w:rsidRPr="00D47DAA">
        <w:rPr>
          <w:color w:val="000000" w:themeColor="text1"/>
        </w:rPr>
        <w:t xml:space="preserve"> of Berkeley’s total scientific firepower. </w:t>
      </w:r>
      <w:r w:rsidR="00B451B5" w:rsidRPr="00D47DAA">
        <w:rPr>
          <w:color w:val="000000" w:themeColor="text1"/>
        </w:rPr>
        <w:t xml:space="preserve">Berkeley did this without a medical school and the associated research in clinical medicine. The nearby medical school </w:t>
      </w:r>
      <w:r w:rsidR="00963325" w:rsidRPr="00D47DAA">
        <w:rPr>
          <w:color w:val="000000" w:themeColor="text1"/>
        </w:rPr>
        <w:t>to Berkeley</w:t>
      </w:r>
      <w:r w:rsidR="00B451B5" w:rsidRPr="00D47DAA">
        <w:rPr>
          <w:color w:val="000000" w:themeColor="text1"/>
        </w:rPr>
        <w:t xml:space="preserve"> is UC San Francisco, </w:t>
      </w:r>
      <w:r w:rsidR="00816D1A" w:rsidRPr="00D47DAA">
        <w:rPr>
          <w:color w:val="000000" w:themeColor="text1"/>
        </w:rPr>
        <w:t>which had</w:t>
      </w:r>
      <w:r w:rsidR="00B451B5" w:rsidRPr="00D47DAA">
        <w:rPr>
          <w:color w:val="000000" w:themeColor="text1"/>
        </w:rPr>
        <w:t xml:space="preserve"> </w:t>
      </w:r>
      <w:r w:rsidR="006C531C" w:rsidRPr="00D47DAA">
        <w:rPr>
          <w:color w:val="000000" w:themeColor="text1"/>
        </w:rPr>
        <w:t>1967</w:t>
      </w:r>
      <w:r w:rsidR="00B451B5" w:rsidRPr="00D47DAA">
        <w:rPr>
          <w:color w:val="000000" w:themeColor="text1"/>
        </w:rPr>
        <w:t xml:space="preserve"> high citation papers</w:t>
      </w:r>
      <w:r w:rsidR="00816D1A" w:rsidRPr="00D47DAA">
        <w:rPr>
          <w:color w:val="000000" w:themeColor="text1"/>
        </w:rPr>
        <w:t xml:space="preserve"> in 201</w:t>
      </w:r>
      <w:r w:rsidR="006C531C" w:rsidRPr="00D47DAA">
        <w:rPr>
          <w:color w:val="000000" w:themeColor="text1"/>
        </w:rPr>
        <w:t>2</w:t>
      </w:r>
      <w:r w:rsidR="00816D1A" w:rsidRPr="00D47DAA">
        <w:rPr>
          <w:color w:val="000000" w:themeColor="text1"/>
        </w:rPr>
        <w:t>-1</w:t>
      </w:r>
      <w:r w:rsidR="006C531C" w:rsidRPr="00D47DAA">
        <w:rPr>
          <w:color w:val="000000" w:themeColor="text1"/>
        </w:rPr>
        <w:t>5</w:t>
      </w:r>
      <w:r w:rsidR="00B451B5" w:rsidRPr="00D47DAA">
        <w:rPr>
          <w:color w:val="000000" w:themeColor="text1"/>
        </w:rPr>
        <w:t xml:space="preserve">. Together Berkeley and San Francisco </w:t>
      </w:r>
      <w:r w:rsidR="00963325" w:rsidRPr="00D47DAA">
        <w:rPr>
          <w:color w:val="000000" w:themeColor="text1"/>
        </w:rPr>
        <w:t>ha</w:t>
      </w:r>
      <w:r w:rsidR="00B451B5" w:rsidRPr="00D47DAA">
        <w:rPr>
          <w:color w:val="000000" w:themeColor="text1"/>
        </w:rPr>
        <w:t xml:space="preserve">d </w:t>
      </w:r>
      <w:r w:rsidR="00280B22" w:rsidRPr="00D47DAA">
        <w:rPr>
          <w:color w:val="000000" w:themeColor="text1"/>
        </w:rPr>
        <w:t>4595</w:t>
      </w:r>
      <w:r w:rsidR="00B451B5" w:rsidRPr="00D47DAA">
        <w:rPr>
          <w:color w:val="000000" w:themeColor="text1"/>
        </w:rPr>
        <w:t xml:space="preserve"> </w:t>
      </w:r>
      <w:r w:rsidR="00816D1A" w:rsidRPr="00D47DAA">
        <w:rPr>
          <w:color w:val="000000" w:themeColor="text1"/>
        </w:rPr>
        <w:t>such</w:t>
      </w:r>
      <w:r w:rsidR="00B451B5" w:rsidRPr="00D47DAA">
        <w:rPr>
          <w:color w:val="000000" w:themeColor="text1"/>
        </w:rPr>
        <w:t xml:space="preserve"> papers, </w:t>
      </w:r>
      <w:r w:rsidR="00280B22" w:rsidRPr="00D47DAA">
        <w:rPr>
          <w:color w:val="000000" w:themeColor="text1"/>
        </w:rPr>
        <w:t>36</w:t>
      </w:r>
      <w:r w:rsidR="00B451B5" w:rsidRPr="00D47DAA">
        <w:rPr>
          <w:color w:val="000000" w:themeColor="text1"/>
        </w:rPr>
        <w:t xml:space="preserve"> per cent more than </w:t>
      </w:r>
      <w:r w:rsidR="00963325" w:rsidRPr="00D47DAA">
        <w:rPr>
          <w:color w:val="000000" w:themeColor="text1"/>
        </w:rPr>
        <w:t xml:space="preserve">local rival Stanford. </w:t>
      </w:r>
      <w:r w:rsidRPr="00D47DAA">
        <w:rPr>
          <w:color w:val="000000" w:themeColor="text1"/>
        </w:rPr>
        <w:t xml:space="preserve">In the Leiden field-specific measures, </w:t>
      </w:r>
      <w:r w:rsidR="00963325" w:rsidRPr="00D47DAA">
        <w:rPr>
          <w:color w:val="000000" w:themeColor="text1"/>
        </w:rPr>
        <w:t>UC Berkeley was first in the world in high citation papers in Physical Sciences and Engineering. UC Davis wa</w:t>
      </w:r>
      <w:r w:rsidR="00203CB1" w:rsidRPr="00D47DAA">
        <w:rPr>
          <w:color w:val="000000" w:themeColor="text1"/>
        </w:rPr>
        <w:t xml:space="preserve">s first in the world in Life and Earth Sciences </w:t>
      </w:r>
      <w:r w:rsidR="00963325" w:rsidRPr="00D47DAA">
        <w:rPr>
          <w:color w:val="000000" w:themeColor="text1"/>
        </w:rPr>
        <w:t xml:space="preserve">with </w:t>
      </w:r>
      <w:r w:rsidR="00203CB1" w:rsidRPr="00D47DAA">
        <w:rPr>
          <w:color w:val="000000" w:themeColor="text1"/>
        </w:rPr>
        <w:t xml:space="preserve">UC Berkeley </w:t>
      </w:r>
      <w:r w:rsidR="00AA4861" w:rsidRPr="00D47DAA">
        <w:rPr>
          <w:color w:val="000000" w:themeColor="text1"/>
        </w:rPr>
        <w:t>fourth</w:t>
      </w:r>
      <w:r w:rsidR="00203CB1" w:rsidRPr="00D47DAA">
        <w:rPr>
          <w:color w:val="000000" w:themeColor="text1"/>
        </w:rPr>
        <w:t xml:space="preserve">. </w:t>
      </w:r>
      <w:r w:rsidRPr="00D47DAA">
        <w:rPr>
          <w:color w:val="000000" w:themeColor="text1"/>
        </w:rPr>
        <w:t xml:space="preserve">UC San Francisco had the </w:t>
      </w:r>
      <w:r w:rsidR="00963325" w:rsidRPr="00D47DAA">
        <w:rPr>
          <w:color w:val="000000" w:themeColor="text1"/>
        </w:rPr>
        <w:t>fourth</w:t>
      </w:r>
      <w:r w:rsidRPr="00D47DAA">
        <w:rPr>
          <w:color w:val="000000" w:themeColor="text1"/>
        </w:rPr>
        <w:t xml:space="preserve"> largest number of high citation papers in </w:t>
      </w:r>
      <w:r w:rsidR="00203CB1" w:rsidRPr="00D47DAA">
        <w:rPr>
          <w:color w:val="000000" w:themeColor="text1"/>
        </w:rPr>
        <w:t>Biom</w:t>
      </w:r>
      <w:r w:rsidRPr="00D47DAA">
        <w:rPr>
          <w:color w:val="000000" w:themeColor="text1"/>
        </w:rPr>
        <w:t xml:space="preserve">edical </w:t>
      </w:r>
      <w:r w:rsidR="00203CB1" w:rsidRPr="00D47DAA">
        <w:rPr>
          <w:color w:val="000000" w:themeColor="text1"/>
        </w:rPr>
        <w:t xml:space="preserve">and Health </w:t>
      </w:r>
      <w:r w:rsidRPr="00D47DAA">
        <w:rPr>
          <w:color w:val="000000" w:themeColor="text1"/>
        </w:rPr>
        <w:t>Sciences</w:t>
      </w:r>
      <w:r w:rsidR="00177828" w:rsidRPr="00D47DAA">
        <w:rPr>
          <w:color w:val="000000" w:themeColor="text1"/>
        </w:rPr>
        <w:t xml:space="preserve"> </w:t>
      </w:r>
      <w:r w:rsidR="00670389" w:rsidRPr="00D47DAA">
        <w:rPr>
          <w:color w:val="000000" w:themeColor="text1"/>
        </w:rPr>
        <w:t>(University of Leiden, 2017)</w:t>
      </w:r>
      <w:r w:rsidR="00963325" w:rsidRPr="00D47DAA">
        <w:rPr>
          <w:color w:val="000000" w:themeColor="text1"/>
        </w:rPr>
        <w:t>.</w:t>
      </w:r>
      <w:r w:rsidRPr="00D47DAA">
        <w:rPr>
          <w:color w:val="000000" w:themeColor="text1"/>
        </w:rPr>
        <w:t xml:space="preserve"> </w:t>
      </w:r>
    </w:p>
    <w:p w14:paraId="51335202" w14:textId="4E7A1079" w:rsidR="00E54559" w:rsidRPr="00D47DAA" w:rsidRDefault="00E54559" w:rsidP="00DF6211">
      <w:pPr>
        <w:ind w:firstLine="454"/>
        <w:rPr>
          <w:color w:val="000000" w:themeColor="text1"/>
        </w:rPr>
      </w:pPr>
      <w:r w:rsidRPr="00D47DAA">
        <w:rPr>
          <w:color w:val="000000" w:themeColor="text1"/>
        </w:rPr>
        <w:t>Despite this stellar achievement, state funding cuts, especially after the 2008-2009 recession, mean that the UC</w:t>
      </w:r>
      <w:r w:rsidR="00403ABA" w:rsidRPr="00D47DAA">
        <w:rPr>
          <w:color w:val="000000" w:themeColor="text1"/>
        </w:rPr>
        <w:t xml:space="preserve"> has become less competitive vis a vis Stanford, Caltech and </w:t>
      </w:r>
      <w:r w:rsidR="00403ABA" w:rsidRPr="00D47DAA">
        <w:rPr>
          <w:color w:val="000000" w:themeColor="text1"/>
        </w:rPr>
        <w:lastRenderedPageBreak/>
        <w:t xml:space="preserve">the University of Southern California </w:t>
      </w:r>
      <w:r w:rsidRPr="00D47DAA">
        <w:rPr>
          <w:color w:val="000000" w:themeColor="text1"/>
        </w:rPr>
        <w:t xml:space="preserve">in competition for </w:t>
      </w:r>
      <w:r w:rsidR="00403ABA" w:rsidRPr="00D47DAA">
        <w:rPr>
          <w:color w:val="000000" w:themeColor="text1"/>
        </w:rPr>
        <w:t>the most sought-after</w:t>
      </w:r>
      <w:r w:rsidRPr="00D47DAA">
        <w:rPr>
          <w:color w:val="000000" w:themeColor="text1"/>
        </w:rPr>
        <w:t xml:space="preserve"> global research talent. UC tuition has been pushed up for the growing number of out-of-state students, helping to keep the in-state price down, but there </w:t>
      </w:r>
      <w:r w:rsidR="00EF48C3" w:rsidRPr="00D47DAA">
        <w:rPr>
          <w:color w:val="000000" w:themeColor="text1"/>
        </w:rPr>
        <w:t>h</w:t>
      </w:r>
      <w:r w:rsidRPr="00D47DAA">
        <w:rPr>
          <w:color w:val="000000" w:themeColor="text1"/>
        </w:rPr>
        <w:t>as been ever more nimble footwork with tuition discounts and student aid</w:t>
      </w:r>
      <w:r w:rsidR="00174EDF" w:rsidRPr="00D47DAA">
        <w:rPr>
          <w:color w:val="000000" w:themeColor="text1"/>
        </w:rPr>
        <w:t xml:space="preserve"> (Douglass, 2013; Wilton, 2014)</w:t>
      </w:r>
      <w:r w:rsidRPr="00D47DAA">
        <w:rPr>
          <w:color w:val="000000" w:themeColor="text1"/>
        </w:rPr>
        <w:t xml:space="preserve">. </w:t>
      </w:r>
    </w:p>
    <w:p w14:paraId="4AEACC90" w14:textId="77777777" w:rsidR="00E00E69" w:rsidRPr="00D47DAA" w:rsidRDefault="00E00E69" w:rsidP="00DF6211">
      <w:pPr>
        <w:rPr>
          <w:color w:val="000000" w:themeColor="text1"/>
        </w:rPr>
      </w:pPr>
    </w:p>
    <w:p w14:paraId="4C47F851" w14:textId="0CC75340" w:rsidR="009A51FF" w:rsidRPr="00D47DAA" w:rsidRDefault="005B429C" w:rsidP="00DF6211">
      <w:pPr>
        <w:rPr>
          <w:b/>
          <w:color w:val="000000" w:themeColor="text1"/>
        </w:rPr>
      </w:pPr>
      <w:r w:rsidRPr="00D47DAA">
        <w:rPr>
          <w:b/>
          <w:iCs/>
          <w:color w:val="000000" w:themeColor="text1"/>
        </w:rPr>
        <w:t>Access</w:t>
      </w:r>
      <w:r w:rsidR="009A51FF" w:rsidRPr="00D47DAA">
        <w:rPr>
          <w:b/>
          <w:color w:val="000000" w:themeColor="text1"/>
        </w:rPr>
        <w:t xml:space="preserve"> </w:t>
      </w:r>
    </w:p>
    <w:p w14:paraId="06F83FB2" w14:textId="77777777" w:rsidR="005B429C" w:rsidRPr="00D47DAA" w:rsidRDefault="005B429C" w:rsidP="00DF6211">
      <w:pPr>
        <w:rPr>
          <w:color w:val="000000" w:themeColor="text1"/>
        </w:rPr>
      </w:pPr>
    </w:p>
    <w:p w14:paraId="07BB56E0" w14:textId="000E1831" w:rsidR="00816D1A" w:rsidRPr="00D47DAA" w:rsidRDefault="00C10581" w:rsidP="00DF6211">
      <w:pPr>
        <w:rPr>
          <w:color w:val="000000" w:themeColor="text1"/>
        </w:rPr>
      </w:pPr>
      <w:r w:rsidRPr="00D47DAA">
        <w:rPr>
          <w:color w:val="000000" w:themeColor="text1"/>
        </w:rPr>
        <w:t xml:space="preserve">Moving </w:t>
      </w:r>
      <w:r w:rsidR="006722B4" w:rsidRPr="00D47DAA">
        <w:rPr>
          <w:color w:val="000000" w:themeColor="text1"/>
        </w:rPr>
        <w:t xml:space="preserve">from the excellence objective </w:t>
      </w:r>
      <w:r w:rsidRPr="00D47DAA">
        <w:rPr>
          <w:color w:val="000000" w:themeColor="text1"/>
        </w:rPr>
        <w:t xml:space="preserve">to the access objective, the picture </w:t>
      </w:r>
      <w:r w:rsidR="00D045EC" w:rsidRPr="00D47DAA">
        <w:rPr>
          <w:color w:val="000000" w:themeColor="text1"/>
        </w:rPr>
        <w:t>i</w:t>
      </w:r>
      <w:r w:rsidR="006722B4" w:rsidRPr="00D47DAA">
        <w:rPr>
          <w:color w:val="000000" w:themeColor="text1"/>
        </w:rPr>
        <w:t>s</w:t>
      </w:r>
      <w:r w:rsidRPr="00D47DAA">
        <w:rPr>
          <w:color w:val="000000" w:themeColor="text1"/>
        </w:rPr>
        <w:t xml:space="preserve"> more mixed. </w:t>
      </w:r>
      <w:r w:rsidR="00816D1A" w:rsidRPr="00D47DAA">
        <w:rPr>
          <w:color w:val="000000" w:themeColor="text1"/>
        </w:rPr>
        <w:t xml:space="preserve">The UC campuses </w:t>
      </w:r>
      <w:r w:rsidR="00EF48C3" w:rsidRPr="00D47DAA">
        <w:rPr>
          <w:color w:val="000000" w:themeColor="text1"/>
        </w:rPr>
        <w:t xml:space="preserve">still </w:t>
      </w:r>
      <w:r w:rsidR="00816D1A" w:rsidRPr="00D47DAA">
        <w:rPr>
          <w:color w:val="000000" w:themeColor="text1"/>
        </w:rPr>
        <w:t>make a good contribution to access. The lower tiers did for the first 25 years of the Master Plan</w:t>
      </w:r>
      <w:r w:rsidR="002A1A03" w:rsidRPr="00D47DAA">
        <w:rPr>
          <w:color w:val="000000" w:themeColor="text1"/>
        </w:rPr>
        <w:t>,</w:t>
      </w:r>
      <w:r w:rsidR="00816D1A" w:rsidRPr="00D47DAA">
        <w:rPr>
          <w:color w:val="000000" w:themeColor="text1"/>
        </w:rPr>
        <w:t xml:space="preserve"> but since then their </w:t>
      </w:r>
      <w:r w:rsidR="002A1A03" w:rsidRPr="00D47DAA">
        <w:rPr>
          <w:color w:val="000000" w:themeColor="text1"/>
        </w:rPr>
        <w:t>contribution</w:t>
      </w:r>
      <w:r w:rsidR="00816D1A" w:rsidRPr="00D47DAA">
        <w:rPr>
          <w:color w:val="000000" w:themeColor="text1"/>
        </w:rPr>
        <w:t xml:space="preserve"> has faltered. </w:t>
      </w:r>
    </w:p>
    <w:p w14:paraId="6943AC26" w14:textId="63E8CCD7" w:rsidR="004E5D6B" w:rsidRPr="00D47DAA" w:rsidRDefault="00816D1A" w:rsidP="00DF6211">
      <w:pPr>
        <w:ind w:firstLine="454"/>
        <w:rPr>
          <w:color w:val="000000" w:themeColor="text1"/>
        </w:rPr>
      </w:pPr>
      <w:r w:rsidRPr="00D47DAA">
        <w:rPr>
          <w:color w:val="000000" w:themeColor="text1"/>
        </w:rPr>
        <w:t>T</w:t>
      </w:r>
      <w:r w:rsidR="008B0FB7" w:rsidRPr="00D47DAA">
        <w:rPr>
          <w:color w:val="000000" w:themeColor="text1"/>
        </w:rPr>
        <w:t>he UC campuses—including Berkeley, Los Angeles and San Diego—take</w:t>
      </w:r>
      <w:r w:rsidR="006722B4" w:rsidRPr="00D47DAA">
        <w:rPr>
          <w:color w:val="000000" w:themeColor="text1"/>
        </w:rPr>
        <w:t xml:space="preserve"> in more students from socio-economically disadvantaged backgrounds than do </w:t>
      </w:r>
      <w:r w:rsidRPr="00D47DAA">
        <w:rPr>
          <w:color w:val="000000" w:themeColor="text1"/>
        </w:rPr>
        <w:t>al</w:t>
      </w:r>
      <w:r w:rsidR="006722B4" w:rsidRPr="00D47DAA">
        <w:rPr>
          <w:color w:val="000000" w:themeColor="text1"/>
        </w:rPr>
        <w:t xml:space="preserve">most </w:t>
      </w:r>
      <w:r w:rsidRPr="00D47DAA">
        <w:rPr>
          <w:color w:val="000000" w:themeColor="text1"/>
        </w:rPr>
        <w:t xml:space="preserve">any other </w:t>
      </w:r>
      <w:r w:rsidR="006722B4" w:rsidRPr="00D47DAA">
        <w:rPr>
          <w:color w:val="000000" w:themeColor="text1"/>
        </w:rPr>
        <w:t>leading research universities</w:t>
      </w:r>
      <w:r w:rsidRPr="00D47DAA">
        <w:rPr>
          <w:color w:val="000000" w:themeColor="text1"/>
        </w:rPr>
        <w:t>, anywhere in the world</w:t>
      </w:r>
      <w:r w:rsidR="002E61C0" w:rsidRPr="00D47DAA">
        <w:rPr>
          <w:color w:val="000000" w:themeColor="text1"/>
        </w:rPr>
        <w:t xml:space="preserve">, </w:t>
      </w:r>
      <w:r w:rsidRPr="00D47DAA">
        <w:rPr>
          <w:color w:val="000000" w:themeColor="text1"/>
        </w:rPr>
        <w:t>far more than Oxford and Cambridge in the UK</w:t>
      </w:r>
      <w:r w:rsidR="002E61C0" w:rsidRPr="00D47DAA">
        <w:rPr>
          <w:color w:val="000000" w:themeColor="text1"/>
        </w:rPr>
        <w:t xml:space="preserve"> (Boliver, 2013). </w:t>
      </w:r>
      <w:r w:rsidR="00875AC9" w:rsidRPr="00D47DAA">
        <w:rPr>
          <w:color w:val="000000" w:themeColor="text1"/>
        </w:rPr>
        <w:t>In total</w:t>
      </w:r>
      <w:r w:rsidR="00372313" w:rsidRPr="00D47DAA">
        <w:rPr>
          <w:color w:val="000000" w:themeColor="text1"/>
        </w:rPr>
        <w:t>,</w:t>
      </w:r>
      <w:r w:rsidR="00875AC9" w:rsidRPr="00D47DAA">
        <w:rPr>
          <w:color w:val="000000" w:themeColor="text1"/>
        </w:rPr>
        <w:t xml:space="preserve"> 42 per cent of all UC students receive federal Pell Grants, allocated to families with incomes of $44,000 a year or less, </w:t>
      </w:r>
      <w:r w:rsidRPr="00D47DAA">
        <w:rPr>
          <w:color w:val="000000" w:themeColor="text1"/>
        </w:rPr>
        <w:t xml:space="preserve">enabling </w:t>
      </w:r>
      <w:r w:rsidR="0086274D" w:rsidRPr="00D47DAA">
        <w:rPr>
          <w:color w:val="000000" w:themeColor="text1"/>
        </w:rPr>
        <w:t xml:space="preserve">these universities to play a great role in facilitating </w:t>
      </w:r>
      <w:r w:rsidR="00875AC9" w:rsidRPr="00D47DAA">
        <w:rPr>
          <w:color w:val="000000" w:themeColor="text1"/>
        </w:rPr>
        <w:t xml:space="preserve">social mobility. </w:t>
      </w:r>
      <w:r w:rsidRPr="00D47DAA">
        <w:rPr>
          <w:color w:val="000000" w:themeColor="text1"/>
        </w:rPr>
        <w:t xml:space="preserve">UC Berkeley and UC Los Angeles together </w:t>
      </w:r>
      <w:proofErr w:type="spellStart"/>
      <w:r w:rsidRPr="00D47DAA">
        <w:rPr>
          <w:color w:val="000000" w:themeColor="text1"/>
        </w:rPr>
        <w:t>enroll</w:t>
      </w:r>
      <w:proofErr w:type="spellEnd"/>
      <w:r w:rsidRPr="00D47DAA">
        <w:rPr>
          <w:color w:val="000000" w:themeColor="text1"/>
        </w:rPr>
        <w:t xml:space="preserve"> more Pell Grant students that the </w:t>
      </w:r>
      <w:r w:rsidR="00AE3B21" w:rsidRPr="00D47DAA">
        <w:rPr>
          <w:color w:val="000000" w:themeColor="text1"/>
        </w:rPr>
        <w:t>top</w:t>
      </w:r>
      <w:r w:rsidRPr="00D47DAA">
        <w:rPr>
          <w:color w:val="000000" w:themeColor="text1"/>
        </w:rPr>
        <w:t xml:space="preserve"> sixteen private universities in the United States</w:t>
      </w:r>
      <w:r w:rsidR="00AE3B21" w:rsidRPr="00D47DAA">
        <w:rPr>
          <w:color w:val="000000" w:themeColor="text1"/>
        </w:rPr>
        <w:t>. In 2014 Berkeley enrolled 9742 students in receipt of PELL grants compared to 10,106 at Cornell, Columbia, Pennsylvania, Harvard, Brown, Yale, Dartmouth and Princeton combined (Wilton, 2014).</w:t>
      </w:r>
      <w:r w:rsidRPr="00D47DAA">
        <w:rPr>
          <w:color w:val="000000" w:themeColor="text1"/>
        </w:rPr>
        <w:t xml:space="preserve"> All student aid in the University of California is</w:t>
      </w:r>
      <w:r w:rsidR="008B0FB7" w:rsidRPr="00D47DAA">
        <w:rPr>
          <w:color w:val="000000" w:themeColor="text1"/>
        </w:rPr>
        <w:t xml:space="preserve"> </w:t>
      </w:r>
      <w:r w:rsidR="00875AC9" w:rsidRPr="00D47DAA">
        <w:rPr>
          <w:color w:val="000000" w:themeColor="text1"/>
        </w:rPr>
        <w:t>needs-based.</w:t>
      </w:r>
      <w:r w:rsidR="00372313" w:rsidRPr="00D47DAA">
        <w:rPr>
          <w:color w:val="000000" w:themeColor="text1"/>
        </w:rPr>
        <w:t xml:space="preserve"> </w:t>
      </w:r>
      <w:r w:rsidRPr="00D47DAA">
        <w:rPr>
          <w:color w:val="000000" w:themeColor="text1"/>
        </w:rPr>
        <w:t xml:space="preserve">Under </w:t>
      </w:r>
      <w:r w:rsidR="00875AC9" w:rsidRPr="00D47DAA">
        <w:rPr>
          <w:color w:val="000000" w:themeColor="text1"/>
        </w:rPr>
        <w:t>Berkeley</w:t>
      </w:r>
      <w:r w:rsidRPr="00D47DAA">
        <w:rPr>
          <w:color w:val="000000" w:themeColor="text1"/>
        </w:rPr>
        <w:t>’s</w:t>
      </w:r>
      <w:r w:rsidR="00875AC9" w:rsidRPr="00D47DAA">
        <w:rPr>
          <w:color w:val="000000" w:themeColor="text1"/>
        </w:rPr>
        <w:t xml:space="preserve"> </w:t>
      </w:r>
      <w:r w:rsidRPr="00D47DAA">
        <w:rPr>
          <w:color w:val="000000" w:themeColor="text1"/>
        </w:rPr>
        <w:t xml:space="preserve">progressive tuition regime, </w:t>
      </w:r>
      <w:r w:rsidR="00875AC9" w:rsidRPr="00D47DAA">
        <w:rPr>
          <w:color w:val="000000" w:themeColor="text1"/>
        </w:rPr>
        <w:t>40 per cent of students pay no tuition</w:t>
      </w:r>
      <w:r w:rsidRPr="00D47DAA">
        <w:rPr>
          <w:color w:val="000000" w:themeColor="text1"/>
        </w:rPr>
        <w:t xml:space="preserve"> and are</w:t>
      </w:r>
      <w:r w:rsidR="00372313" w:rsidRPr="00D47DAA">
        <w:rPr>
          <w:color w:val="000000" w:themeColor="text1"/>
        </w:rPr>
        <w:t xml:space="preserve"> </w:t>
      </w:r>
      <w:r w:rsidR="008B0FB7" w:rsidRPr="00D47DAA">
        <w:rPr>
          <w:color w:val="000000" w:themeColor="text1"/>
        </w:rPr>
        <w:t>financed by tuition from</w:t>
      </w:r>
      <w:r w:rsidR="006A3747" w:rsidRPr="00D47DAA">
        <w:rPr>
          <w:color w:val="000000" w:themeColor="text1"/>
        </w:rPr>
        <w:t xml:space="preserve"> </w:t>
      </w:r>
      <w:r w:rsidR="00372313" w:rsidRPr="00D47DAA">
        <w:rPr>
          <w:color w:val="000000" w:themeColor="text1"/>
        </w:rPr>
        <w:t>higher income families.</w:t>
      </w:r>
      <w:r w:rsidR="00875AC9" w:rsidRPr="00D47DAA">
        <w:rPr>
          <w:color w:val="000000" w:themeColor="text1"/>
        </w:rPr>
        <w:t xml:space="preserve"> </w:t>
      </w:r>
      <w:r w:rsidR="001422BC" w:rsidRPr="00D47DAA">
        <w:rPr>
          <w:color w:val="000000" w:themeColor="text1"/>
        </w:rPr>
        <w:t xml:space="preserve">In all </w:t>
      </w:r>
      <w:r w:rsidR="00541490" w:rsidRPr="00D47DAA">
        <w:rPr>
          <w:color w:val="000000" w:themeColor="text1"/>
        </w:rPr>
        <w:t>65</w:t>
      </w:r>
      <w:r w:rsidR="001422BC" w:rsidRPr="00D47DAA">
        <w:rPr>
          <w:color w:val="000000" w:themeColor="text1"/>
        </w:rPr>
        <w:t xml:space="preserve"> per cent</w:t>
      </w:r>
      <w:r w:rsidR="00541490" w:rsidRPr="00D47DAA">
        <w:rPr>
          <w:color w:val="000000" w:themeColor="text1"/>
        </w:rPr>
        <w:t xml:space="preserve"> of UC Berkeley students receive financial aid</w:t>
      </w:r>
      <w:r w:rsidR="001422BC" w:rsidRPr="00D47DAA">
        <w:rPr>
          <w:color w:val="000000" w:themeColor="text1"/>
        </w:rPr>
        <w:t xml:space="preserve">, and half of </w:t>
      </w:r>
      <w:proofErr w:type="gramStart"/>
      <w:r w:rsidR="001422BC" w:rsidRPr="00D47DAA">
        <w:rPr>
          <w:color w:val="000000" w:themeColor="text1"/>
        </w:rPr>
        <w:t>all of</w:t>
      </w:r>
      <w:proofErr w:type="gramEnd"/>
      <w:r w:rsidR="001422BC" w:rsidRPr="00D47DAA">
        <w:rPr>
          <w:color w:val="000000" w:themeColor="text1"/>
        </w:rPr>
        <w:t xml:space="preserve"> </w:t>
      </w:r>
      <w:r w:rsidR="00AE3B21" w:rsidRPr="00D47DAA">
        <w:rPr>
          <w:color w:val="000000" w:themeColor="text1"/>
        </w:rPr>
        <w:t xml:space="preserve">those </w:t>
      </w:r>
      <w:r w:rsidR="001422BC" w:rsidRPr="00D47DAA">
        <w:rPr>
          <w:color w:val="000000" w:themeColor="text1"/>
        </w:rPr>
        <w:t>students graduate with no debt. In 2013</w:t>
      </w:r>
      <w:r w:rsidR="006871E9" w:rsidRPr="00D47DAA">
        <w:rPr>
          <w:color w:val="000000" w:themeColor="text1"/>
        </w:rPr>
        <w:t>,</w:t>
      </w:r>
      <w:r w:rsidR="001422BC" w:rsidRPr="00D47DAA">
        <w:rPr>
          <w:color w:val="000000" w:themeColor="text1"/>
        </w:rPr>
        <w:t xml:space="preserve"> the average debt of Berkeley graduates of $19,000 was just over two thirds of the national average of $27,000</w:t>
      </w:r>
      <w:r w:rsidR="00AE3B21" w:rsidRPr="00D47DAA">
        <w:rPr>
          <w:color w:val="000000" w:themeColor="text1"/>
        </w:rPr>
        <w:t xml:space="preserve"> (Douglass, 2013, pp. 4-5). </w:t>
      </w:r>
    </w:p>
    <w:p w14:paraId="4DB2CCEA" w14:textId="64148AA1" w:rsidR="00291A62" w:rsidRPr="00D47DAA" w:rsidRDefault="009A51FF" w:rsidP="006871E9">
      <w:pPr>
        <w:ind w:firstLine="454"/>
        <w:rPr>
          <w:color w:val="000000" w:themeColor="text1"/>
        </w:rPr>
      </w:pPr>
      <w:r w:rsidRPr="00D47DAA">
        <w:rPr>
          <w:color w:val="000000" w:themeColor="text1"/>
        </w:rPr>
        <w:t xml:space="preserve">However, the UC </w:t>
      </w:r>
      <w:r w:rsidR="00C55807" w:rsidRPr="00D47DAA">
        <w:rPr>
          <w:color w:val="000000" w:themeColor="text1"/>
        </w:rPr>
        <w:t>enrols</w:t>
      </w:r>
      <w:r w:rsidRPr="00D47DAA">
        <w:rPr>
          <w:color w:val="000000" w:themeColor="text1"/>
        </w:rPr>
        <w:t xml:space="preserve"> in a relatively small minority of the age cohort. It cannot on its own sustain a successful equality of opportunity regime across Californian society. The outcomes from higher education </w:t>
      </w:r>
      <w:proofErr w:type="gramStart"/>
      <w:r w:rsidR="00F03549" w:rsidRPr="00D47DAA">
        <w:rPr>
          <w:color w:val="000000" w:themeColor="text1"/>
        </w:rPr>
        <w:t xml:space="preserve">as a whole </w:t>
      </w:r>
      <w:r w:rsidRPr="00D47DAA">
        <w:rPr>
          <w:color w:val="000000" w:themeColor="text1"/>
        </w:rPr>
        <w:t>have</w:t>
      </w:r>
      <w:proofErr w:type="gramEnd"/>
      <w:r w:rsidRPr="00D47DAA">
        <w:rPr>
          <w:color w:val="000000" w:themeColor="text1"/>
        </w:rPr>
        <w:t xml:space="preserve"> been less favourable. </w:t>
      </w:r>
      <w:r w:rsidR="006871E9" w:rsidRPr="00D47DAA">
        <w:rPr>
          <w:color w:val="000000" w:themeColor="text1"/>
        </w:rPr>
        <w:t>In terms of the principles that shaped the Master Plan, the most significant change was that public higher education in California has lost the capacity to provide for universal access</w:t>
      </w:r>
      <w:r w:rsidR="002C073F" w:rsidRPr="00D47DAA">
        <w:rPr>
          <w:color w:val="000000" w:themeColor="text1"/>
        </w:rPr>
        <w:t>. In addition,</w:t>
      </w:r>
      <w:r w:rsidR="006871E9" w:rsidRPr="00D47DAA">
        <w:rPr>
          <w:color w:val="000000" w:themeColor="text1"/>
        </w:rPr>
        <w:t xml:space="preserve"> it no longer sustains the quality of mass higher education amid expanding participation. </w:t>
      </w:r>
    </w:p>
    <w:p w14:paraId="722A9359" w14:textId="5F6BF90F" w:rsidR="006871E9" w:rsidRPr="00D47DAA" w:rsidRDefault="006871E9" w:rsidP="006871E9">
      <w:pPr>
        <w:ind w:firstLine="454"/>
        <w:rPr>
          <w:color w:val="000000" w:themeColor="text1"/>
        </w:rPr>
      </w:pPr>
      <w:r w:rsidRPr="00D47DAA">
        <w:rPr>
          <w:color w:val="000000" w:themeColor="text1"/>
        </w:rPr>
        <w:t>The community colleges first began to turn away students in bad budget years in the 1980s. Now, in the later 2010s, at least 200,000 potential students each year miss out on a place. CSU enrolment was first reduced by 50,000 in the early 1990s, and after the 2008-2010 recession the CSUs were again unable to accept all eligible students (Douglass, 2013, p. 10; Callan, 2012, p. 71). Worldwide a growing number of national systems provide near universal access to higher education. California created universal access and then lost it. California is no longer the national model for high participation higher education. In 1960 state participation was double the national average. In 2010 California was 43</w:t>
      </w:r>
      <w:r w:rsidRPr="00D47DAA">
        <w:rPr>
          <w:color w:val="000000" w:themeColor="text1"/>
          <w:vertAlign w:val="superscript"/>
        </w:rPr>
        <w:t>rd</w:t>
      </w:r>
      <w:r w:rsidRPr="00D47DAA">
        <w:rPr>
          <w:color w:val="000000" w:themeColor="text1"/>
        </w:rPr>
        <w:t xml:space="preserve"> of the </w:t>
      </w:r>
      <w:r w:rsidR="00346FA9" w:rsidRPr="00D47DAA">
        <w:rPr>
          <w:color w:val="000000" w:themeColor="text1"/>
        </w:rPr>
        <w:t xml:space="preserve">50 American states </w:t>
      </w:r>
      <w:r w:rsidR="00F13E19" w:rsidRPr="00D47DAA">
        <w:rPr>
          <w:color w:val="000000" w:themeColor="text1"/>
        </w:rPr>
        <w:t>in the proportion of 18-24 year</w:t>
      </w:r>
      <w:r w:rsidRPr="00D47DAA">
        <w:rPr>
          <w:color w:val="000000" w:themeColor="text1"/>
        </w:rPr>
        <w:t xml:space="preserve"> olds with Baccalaureate status. </w:t>
      </w:r>
    </w:p>
    <w:p w14:paraId="1DB8A8C3" w14:textId="0B46389E" w:rsidR="0015396F" w:rsidRPr="00D47DAA" w:rsidRDefault="007A1E22" w:rsidP="002270A4">
      <w:pPr>
        <w:ind w:firstLine="454"/>
        <w:rPr>
          <w:color w:val="000000" w:themeColor="text1"/>
        </w:rPr>
      </w:pPr>
      <w:r w:rsidRPr="00D47DAA">
        <w:rPr>
          <w:color w:val="000000" w:themeColor="text1"/>
        </w:rPr>
        <w:t>T</w:t>
      </w:r>
      <w:r w:rsidR="0015396F" w:rsidRPr="00D47DAA">
        <w:rPr>
          <w:color w:val="000000" w:themeColor="text1"/>
        </w:rPr>
        <w:t xml:space="preserve">he transfer function has failed to meet the original expectation that it </w:t>
      </w:r>
      <w:r w:rsidR="00F13E19" w:rsidRPr="00D47DAA">
        <w:rPr>
          <w:color w:val="000000" w:themeColor="text1"/>
        </w:rPr>
        <w:t xml:space="preserve">would </w:t>
      </w:r>
      <w:r w:rsidRPr="00D47DAA">
        <w:rPr>
          <w:color w:val="000000" w:themeColor="text1"/>
        </w:rPr>
        <w:t xml:space="preserve">encourage participation and </w:t>
      </w:r>
      <w:r w:rsidR="00F13E19" w:rsidRPr="00D47DAA">
        <w:rPr>
          <w:color w:val="000000" w:themeColor="text1"/>
        </w:rPr>
        <w:t>sustain equality of opportunity within the</w:t>
      </w:r>
      <w:r w:rsidR="0015396F" w:rsidRPr="00D47DAA">
        <w:rPr>
          <w:color w:val="000000" w:themeColor="text1"/>
        </w:rPr>
        <w:t xml:space="preserve"> ste</w:t>
      </w:r>
      <w:r w:rsidR="00F13E19" w:rsidRPr="00D47DAA">
        <w:rPr>
          <w:color w:val="000000" w:themeColor="text1"/>
        </w:rPr>
        <w:t>e</w:t>
      </w:r>
      <w:r w:rsidR="0015396F" w:rsidRPr="00D47DAA">
        <w:rPr>
          <w:color w:val="000000" w:themeColor="text1"/>
        </w:rPr>
        <w:t>p</w:t>
      </w:r>
      <w:r w:rsidR="00F13E19" w:rsidRPr="00D47DAA">
        <w:rPr>
          <w:color w:val="000000" w:themeColor="text1"/>
        </w:rPr>
        <w:t xml:space="preserve">ly stratified system. </w:t>
      </w:r>
      <w:r w:rsidR="0015396F" w:rsidRPr="00D47DAA">
        <w:rPr>
          <w:color w:val="000000" w:themeColor="text1"/>
        </w:rPr>
        <w:t xml:space="preserve">Community colleges </w:t>
      </w:r>
      <w:r w:rsidR="00F13E19" w:rsidRPr="00D47DAA">
        <w:rPr>
          <w:color w:val="000000" w:themeColor="text1"/>
        </w:rPr>
        <w:t>a</w:t>
      </w:r>
      <w:r w:rsidR="0015396F" w:rsidRPr="00D47DAA">
        <w:rPr>
          <w:color w:val="000000" w:themeColor="text1"/>
        </w:rPr>
        <w:t xml:space="preserve">re pulled between immediate graduate employability and the academic requirements of transfer, which focus on the liberal curriculum (Hansen, 2011, pp. 42-43), but they </w:t>
      </w:r>
      <w:r w:rsidR="00F13E19" w:rsidRPr="00D47DAA">
        <w:rPr>
          <w:color w:val="000000" w:themeColor="text1"/>
        </w:rPr>
        <w:t>a</w:t>
      </w:r>
      <w:r w:rsidR="0015396F" w:rsidRPr="00D47DAA">
        <w:rPr>
          <w:color w:val="000000" w:themeColor="text1"/>
        </w:rPr>
        <w:t xml:space="preserve">re not fully funded to play either role well. The labour market standing of two-year diplomas fell further from the 1960 position and this </w:t>
      </w:r>
      <w:r w:rsidR="002270A4" w:rsidRPr="00D47DAA">
        <w:rPr>
          <w:color w:val="000000" w:themeColor="text1"/>
        </w:rPr>
        <w:t xml:space="preserve">has </w:t>
      </w:r>
      <w:r w:rsidR="0015396F" w:rsidRPr="00D47DAA">
        <w:rPr>
          <w:color w:val="000000" w:themeColor="text1"/>
        </w:rPr>
        <w:t>contribute</w:t>
      </w:r>
      <w:r w:rsidR="002270A4" w:rsidRPr="00D47DAA">
        <w:rPr>
          <w:color w:val="000000" w:themeColor="text1"/>
        </w:rPr>
        <w:t>d</w:t>
      </w:r>
      <w:r w:rsidRPr="00D47DAA">
        <w:rPr>
          <w:color w:val="000000" w:themeColor="text1"/>
        </w:rPr>
        <w:t xml:space="preserve"> to low community college completion,</w:t>
      </w:r>
      <w:r w:rsidR="0015396F" w:rsidRPr="00D47DAA">
        <w:rPr>
          <w:color w:val="000000" w:themeColor="text1"/>
        </w:rPr>
        <w:t xml:space="preserve"> </w:t>
      </w:r>
      <w:r w:rsidRPr="00D47DAA">
        <w:rPr>
          <w:color w:val="000000" w:themeColor="text1"/>
        </w:rPr>
        <w:t>less than 20 per cent</w:t>
      </w:r>
      <w:r w:rsidR="0015396F" w:rsidRPr="00D47DAA">
        <w:rPr>
          <w:color w:val="000000" w:themeColor="text1"/>
        </w:rPr>
        <w:t xml:space="preserve">. </w:t>
      </w:r>
      <w:r w:rsidR="002270A4" w:rsidRPr="00D47DAA">
        <w:rPr>
          <w:color w:val="000000" w:themeColor="text1"/>
        </w:rPr>
        <w:t>At the same time</w:t>
      </w:r>
      <w:r w:rsidR="006068DC" w:rsidRPr="00D47DAA">
        <w:rPr>
          <w:color w:val="000000" w:themeColor="text1"/>
        </w:rPr>
        <w:t>,</w:t>
      </w:r>
      <w:r w:rsidR="002270A4" w:rsidRPr="00D47DAA">
        <w:rPr>
          <w:color w:val="000000" w:themeColor="text1"/>
        </w:rPr>
        <w:t xml:space="preserve"> transfer rates are also disappointing. </w:t>
      </w:r>
      <w:r w:rsidRPr="00D47DAA">
        <w:rPr>
          <w:color w:val="000000" w:themeColor="text1"/>
        </w:rPr>
        <w:t xml:space="preserve">In 2010, 22 per cent of commencing community college students transferred to a four-year degree (Douglass, 2011, p. 22). </w:t>
      </w:r>
      <w:proofErr w:type="gramStart"/>
      <w:r w:rsidR="002270A4" w:rsidRPr="00D47DAA">
        <w:rPr>
          <w:color w:val="000000" w:themeColor="text1"/>
        </w:rPr>
        <w:t>The majority of</w:t>
      </w:r>
      <w:proofErr w:type="gramEnd"/>
      <w:r w:rsidR="002270A4" w:rsidRPr="00D47DAA">
        <w:rPr>
          <w:color w:val="000000" w:themeColor="text1"/>
        </w:rPr>
        <w:t xml:space="preserve"> students neither complete the programme nor transfer upwards. </w:t>
      </w:r>
      <w:r w:rsidR="0015396F" w:rsidRPr="00D47DAA">
        <w:rPr>
          <w:color w:val="000000" w:themeColor="text1"/>
        </w:rPr>
        <w:t xml:space="preserve">Tuition increases </w:t>
      </w:r>
      <w:r w:rsidR="00F13E19" w:rsidRPr="00D47DAA">
        <w:rPr>
          <w:color w:val="000000" w:themeColor="text1"/>
        </w:rPr>
        <w:t>a</w:t>
      </w:r>
      <w:r w:rsidR="0015396F" w:rsidRPr="00D47DAA">
        <w:rPr>
          <w:color w:val="000000" w:themeColor="text1"/>
        </w:rPr>
        <w:t xml:space="preserve">re needed </w:t>
      </w:r>
      <w:r w:rsidR="00F13E19" w:rsidRPr="00D47DAA">
        <w:rPr>
          <w:color w:val="000000" w:themeColor="text1"/>
        </w:rPr>
        <w:t xml:space="preserve">to </w:t>
      </w:r>
      <w:r w:rsidR="00F13E19" w:rsidRPr="00D47DAA">
        <w:rPr>
          <w:color w:val="000000" w:themeColor="text1"/>
        </w:rPr>
        <w:lastRenderedPageBreak/>
        <w:t xml:space="preserve">sustain quality in </w:t>
      </w:r>
      <w:r w:rsidRPr="00D47DAA">
        <w:rPr>
          <w:color w:val="000000" w:themeColor="text1"/>
        </w:rPr>
        <w:t xml:space="preserve">both the </w:t>
      </w:r>
      <w:r w:rsidR="00F13E19" w:rsidRPr="00D47DAA">
        <w:rPr>
          <w:color w:val="000000" w:themeColor="text1"/>
        </w:rPr>
        <w:t xml:space="preserve">public </w:t>
      </w:r>
      <w:r w:rsidRPr="00D47DAA">
        <w:rPr>
          <w:color w:val="000000" w:themeColor="text1"/>
        </w:rPr>
        <w:t xml:space="preserve">community </w:t>
      </w:r>
      <w:r w:rsidR="00F13E19" w:rsidRPr="00D47DAA">
        <w:rPr>
          <w:color w:val="000000" w:themeColor="text1"/>
        </w:rPr>
        <w:t xml:space="preserve">colleges </w:t>
      </w:r>
      <w:r w:rsidRPr="00D47DAA">
        <w:rPr>
          <w:color w:val="000000" w:themeColor="text1"/>
        </w:rPr>
        <w:t>and</w:t>
      </w:r>
      <w:r w:rsidR="0015396F" w:rsidRPr="00D47DAA">
        <w:rPr>
          <w:color w:val="000000" w:themeColor="text1"/>
        </w:rPr>
        <w:t xml:space="preserve"> the Californian State University </w:t>
      </w:r>
      <w:r w:rsidR="00346FA9" w:rsidRPr="00D47DAA">
        <w:rPr>
          <w:color w:val="000000" w:themeColor="text1"/>
        </w:rPr>
        <w:t xml:space="preserve">(CSU) </w:t>
      </w:r>
      <w:r w:rsidR="0015396F" w:rsidRPr="00D47DAA">
        <w:rPr>
          <w:color w:val="000000" w:themeColor="text1"/>
        </w:rPr>
        <w:t>campuses</w:t>
      </w:r>
      <w:r w:rsidRPr="00D47DAA">
        <w:rPr>
          <w:color w:val="000000" w:themeColor="text1"/>
        </w:rPr>
        <w:t xml:space="preserve"> but threaten to reduce enrolments. In the CSU</w:t>
      </w:r>
      <w:r w:rsidR="0015396F" w:rsidRPr="00D47DAA">
        <w:rPr>
          <w:color w:val="000000" w:themeColor="text1"/>
        </w:rPr>
        <w:t xml:space="preserve"> completion rates </w:t>
      </w:r>
      <w:r w:rsidR="002270A4" w:rsidRPr="00D47DAA">
        <w:rPr>
          <w:color w:val="000000" w:themeColor="text1"/>
        </w:rPr>
        <w:t xml:space="preserve">are </w:t>
      </w:r>
      <w:r w:rsidR="0015396F" w:rsidRPr="00D47DAA">
        <w:rPr>
          <w:color w:val="000000" w:themeColor="text1"/>
        </w:rPr>
        <w:t>about 45 per</w:t>
      </w:r>
      <w:r w:rsidR="00F13E19" w:rsidRPr="00D47DAA">
        <w:rPr>
          <w:color w:val="000000" w:themeColor="text1"/>
        </w:rPr>
        <w:t xml:space="preserve"> cent, compared to 90 per cent o</w:t>
      </w:r>
      <w:r w:rsidR="0015396F" w:rsidRPr="00D47DAA">
        <w:rPr>
          <w:color w:val="000000" w:themeColor="text1"/>
        </w:rPr>
        <w:t xml:space="preserve">n the </w:t>
      </w:r>
      <w:r w:rsidR="006068DC" w:rsidRPr="00D47DAA">
        <w:rPr>
          <w:color w:val="000000" w:themeColor="text1"/>
        </w:rPr>
        <w:t>UC</w:t>
      </w:r>
      <w:r w:rsidR="00346FA9" w:rsidRPr="00D47DAA">
        <w:rPr>
          <w:color w:val="000000" w:themeColor="text1"/>
        </w:rPr>
        <w:t xml:space="preserve"> </w:t>
      </w:r>
      <w:r w:rsidR="00F13E19" w:rsidRPr="00D47DAA">
        <w:rPr>
          <w:color w:val="000000" w:themeColor="text1"/>
        </w:rPr>
        <w:t>campuses</w:t>
      </w:r>
      <w:r w:rsidR="0015396F" w:rsidRPr="00D47DAA">
        <w:rPr>
          <w:color w:val="000000" w:themeColor="text1"/>
        </w:rPr>
        <w:t xml:space="preserve"> (</w:t>
      </w:r>
      <w:r w:rsidR="00F13E19" w:rsidRPr="00D47DAA">
        <w:rPr>
          <w:color w:val="000000" w:themeColor="text1"/>
        </w:rPr>
        <w:t xml:space="preserve">Douglass, 2011, </w:t>
      </w:r>
      <w:r w:rsidR="0015396F" w:rsidRPr="00D47DAA">
        <w:rPr>
          <w:color w:val="000000" w:themeColor="text1"/>
        </w:rPr>
        <w:t xml:space="preserve">p. 27). </w:t>
      </w:r>
    </w:p>
    <w:p w14:paraId="1E67A2FB" w14:textId="7BA71E16" w:rsidR="0015396F" w:rsidRPr="00D47DAA" w:rsidRDefault="0015396F" w:rsidP="00F13E19">
      <w:pPr>
        <w:ind w:firstLine="454"/>
        <w:rPr>
          <w:color w:val="000000" w:themeColor="text1"/>
        </w:rPr>
      </w:pPr>
      <w:r w:rsidRPr="00D47DAA">
        <w:rPr>
          <w:color w:val="000000" w:themeColor="text1"/>
        </w:rPr>
        <w:t xml:space="preserve">Equality of opportunity </w:t>
      </w:r>
      <w:r w:rsidR="00F13E19" w:rsidRPr="00D47DAA">
        <w:rPr>
          <w:color w:val="000000" w:themeColor="text1"/>
        </w:rPr>
        <w:t>is</w:t>
      </w:r>
      <w:r w:rsidRPr="00D47DAA">
        <w:rPr>
          <w:color w:val="000000" w:themeColor="text1"/>
        </w:rPr>
        <w:t xml:space="preserve"> </w:t>
      </w:r>
      <w:r w:rsidR="006068DC" w:rsidRPr="00D47DAA">
        <w:rPr>
          <w:color w:val="000000" w:themeColor="text1"/>
        </w:rPr>
        <w:t>also stymied</w:t>
      </w:r>
      <w:r w:rsidRPr="00D47DAA">
        <w:rPr>
          <w:color w:val="000000" w:themeColor="text1"/>
        </w:rPr>
        <w:t xml:space="preserve"> by the skew in participation in favour of the white middle class, in access, retention, graduation and </w:t>
      </w:r>
      <w:r w:rsidR="00E47DF8" w:rsidRPr="00D47DAA">
        <w:rPr>
          <w:color w:val="000000" w:themeColor="text1"/>
        </w:rPr>
        <w:t xml:space="preserve">upward </w:t>
      </w:r>
      <w:r w:rsidRPr="00D47DAA">
        <w:rPr>
          <w:color w:val="000000" w:themeColor="text1"/>
        </w:rPr>
        <w:t>transfer.</w:t>
      </w:r>
      <w:r w:rsidR="00F13E19" w:rsidRPr="00D47DAA">
        <w:rPr>
          <w:color w:val="000000" w:themeColor="text1"/>
        </w:rPr>
        <w:t xml:space="preserve"> </w:t>
      </w:r>
      <w:r w:rsidR="00346FA9" w:rsidRPr="00D47DAA">
        <w:rPr>
          <w:color w:val="000000" w:themeColor="text1"/>
        </w:rPr>
        <w:t xml:space="preserve">Though Latinos were </w:t>
      </w:r>
      <w:r w:rsidR="00E47DF8" w:rsidRPr="00D47DAA">
        <w:rPr>
          <w:color w:val="000000" w:themeColor="text1"/>
        </w:rPr>
        <w:t xml:space="preserve">38 per cent of the population and </w:t>
      </w:r>
      <w:r w:rsidR="00346FA9" w:rsidRPr="00D47DAA">
        <w:rPr>
          <w:color w:val="000000" w:themeColor="text1"/>
        </w:rPr>
        <w:t xml:space="preserve">43 per cent of high school graduates in 2009 they were 28 per cent of students in public higher education, and </w:t>
      </w:r>
      <w:r w:rsidR="00224FCB" w:rsidRPr="00D47DAA">
        <w:rPr>
          <w:color w:val="000000" w:themeColor="text1"/>
        </w:rPr>
        <w:t xml:space="preserve">only </w:t>
      </w:r>
      <w:r w:rsidR="00346FA9" w:rsidRPr="00D47DAA">
        <w:rPr>
          <w:color w:val="000000" w:themeColor="text1"/>
        </w:rPr>
        <w:t>16 per cent in the UC</w:t>
      </w:r>
      <w:r w:rsidR="00DC05B6" w:rsidRPr="00D47DAA">
        <w:rPr>
          <w:color w:val="000000" w:themeColor="text1"/>
        </w:rPr>
        <w:t>. O</w:t>
      </w:r>
      <w:r w:rsidR="00346FA9" w:rsidRPr="00D47DAA">
        <w:rPr>
          <w:color w:val="000000" w:themeColor="text1"/>
        </w:rPr>
        <w:t xml:space="preserve">n the </w:t>
      </w:r>
      <w:r w:rsidR="00DC05B6" w:rsidRPr="00D47DAA">
        <w:rPr>
          <w:color w:val="000000" w:themeColor="text1"/>
        </w:rPr>
        <w:t xml:space="preserve">UC </w:t>
      </w:r>
      <w:proofErr w:type="gramStart"/>
      <w:r w:rsidR="00DC05B6" w:rsidRPr="00D47DAA">
        <w:rPr>
          <w:color w:val="000000" w:themeColor="text1"/>
        </w:rPr>
        <w:t>campuses</w:t>
      </w:r>
      <w:proofErr w:type="gramEnd"/>
      <w:r w:rsidR="00346FA9" w:rsidRPr="00D47DAA">
        <w:rPr>
          <w:color w:val="000000" w:themeColor="text1"/>
        </w:rPr>
        <w:t xml:space="preserve"> the white proportion was 38 per cent</w:t>
      </w:r>
      <w:r w:rsidR="00E47DF8" w:rsidRPr="00D47DAA">
        <w:rPr>
          <w:color w:val="000000" w:themeColor="text1"/>
        </w:rPr>
        <w:t xml:space="preserve"> (compared to a 40 per cent population share)</w:t>
      </w:r>
      <w:r w:rsidR="00346FA9" w:rsidRPr="00D47DAA">
        <w:rPr>
          <w:color w:val="000000" w:themeColor="text1"/>
        </w:rPr>
        <w:t>, the Asian-Pacific a high 33 per cent</w:t>
      </w:r>
      <w:r w:rsidR="00E47DF8" w:rsidRPr="00D47DAA">
        <w:rPr>
          <w:color w:val="000000" w:themeColor="text1"/>
        </w:rPr>
        <w:t xml:space="preserve"> (13 per cent population share)</w:t>
      </w:r>
      <w:r w:rsidR="00346FA9" w:rsidRPr="00D47DAA">
        <w:rPr>
          <w:color w:val="000000" w:themeColor="text1"/>
        </w:rPr>
        <w:t xml:space="preserve">, and the African-American </w:t>
      </w:r>
      <w:r w:rsidR="00E47DF8" w:rsidRPr="00D47DAA">
        <w:rPr>
          <w:color w:val="000000" w:themeColor="text1"/>
        </w:rPr>
        <w:t xml:space="preserve">share </w:t>
      </w:r>
      <w:r w:rsidR="00346FA9" w:rsidRPr="00D47DAA">
        <w:rPr>
          <w:color w:val="000000" w:themeColor="text1"/>
        </w:rPr>
        <w:t>4 per cent</w:t>
      </w:r>
      <w:r w:rsidR="00E47DF8" w:rsidRPr="00D47DAA">
        <w:rPr>
          <w:color w:val="000000" w:themeColor="text1"/>
        </w:rPr>
        <w:t xml:space="preserve"> (7 per cent)</w:t>
      </w:r>
      <w:r w:rsidR="00346FA9" w:rsidRPr="00D47DAA">
        <w:rPr>
          <w:color w:val="000000" w:themeColor="text1"/>
        </w:rPr>
        <w:t xml:space="preserve">. The ethnic distribution in the CSU and community colleges was closer to the population averages (Callan, 2012, pp. 74-75). Rather than the transfer function compensating for </w:t>
      </w:r>
      <w:r w:rsidR="00224FCB" w:rsidRPr="00D47DAA">
        <w:rPr>
          <w:color w:val="000000" w:themeColor="text1"/>
        </w:rPr>
        <w:t xml:space="preserve">these </w:t>
      </w:r>
      <w:r w:rsidR="00732A33" w:rsidRPr="00D47DAA">
        <w:rPr>
          <w:color w:val="000000" w:themeColor="text1"/>
        </w:rPr>
        <w:t>ethnic</w:t>
      </w:r>
      <w:r w:rsidR="00346FA9" w:rsidRPr="00D47DAA">
        <w:rPr>
          <w:color w:val="000000" w:themeColor="text1"/>
        </w:rPr>
        <w:t xml:space="preserve"> inequalities, it worsens them. C</w:t>
      </w:r>
      <w:r w:rsidRPr="00D47DAA">
        <w:rPr>
          <w:color w:val="000000" w:themeColor="text1"/>
        </w:rPr>
        <w:t xml:space="preserve">ommunity colleges </w:t>
      </w:r>
      <w:r w:rsidR="00F13E19" w:rsidRPr="00D47DAA">
        <w:rPr>
          <w:color w:val="000000" w:themeColor="text1"/>
        </w:rPr>
        <w:t xml:space="preserve">in middle class districts </w:t>
      </w:r>
      <w:r w:rsidR="00DC05B6" w:rsidRPr="00D47DAA">
        <w:rPr>
          <w:color w:val="000000" w:themeColor="text1"/>
        </w:rPr>
        <w:t>figure strongly in</w:t>
      </w:r>
      <w:r w:rsidRPr="00D47DAA">
        <w:rPr>
          <w:color w:val="000000" w:themeColor="text1"/>
        </w:rPr>
        <w:t xml:space="preserve"> access to Berkeley and other UC</w:t>
      </w:r>
      <w:r w:rsidR="00DC05B6" w:rsidRPr="00D47DAA">
        <w:rPr>
          <w:color w:val="000000" w:themeColor="text1"/>
        </w:rPr>
        <w:t>s.</w:t>
      </w:r>
      <w:r w:rsidRPr="00D47DAA">
        <w:rPr>
          <w:color w:val="000000" w:themeColor="text1"/>
        </w:rPr>
        <w:t xml:space="preserve"> For example, in 1995, upward transfer rates from community colleges to the CSU</w:t>
      </w:r>
      <w:r w:rsidR="00DC05B6" w:rsidRPr="00D47DAA">
        <w:rPr>
          <w:color w:val="000000" w:themeColor="text1"/>
        </w:rPr>
        <w:t>s</w:t>
      </w:r>
      <w:r w:rsidRPr="00D47DAA">
        <w:rPr>
          <w:color w:val="000000" w:themeColor="text1"/>
        </w:rPr>
        <w:t xml:space="preserve"> and UC</w:t>
      </w:r>
      <w:r w:rsidR="00DC05B6" w:rsidRPr="00D47DAA">
        <w:rPr>
          <w:color w:val="000000" w:themeColor="text1"/>
        </w:rPr>
        <w:t>s</w:t>
      </w:r>
      <w:r w:rsidRPr="00D47DAA">
        <w:rPr>
          <w:color w:val="000000" w:themeColor="text1"/>
        </w:rPr>
        <w:t xml:space="preserve"> ranged from 8 per cent in Southern California to 50 per cent in </w:t>
      </w:r>
      <w:r w:rsidR="00F13E19" w:rsidRPr="00D47DAA">
        <w:rPr>
          <w:color w:val="000000" w:themeColor="text1"/>
        </w:rPr>
        <w:t>the San Francisco Bay Area</w:t>
      </w:r>
      <w:r w:rsidRPr="00D47DAA">
        <w:rPr>
          <w:color w:val="000000" w:themeColor="text1"/>
        </w:rPr>
        <w:t>. T</w:t>
      </w:r>
      <w:r w:rsidR="00224FCB" w:rsidRPr="00D47DAA">
        <w:rPr>
          <w:color w:val="000000" w:themeColor="text1"/>
        </w:rPr>
        <w:t>he t</w:t>
      </w:r>
      <w:r w:rsidRPr="00D47DAA">
        <w:rPr>
          <w:color w:val="000000" w:themeColor="text1"/>
        </w:rPr>
        <w:t xml:space="preserve">ransfer </w:t>
      </w:r>
      <w:r w:rsidR="00224FCB" w:rsidRPr="00D47DAA">
        <w:rPr>
          <w:color w:val="000000" w:themeColor="text1"/>
        </w:rPr>
        <w:t xml:space="preserve">rate </w:t>
      </w:r>
      <w:r w:rsidRPr="00D47DAA">
        <w:rPr>
          <w:color w:val="000000" w:themeColor="text1"/>
        </w:rPr>
        <w:t>is much lower among African-American and Hispanic students than white or Asian students (Rothblatt, 2007, p. 268).</w:t>
      </w:r>
    </w:p>
    <w:p w14:paraId="08B3E4D3" w14:textId="77777777" w:rsidR="00E47DF8" w:rsidRPr="00D47DAA" w:rsidRDefault="00E47DF8" w:rsidP="00230248">
      <w:pPr>
        <w:rPr>
          <w:color w:val="000000" w:themeColor="text1"/>
        </w:rPr>
      </w:pPr>
    </w:p>
    <w:p w14:paraId="3F8923FB" w14:textId="77777777" w:rsidR="00230248" w:rsidRPr="00D47DAA" w:rsidRDefault="00230248" w:rsidP="00230248">
      <w:pPr>
        <w:rPr>
          <w:color w:val="000000" w:themeColor="text1"/>
        </w:rPr>
      </w:pPr>
    </w:p>
    <w:p w14:paraId="3DC64C0D" w14:textId="14D16129" w:rsidR="00753A99" w:rsidRPr="00D47DAA" w:rsidRDefault="00753A99" w:rsidP="006871E9">
      <w:pPr>
        <w:rPr>
          <w:b/>
          <w:color w:val="000000" w:themeColor="text1"/>
          <w:sz w:val="28"/>
          <w:szCs w:val="28"/>
        </w:rPr>
      </w:pPr>
      <w:r w:rsidRPr="00D47DAA">
        <w:rPr>
          <w:b/>
          <w:color w:val="000000" w:themeColor="text1"/>
          <w:sz w:val="28"/>
          <w:szCs w:val="28"/>
        </w:rPr>
        <w:t xml:space="preserve">Internal </w:t>
      </w:r>
      <w:r w:rsidR="00910279" w:rsidRPr="00D47DAA">
        <w:rPr>
          <w:b/>
          <w:color w:val="000000" w:themeColor="text1"/>
          <w:sz w:val="28"/>
          <w:szCs w:val="28"/>
        </w:rPr>
        <w:t>and</w:t>
      </w:r>
      <w:r w:rsidR="00041688" w:rsidRPr="00D47DAA">
        <w:rPr>
          <w:b/>
          <w:color w:val="000000" w:themeColor="text1"/>
          <w:sz w:val="28"/>
          <w:szCs w:val="28"/>
        </w:rPr>
        <w:t xml:space="preserve"> </w:t>
      </w:r>
      <w:r w:rsidRPr="00D47DAA">
        <w:rPr>
          <w:b/>
          <w:color w:val="000000" w:themeColor="text1"/>
          <w:sz w:val="28"/>
          <w:szCs w:val="28"/>
        </w:rPr>
        <w:t xml:space="preserve">external </w:t>
      </w:r>
      <w:r w:rsidR="00230248" w:rsidRPr="00D47DAA">
        <w:rPr>
          <w:b/>
          <w:color w:val="000000" w:themeColor="text1"/>
          <w:sz w:val="28"/>
          <w:szCs w:val="28"/>
        </w:rPr>
        <w:t>problem</w:t>
      </w:r>
      <w:r w:rsidR="00041688" w:rsidRPr="00D47DAA">
        <w:rPr>
          <w:b/>
          <w:color w:val="000000" w:themeColor="text1"/>
          <w:sz w:val="28"/>
          <w:szCs w:val="28"/>
        </w:rPr>
        <w:t>s</w:t>
      </w:r>
    </w:p>
    <w:p w14:paraId="2E90C958" w14:textId="77777777" w:rsidR="006871E9" w:rsidRPr="00D47DAA" w:rsidRDefault="006871E9" w:rsidP="006871E9">
      <w:pPr>
        <w:rPr>
          <w:color w:val="000000" w:themeColor="text1"/>
        </w:rPr>
      </w:pPr>
    </w:p>
    <w:p w14:paraId="159D8B44" w14:textId="7AE0A15C" w:rsidR="00041688" w:rsidRPr="00D47DAA" w:rsidRDefault="00041688" w:rsidP="00041688">
      <w:pPr>
        <w:rPr>
          <w:color w:val="000000" w:themeColor="text1"/>
        </w:rPr>
      </w:pPr>
      <w:r w:rsidRPr="00D47DAA">
        <w:rPr>
          <w:color w:val="000000" w:themeColor="text1"/>
        </w:rPr>
        <w:t>Internal and external factors conspired to bring the Master Plan undone.</w:t>
      </w:r>
    </w:p>
    <w:p w14:paraId="248922FD" w14:textId="5920C6DF" w:rsidR="00E61DF9" w:rsidRPr="00D47DAA" w:rsidRDefault="00910279" w:rsidP="00041688">
      <w:pPr>
        <w:ind w:firstLine="454"/>
        <w:rPr>
          <w:color w:val="000000" w:themeColor="text1"/>
        </w:rPr>
      </w:pPr>
      <w:r w:rsidRPr="00D47DAA">
        <w:rPr>
          <w:color w:val="000000" w:themeColor="text1"/>
        </w:rPr>
        <w:t>The internal tensions in the Master Plan were structured into it by the steepness of the tiers and the Master Plan’s inability to tweak the division of labour between t</w:t>
      </w:r>
      <w:r w:rsidR="00041688" w:rsidRPr="00D47DAA">
        <w:rPr>
          <w:color w:val="000000" w:themeColor="text1"/>
        </w:rPr>
        <w:t>he</w:t>
      </w:r>
      <w:r w:rsidRPr="00D47DAA">
        <w:rPr>
          <w:color w:val="000000" w:themeColor="text1"/>
        </w:rPr>
        <w:t>m when the circumstances changed.</w:t>
      </w:r>
      <w:r w:rsidR="00041688" w:rsidRPr="00D47DAA">
        <w:rPr>
          <w:color w:val="000000" w:themeColor="text1"/>
        </w:rPr>
        <w:t xml:space="preserve"> </w:t>
      </w:r>
      <w:r w:rsidRPr="00D47DAA">
        <w:rPr>
          <w:color w:val="000000" w:themeColor="text1"/>
        </w:rPr>
        <w:t xml:space="preserve">The </w:t>
      </w:r>
      <w:r w:rsidR="00041688" w:rsidRPr="00D47DAA">
        <w:rPr>
          <w:color w:val="000000" w:themeColor="text1"/>
        </w:rPr>
        <w:t xml:space="preserve">Plan </w:t>
      </w:r>
      <w:r w:rsidR="00C778E9" w:rsidRPr="00D47DAA">
        <w:rPr>
          <w:color w:val="000000" w:themeColor="text1"/>
        </w:rPr>
        <w:t xml:space="preserve">under-estimated </w:t>
      </w:r>
      <w:r w:rsidRPr="00D47DAA">
        <w:rPr>
          <w:color w:val="000000" w:themeColor="text1"/>
        </w:rPr>
        <w:t>future growth</w:t>
      </w:r>
      <w:r w:rsidR="00C778E9" w:rsidRPr="00D47DAA">
        <w:rPr>
          <w:color w:val="000000" w:themeColor="text1"/>
        </w:rPr>
        <w:t xml:space="preserve"> and </w:t>
      </w:r>
      <w:r w:rsidR="00F03549" w:rsidRPr="00D47DAA">
        <w:rPr>
          <w:color w:val="000000" w:themeColor="text1"/>
        </w:rPr>
        <w:t>the</w:t>
      </w:r>
      <w:r w:rsidR="00C778E9" w:rsidRPr="00D47DAA">
        <w:rPr>
          <w:color w:val="000000" w:themeColor="text1"/>
        </w:rPr>
        <w:t xml:space="preserve"> effect</w:t>
      </w:r>
      <w:r w:rsidR="00F03549" w:rsidRPr="00D47DAA">
        <w:rPr>
          <w:color w:val="000000" w:themeColor="text1"/>
        </w:rPr>
        <w:t>s of growth</w:t>
      </w:r>
      <w:r w:rsidR="00C778E9" w:rsidRPr="00D47DAA">
        <w:rPr>
          <w:color w:val="000000" w:themeColor="text1"/>
        </w:rPr>
        <w:t xml:space="preserve"> on the balance between </w:t>
      </w:r>
      <w:r w:rsidR="00041688" w:rsidRPr="00D47DAA">
        <w:rPr>
          <w:color w:val="000000" w:themeColor="text1"/>
        </w:rPr>
        <w:t xml:space="preserve">the </w:t>
      </w:r>
      <w:r w:rsidR="00C778E9" w:rsidRPr="00D47DAA">
        <w:rPr>
          <w:color w:val="000000" w:themeColor="text1"/>
        </w:rPr>
        <w:t xml:space="preserve">tiers. </w:t>
      </w:r>
      <w:r w:rsidR="000D562B" w:rsidRPr="00D47DAA">
        <w:rPr>
          <w:color w:val="000000" w:themeColor="text1"/>
        </w:rPr>
        <w:t>A</w:t>
      </w:r>
      <w:r w:rsidR="00E61DF9" w:rsidRPr="00D47DAA">
        <w:rPr>
          <w:color w:val="000000" w:themeColor="text1"/>
        </w:rPr>
        <w:t xml:space="preserve">fter </w:t>
      </w:r>
      <w:r w:rsidR="00275043" w:rsidRPr="00D47DAA">
        <w:rPr>
          <w:color w:val="000000" w:themeColor="text1"/>
        </w:rPr>
        <w:t>1960</w:t>
      </w:r>
      <w:r w:rsidRPr="00D47DAA">
        <w:rPr>
          <w:color w:val="000000" w:themeColor="text1"/>
        </w:rPr>
        <w:t>,</w:t>
      </w:r>
      <w:r w:rsidR="00275043" w:rsidRPr="00D47DAA">
        <w:rPr>
          <w:color w:val="000000" w:themeColor="text1"/>
        </w:rPr>
        <w:t xml:space="preserve"> </w:t>
      </w:r>
      <w:r w:rsidRPr="00D47DAA">
        <w:rPr>
          <w:color w:val="000000" w:themeColor="text1"/>
        </w:rPr>
        <w:t xml:space="preserve">not only did </w:t>
      </w:r>
      <w:r w:rsidR="000D562B" w:rsidRPr="00D47DAA">
        <w:rPr>
          <w:color w:val="000000" w:themeColor="text1"/>
        </w:rPr>
        <w:t>the</w:t>
      </w:r>
      <w:r w:rsidR="00E61DF9" w:rsidRPr="00D47DAA">
        <w:rPr>
          <w:color w:val="000000" w:themeColor="text1"/>
        </w:rPr>
        <w:t xml:space="preserve"> California</w:t>
      </w:r>
      <w:r w:rsidR="000D562B" w:rsidRPr="00D47DAA">
        <w:rPr>
          <w:color w:val="000000" w:themeColor="text1"/>
        </w:rPr>
        <w:t>n</w:t>
      </w:r>
      <w:r w:rsidR="00C778E9" w:rsidRPr="00D47DAA">
        <w:rPr>
          <w:color w:val="000000" w:themeColor="text1"/>
        </w:rPr>
        <w:t xml:space="preserve"> population</w:t>
      </w:r>
      <w:r w:rsidR="00E61DF9" w:rsidRPr="00D47DAA">
        <w:rPr>
          <w:color w:val="000000" w:themeColor="text1"/>
        </w:rPr>
        <w:t xml:space="preserve"> </w:t>
      </w:r>
      <w:r w:rsidRPr="00D47DAA">
        <w:rPr>
          <w:color w:val="000000" w:themeColor="text1"/>
        </w:rPr>
        <w:t>gro</w:t>
      </w:r>
      <w:r w:rsidR="000D562B" w:rsidRPr="00D47DAA">
        <w:rPr>
          <w:color w:val="000000" w:themeColor="text1"/>
        </w:rPr>
        <w:t>w more rapidly</w:t>
      </w:r>
      <w:r w:rsidR="00E61DF9" w:rsidRPr="00D47DAA">
        <w:rPr>
          <w:color w:val="000000" w:themeColor="text1"/>
        </w:rPr>
        <w:t xml:space="preserve"> </w:t>
      </w:r>
      <w:r w:rsidR="000D562B" w:rsidRPr="00D47DAA">
        <w:rPr>
          <w:color w:val="000000" w:themeColor="text1"/>
        </w:rPr>
        <w:t xml:space="preserve">than </w:t>
      </w:r>
      <w:r w:rsidR="00A27BD8" w:rsidRPr="00D47DAA">
        <w:rPr>
          <w:color w:val="000000" w:themeColor="text1"/>
        </w:rPr>
        <w:t>predicted</w:t>
      </w:r>
      <w:r w:rsidRPr="00D47DAA">
        <w:rPr>
          <w:color w:val="000000" w:themeColor="text1"/>
        </w:rPr>
        <w:t xml:space="preserve">, </w:t>
      </w:r>
      <w:r w:rsidR="00C778E9" w:rsidRPr="00D47DAA">
        <w:rPr>
          <w:color w:val="000000" w:themeColor="text1"/>
        </w:rPr>
        <w:t xml:space="preserve">social </w:t>
      </w:r>
      <w:r w:rsidR="002A1A03" w:rsidRPr="00D47DAA">
        <w:rPr>
          <w:color w:val="000000" w:themeColor="text1"/>
        </w:rPr>
        <w:t xml:space="preserve">demand </w:t>
      </w:r>
      <w:r w:rsidR="00C778E9" w:rsidRPr="00D47DAA">
        <w:rPr>
          <w:color w:val="000000" w:themeColor="text1"/>
        </w:rPr>
        <w:t xml:space="preserve">for higher education </w:t>
      </w:r>
      <w:r w:rsidR="002A1A03" w:rsidRPr="00D47DAA">
        <w:rPr>
          <w:color w:val="000000" w:themeColor="text1"/>
        </w:rPr>
        <w:t>outstripped demographic growt</w:t>
      </w:r>
      <w:r w:rsidR="00C778E9" w:rsidRPr="00D47DAA">
        <w:rPr>
          <w:color w:val="000000" w:themeColor="text1"/>
        </w:rPr>
        <w:t>h</w:t>
      </w:r>
      <w:r w:rsidRPr="00D47DAA">
        <w:rPr>
          <w:color w:val="000000" w:themeColor="text1"/>
        </w:rPr>
        <w:t>, no doubt partly because t</w:t>
      </w:r>
      <w:r w:rsidR="002A1A03" w:rsidRPr="00D47DAA">
        <w:rPr>
          <w:color w:val="000000" w:themeColor="text1"/>
        </w:rPr>
        <w:t xml:space="preserve">he Plan itself lifted aspirations. </w:t>
      </w:r>
      <w:r w:rsidR="00C778E9" w:rsidRPr="00D47DAA">
        <w:rPr>
          <w:color w:val="000000" w:themeColor="text1"/>
        </w:rPr>
        <w:t>However, t</w:t>
      </w:r>
      <w:r w:rsidR="00061809" w:rsidRPr="00D47DAA">
        <w:rPr>
          <w:color w:val="000000" w:themeColor="text1"/>
        </w:rPr>
        <w:t xml:space="preserve">he scope </w:t>
      </w:r>
      <w:r w:rsidRPr="00D47DAA">
        <w:rPr>
          <w:color w:val="000000" w:themeColor="text1"/>
        </w:rPr>
        <w:t>to grow</w:t>
      </w:r>
      <w:r w:rsidR="00061809" w:rsidRPr="00D47DAA">
        <w:rPr>
          <w:color w:val="000000" w:themeColor="text1"/>
        </w:rPr>
        <w:t xml:space="preserve"> </w:t>
      </w:r>
      <w:r w:rsidR="00C778E9" w:rsidRPr="00D47DAA">
        <w:rPr>
          <w:color w:val="000000" w:themeColor="text1"/>
        </w:rPr>
        <w:t xml:space="preserve">egalitarian access </w:t>
      </w:r>
      <w:r w:rsidRPr="00D47DAA">
        <w:rPr>
          <w:color w:val="000000" w:themeColor="text1"/>
        </w:rPr>
        <w:t>rest</w:t>
      </w:r>
      <w:r w:rsidR="00061809" w:rsidRPr="00D47DAA">
        <w:rPr>
          <w:color w:val="000000" w:themeColor="text1"/>
        </w:rPr>
        <w:t xml:space="preserve">ed on </w:t>
      </w:r>
      <w:r w:rsidRPr="00D47DAA">
        <w:rPr>
          <w:color w:val="000000" w:themeColor="text1"/>
        </w:rPr>
        <w:t xml:space="preserve">several simultaneous factors: </w:t>
      </w:r>
      <w:r w:rsidR="00061809" w:rsidRPr="00D47DAA">
        <w:rPr>
          <w:color w:val="000000" w:themeColor="text1"/>
        </w:rPr>
        <w:t xml:space="preserve">the capacity of the schools to bring students from all Californian communities and social groups to the starting gate for </w:t>
      </w:r>
      <w:r w:rsidR="00B76BDA" w:rsidRPr="00D47DAA">
        <w:rPr>
          <w:color w:val="000000" w:themeColor="text1"/>
        </w:rPr>
        <w:t>higher</w:t>
      </w:r>
      <w:r w:rsidR="00061809" w:rsidRPr="00D47DAA">
        <w:rPr>
          <w:color w:val="000000" w:themeColor="text1"/>
        </w:rPr>
        <w:t xml:space="preserve"> education, the capacity of community colleges to bring students through to successful completion, the scope for upward transfer from the community colleges through to the CSU and the UC, and a proportional expansion of the UC and CSU in line with the growth in the bottom tier sector, the community colleges</w:t>
      </w:r>
      <w:r w:rsidRPr="00D47DAA">
        <w:rPr>
          <w:color w:val="000000" w:themeColor="text1"/>
        </w:rPr>
        <w:t>. And</w:t>
      </w:r>
      <w:r w:rsidR="00061809" w:rsidRPr="00D47DAA">
        <w:rPr>
          <w:color w:val="000000" w:themeColor="text1"/>
        </w:rPr>
        <w:t xml:space="preserve"> each of these developments depended on </w:t>
      </w:r>
      <w:r w:rsidR="0017046A" w:rsidRPr="00D47DAA">
        <w:rPr>
          <w:color w:val="000000" w:themeColor="text1"/>
        </w:rPr>
        <w:t xml:space="preserve">the maintenance of </w:t>
      </w:r>
      <w:r w:rsidR="00061809" w:rsidRPr="00D47DAA">
        <w:rPr>
          <w:color w:val="000000" w:themeColor="text1"/>
        </w:rPr>
        <w:t xml:space="preserve">public resources, and </w:t>
      </w:r>
      <w:r w:rsidR="00B76BDA" w:rsidRPr="00D47DAA">
        <w:rPr>
          <w:color w:val="000000" w:themeColor="text1"/>
        </w:rPr>
        <w:t xml:space="preserve">continued no or </w:t>
      </w:r>
      <w:r w:rsidR="00061809" w:rsidRPr="00D47DAA">
        <w:rPr>
          <w:color w:val="000000" w:themeColor="text1"/>
        </w:rPr>
        <w:t>low tuition, in schooling and in three tiers of higher education</w:t>
      </w:r>
      <w:r w:rsidR="0017046A" w:rsidRPr="00D47DAA">
        <w:rPr>
          <w:color w:val="000000" w:themeColor="text1"/>
        </w:rPr>
        <w:t xml:space="preserve">. </w:t>
      </w:r>
      <w:r w:rsidRPr="00D47DAA">
        <w:rPr>
          <w:color w:val="000000" w:themeColor="text1"/>
        </w:rPr>
        <w:t>In other words</w:t>
      </w:r>
      <w:r w:rsidR="009D551F" w:rsidRPr="00D47DAA">
        <w:rPr>
          <w:color w:val="000000" w:themeColor="text1"/>
        </w:rPr>
        <w:t>,</w:t>
      </w:r>
      <w:r w:rsidR="002A1A03" w:rsidRPr="00D47DAA">
        <w:rPr>
          <w:color w:val="000000" w:themeColor="text1"/>
        </w:rPr>
        <w:t xml:space="preserve"> a</w:t>
      </w:r>
      <w:r w:rsidR="0017046A" w:rsidRPr="00D47DAA">
        <w:rPr>
          <w:color w:val="000000" w:themeColor="text1"/>
        </w:rPr>
        <w:t xml:space="preserve"> primary difficulty</w:t>
      </w:r>
      <w:r w:rsidR="002A1A03" w:rsidRPr="00D47DAA">
        <w:rPr>
          <w:color w:val="000000" w:themeColor="text1"/>
        </w:rPr>
        <w:t xml:space="preserve"> </w:t>
      </w:r>
      <w:r w:rsidR="0017046A" w:rsidRPr="00D47DAA">
        <w:rPr>
          <w:color w:val="000000" w:themeColor="text1"/>
        </w:rPr>
        <w:t>was that t</w:t>
      </w:r>
      <w:r w:rsidR="00B76BDA" w:rsidRPr="00D47DAA">
        <w:rPr>
          <w:color w:val="000000" w:themeColor="text1"/>
        </w:rPr>
        <w:t xml:space="preserve">he resource needs of </w:t>
      </w:r>
      <w:r w:rsidR="0017046A" w:rsidRPr="00D47DAA">
        <w:rPr>
          <w:color w:val="000000" w:themeColor="text1"/>
        </w:rPr>
        <w:t>the</w:t>
      </w:r>
      <w:r w:rsidR="00B76BDA" w:rsidRPr="00D47DAA">
        <w:rPr>
          <w:color w:val="000000" w:themeColor="text1"/>
        </w:rPr>
        <w:t xml:space="preserve"> expand</w:t>
      </w:r>
      <w:r w:rsidR="0017046A" w:rsidRPr="00D47DAA">
        <w:rPr>
          <w:color w:val="000000" w:themeColor="text1"/>
        </w:rPr>
        <w:t>ing</w:t>
      </w:r>
      <w:r w:rsidR="00B76BDA" w:rsidRPr="00D47DAA">
        <w:rPr>
          <w:color w:val="000000" w:themeColor="text1"/>
        </w:rPr>
        <w:t xml:space="preserve"> system </w:t>
      </w:r>
      <w:r w:rsidR="002A1A03" w:rsidRPr="00D47DAA">
        <w:rPr>
          <w:color w:val="000000" w:themeColor="text1"/>
        </w:rPr>
        <w:t>were</w:t>
      </w:r>
      <w:r w:rsidR="0017046A" w:rsidRPr="00D47DAA">
        <w:rPr>
          <w:color w:val="000000" w:themeColor="text1"/>
        </w:rPr>
        <w:t xml:space="preserve"> </w:t>
      </w:r>
      <w:r w:rsidR="00B76BDA" w:rsidRPr="00D47DAA">
        <w:rPr>
          <w:color w:val="000000" w:themeColor="text1"/>
        </w:rPr>
        <w:t>greater than envisioned in 1960</w:t>
      </w:r>
      <w:r w:rsidR="002A1A03" w:rsidRPr="00D47DAA">
        <w:rPr>
          <w:color w:val="000000" w:themeColor="text1"/>
        </w:rPr>
        <w:t>, especially after 1980</w:t>
      </w:r>
      <w:r w:rsidR="00B76BDA" w:rsidRPr="00D47DAA">
        <w:rPr>
          <w:color w:val="000000" w:themeColor="text1"/>
        </w:rPr>
        <w:t>.</w:t>
      </w:r>
      <w:r w:rsidR="00061809" w:rsidRPr="00D47DAA">
        <w:rPr>
          <w:color w:val="000000" w:themeColor="text1"/>
        </w:rPr>
        <w:t xml:space="preserve"> </w:t>
      </w:r>
      <w:r w:rsidR="00F03549" w:rsidRPr="00D47DAA">
        <w:rPr>
          <w:color w:val="000000" w:themeColor="text1"/>
        </w:rPr>
        <w:t xml:space="preserve">This </w:t>
      </w:r>
      <w:r w:rsidRPr="00D47DAA">
        <w:rPr>
          <w:color w:val="000000" w:themeColor="text1"/>
        </w:rPr>
        <w:t>not only meant th</w:t>
      </w:r>
      <w:r w:rsidR="009D551F" w:rsidRPr="00D47DAA">
        <w:rPr>
          <w:color w:val="000000" w:themeColor="text1"/>
        </w:rPr>
        <w:t>at th</w:t>
      </w:r>
      <w:r w:rsidRPr="00D47DAA">
        <w:rPr>
          <w:color w:val="000000" w:themeColor="text1"/>
        </w:rPr>
        <w:t xml:space="preserve">e Plan </w:t>
      </w:r>
      <w:r w:rsidR="009D551F" w:rsidRPr="00D47DAA">
        <w:rPr>
          <w:color w:val="000000" w:themeColor="text1"/>
        </w:rPr>
        <w:t>impli</w:t>
      </w:r>
      <w:r w:rsidRPr="00D47DAA">
        <w:rPr>
          <w:color w:val="000000" w:themeColor="text1"/>
        </w:rPr>
        <w:t xml:space="preserve">ed a fiscal impost greater than </w:t>
      </w:r>
      <w:r w:rsidR="009D551F" w:rsidRPr="00D47DAA">
        <w:rPr>
          <w:color w:val="000000" w:themeColor="text1"/>
        </w:rPr>
        <w:t>had been expected, it meant that it</w:t>
      </w:r>
      <w:r w:rsidR="00F03549" w:rsidRPr="00D47DAA">
        <w:rPr>
          <w:color w:val="000000" w:themeColor="text1"/>
        </w:rPr>
        <w:t xml:space="preserve"> </w:t>
      </w:r>
      <w:r w:rsidR="009D551F" w:rsidRPr="00D47DAA">
        <w:rPr>
          <w:color w:val="000000" w:themeColor="text1"/>
        </w:rPr>
        <w:t xml:space="preserve">was highly </w:t>
      </w:r>
      <w:r w:rsidR="00F03549" w:rsidRPr="00D47DAA">
        <w:rPr>
          <w:color w:val="000000" w:themeColor="text1"/>
        </w:rPr>
        <w:t xml:space="preserve">vulnerable to </w:t>
      </w:r>
      <w:r w:rsidR="009D551F" w:rsidRPr="00D47DAA">
        <w:rPr>
          <w:color w:val="000000" w:themeColor="text1"/>
        </w:rPr>
        <w:t>downward fiscal shifts</w:t>
      </w:r>
      <w:r w:rsidR="00F03549" w:rsidRPr="00D47DAA">
        <w:rPr>
          <w:color w:val="000000" w:themeColor="text1"/>
        </w:rPr>
        <w:t>.</w:t>
      </w:r>
    </w:p>
    <w:p w14:paraId="73C3579B" w14:textId="49053415" w:rsidR="00C778E9" w:rsidRPr="00D47DAA" w:rsidRDefault="00B76BDA" w:rsidP="00DF6211">
      <w:pPr>
        <w:rPr>
          <w:color w:val="000000" w:themeColor="text1"/>
        </w:rPr>
      </w:pPr>
      <w:r w:rsidRPr="00D47DAA">
        <w:rPr>
          <w:color w:val="000000" w:themeColor="text1"/>
        </w:rPr>
        <w:tab/>
      </w:r>
      <w:r w:rsidR="009D551F" w:rsidRPr="00D47DAA">
        <w:rPr>
          <w:color w:val="000000" w:themeColor="text1"/>
        </w:rPr>
        <w:t>G</w:t>
      </w:r>
      <w:r w:rsidR="00F03549" w:rsidRPr="00D47DAA">
        <w:rPr>
          <w:color w:val="000000" w:themeColor="text1"/>
        </w:rPr>
        <w:t xml:space="preserve">rowing costs also </w:t>
      </w:r>
      <w:r w:rsidR="009D551F" w:rsidRPr="00D47DAA">
        <w:rPr>
          <w:color w:val="000000" w:themeColor="text1"/>
        </w:rPr>
        <w:t xml:space="preserve">further </w:t>
      </w:r>
      <w:r w:rsidR="00F03549" w:rsidRPr="00D47DAA">
        <w:rPr>
          <w:color w:val="000000" w:themeColor="text1"/>
        </w:rPr>
        <w:t>locked in the</w:t>
      </w:r>
      <w:r w:rsidR="00C778E9" w:rsidRPr="00D47DAA">
        <w:rPr>
          <w:color w:val="000000" w:themeColor="text1"/>
        </w:rPr>
        <w:t xml:space="preserve"> balance between sectors</w:t>
      </w:r>
      <w:r w:rsidR="009D551F" w:rsidRPr="00D47DAA">
        <w:rPr>
          <w:color w:val="000000" w:themeColor="text1"/>
        </w:rPr>
        <w:t xml:space="preserve">, at the cost of </w:t>
      </w:r>
      <w:r w:rsidR="002C073F" w:rsidRPr="00D47DAA">
        <w:rPr>
          <w:color w:val="000000" w:themeColor="text1"/>
        </w:rPr>
        <w:t>upward social mobility</w:t>
      </w:r>
      <w:r w:rsidR="00C778E9" w:rsidRPr="00D47DAA">
        <w:rPr>
          <w:color w:val="000000" w:themeColor="text1"/>
        </w:rPr>
        <w:t xml:space="preserve">. As planned, growth was concentrated in the community colleges. The CSU and UC systems were not expanded in proportion. In most other nations </w:t>
      </w:r>
      <w:r w:rsidR="009F2637" w:rsidRPr="00D47DAA">
        <w:rPr>
          <w:color w:val="000000" w:themeColor="text1"/>
        </w:rPr>
        <w:t>with</w:t>
      </w:r>
      <w:r w:rsidR="00C778E9" w:rsidRPr="00D47DAA">
        <w:rPr>
          <w:color w:val="000000" w:themeColor="text1"/>
        </w:rPr>
        <w:t xml:space="preserve"> research universities the proportion of young people entering those institutions has expanded markedly in the last forty years</w:t>
      </w:r>
      <w:r w:rsidR="009D551F" w:rsidRPr="00D47DAA">
        <w:rPr>
          <w:color w:val="000000" w:themeColor="text1"/>
        </w:rPr>
        <w:t xml:space="preserve">, via </w:t>
      </w:r>
      <w:r w:rsidR="00C778E9" w:rsidRPr="00D47DAA">
        <w:rPr>
          <w:color w:val="000000" w:themeColor="text1"/>
        </w:rPr>
        <w:t xml:space="preserve">growth of </w:t>
      </w:r>
      <w:r w:rsidR="009D551F" w:rsidRPr="00D47DAA">
        <w:rPr>
          <w:color w:val="000000" w:themeColor="text1"/>
        </w:rPr>
        <w:t>those universities</w:t>
      </w:r>
      <w:r w:rsidR="00C778E9" w:rsidRPr="00D47DAA">
        <w:rPr>
          <w:color w:val="000000" w:themeColor="text1"/>
        </w:rPr>
        <w:t xml:space="preserve"> </w:t>
      </w:r>
      <w:r w:rsidR="009D551F" w:rsidRPr="00D47DAA">
        <w:rPr>
          <w:color w:val="000000" w:themeColor="text1"/>
        </w:rPr>
        <w:t>and</w:t>
      </w:r>
      <w:r w:rsidR="00C778E9" w:rsidRPr="00D47DAA">
        <w:rPr>
          <w:color w:val="000000" w:themeColor="text1"/>
        </w:rPr>
        <w:t xml:space="preserve"> the opening of new </w:t>
      </w:r>
      <w:r w:rsidR="009D551F" w:rsidRPr="00D47DAA">
        <w:rPr>
          <w:color w:val="000000" w:themeColor="text1"/>
        </w:rPr>
        <w:t>on</w:t>
      </w:r>
      <w:r w:rsidR="00C778E9" w:rsidRPr="00D47DAA">
        <w:rPr>
          <w:color w:val="000000" w:themeColor="text1"/>
        </w:rPr>
        <w:t xml:space="preserve">es. </w:t>
      </w:r>
      <w:r w:rsidR="009D551F" w:rsidRPr="00D47DAA">
        <w:rPr>
          <w:color w:val="000000" w:themeColor="text1"/>
        </w:rPr>
        <w:t>In some countries</w:t>
      </w:r>
      <w:r w:rsidR="00A117EE" w:rsidRPr="00D47DAA">
        <w:rPr>
          <w:color w:val="000000" w:themeColor="text1"/>
        </w:rPr>
        <w:t>,</w:t>
      </w:r>
      <w:r w:rsidR="009D551F" w:rsidRPr="00D47DAA">
        <w:rPr>
          <w:color w:val="000000" w:themeColor="text1"/>
        </w:rPr>
        <w:t xml:space="preserve"> </w:t>
      </w:r>
      <w:proofErr w:type="gramStart"/>
      <w:r w:rsidR="009D551F" w:rsidRPr="00D47DAA">
        <w:rPr>
          <w:color w:val="000000" w:themeColor="text1"/>
        </w:rPr>
        <w:t xml:space="preserve">the majority </w:t>
      </w:r>
      <w:r w:rsidR="009F2637" w:rsidRPr="00D47DAA">
        <w:rPr>
          <w:color w:val="000000" w:themeColor="text1"/>
        </w:rPr>
        <w:t>of</w:t>
      </w:r>
      <w:proofErr w:type="gramEnd"/>
      <w:r w:rsidR="009F2637" w:rsidRPr="00D47DAA">
        <w:rPr>
          <w:color w:val="000000" w:themeColor="text1"/>
        </w:rPr>
        <w:t xml:space="preserve"> higher education students attend doctoral institutions. </w:t>
      </w:r>
      <w:r w:rsidR="00C778E9" w:rsidRPr="00D47DAA">
        <w:rPr>
          <w:color w:val="000000" w:themeColor="text1"/>
        </w:rPr>
        <w:t xml:space="preserve">This </w:t>
      </w:r>
      <w:r w:rsidR="009D551F" w:rsidRPr="00D47DAA">
        <w:rPr>
          <w:color w:val="000000" w:themeColor="text1"/>
        </w:rPr>
        <w:t xml:space="preserve">not only brings more people closer to the well-springs of new knowledge, it </w:t>
      </w:r>
      <w:r w:rsidR="00C778E9" w:rsidRPr="00D47DAA">
        <w:rPr>
          <w:color w:val="000000" w:themeColor="text1"/>
        </w:rPr>
        <w:t>broaden</w:t>
      </w:r>
      <w:r w:rsidR="009D551F" w:rsidRPr="00D47DAA">
        <w:rPr>
          <w:color w:val="000000" w:themeColor="text1"/>
        </w:rPr>
        <w:t xml:space="preserve">s the </w:t>
      </w:r>
      <w:r w:rsidR="009F2637" w:rsidRPr="00D47DAA">
        <w:rPr>
          <w:color w:val="000000" w:themeColor="text1"/>
        </w:rPr>
        <w:t xml:space="preserve">social </w:t>
      </w:r>
      <w:r w:rsidR="009D551F" w:rsidRPr="00D47DAA">
        <w:rPr>
          <w:color w:val="000000" w:themeColor="text1"/>
        </w:rPr>
        <w:t>highway</w:t>
      </w:r>
      <w:r w:rsidR="00C778E9" w:rsidRPr="00D47DAA">
        <w:rPr>
          <w:color w:val="000000" w:themeColor="text1"/>
        </w:rPr>
        <w:t xml:space="preserve"> into</w:t>
      </w:r>
      <w:r w:rsidR="009D551F" w:rsidRPr="00D47DAA">
        <w:rPr>
          <w:color w:val="000000" w:themeColor="text1"/>
        </w:rPr>
        <w:t xml:space="preserve"> </w:t>
      </w:r>
      <w:r w:rsidR="00C778E9" w:rsidRPr="00D47DAA">
        <w:rPr>
          <w:color w:val="000000" w:themeColor="text1"/>
        </w:rPr>
        <w:t xml:space="preserve">professional and managerial occupations. </w:t>
      </w:r>
      <w:r w:rsidR="002C073F" w:rsidRPr="00D47DAA">
        <w:rPr>
          <w:color w:val="000000" w:themeColor="text1"/>
        </w:rPr>
        <w:t>I</w:t>
      </w:r>
      <w:r w:rsidR="00C778E9" w:rsidRPr="00D47DAA">
        <w:rPr>
          <w:color w:val="000000" w:themeColor="text1"/>
        </w:rPr>
        <w:t xml:space="preserve">n California </w:t>
      </w:r>
      <w:r w:rsidR="009D551F" w:rsidRPr="00D47DAA">
        <w:rPr>
          <w:color w:val="000000" w:themeColor="text1"/>
        </w:rPr>
        <w:t>access to</w:t>
      </w:r>
      <w:r w:rsidR="00C778E9" w:rsidRPr="00D47DAA">
        <w:rPr>
          <w:color w:val="000000" w:themeColor="text1"/>
        </w:rPr>
        <w:t xml:space="preserve"> research universit</w:t>
      </w:r>
      <w:r w:rsidR="009D551F" w:rsidRPr="00D47DAA">
        <w:rPr>
          <w:color w:val="000000" w:themeColor="text1"/>
        </w:rPr>
        <w:t xml:space="preserve">ies </w:t>
      </w:r>
      <w:r w:rsidR="002C073F" w:rsidRPr="00D47DAA">
        <w:rPr>
          <w:color w:val="000000" w:themeColor="text1"/>
        </w:rPr>
        <w:t>has been</w:t>
      </w:r>
      <w:r w:rsidR="00C778E9" w:rsidRPr="00D47DAA">
        <w:rPr>
          <w:color w:val="000000" w:themeColor="text1"/>
        </w:rPr>
        <w:t xml:space="preserve"> confined to the top 12.5 per cent of school leavers</w:t>
      </w:r>
      <w:r w:rsidR="009D551F" w:rsidRPr="00D47DAA">
        <w:rPr>
          <w:color w:val="000000" w:themeColor="text1"/>
        </w:rPr>
        <w:t xml:space="preserve"> </w:t>
      </w:r>
      <w:r w:rsidR="002C073F" w:rsidRPr="00D47DAA">
        <w:rPr>
          <w:color w:val="000000" w:themeColor="text1"/>
        </w:rPr>
        <w:t>for</w:t>
      </w:r>
      <w:r w:rsidR="009D551F" w:rsidRPr="00D47DAA">
        <w:rPr>
          <w:color w:val="000000" w:themeColor="text1"/>
        </w:rPr>
        <w:t xml:space="preserve"> almost sixty years</w:t>
      </w:r>
      <w:r w:rsidR="00C778E9" w:rsidRPr="00D47DAA">
        <w:rPr>
          <w:color w:val="000000" w:themeColor="text1"/>
        </w:rPr>
        <w:t xml:space="preserve">. </w:t>
      </w:r>
      <w:r w:rsidR="00427631" w:rsidRPr="00D47DAA">
        <w:rPr>
          <w:color w:val="000000" w:themeColor="text1"/>
        </w:rPr>
        <w:t>T</w:t>
      </w:r>
      <w:r w:rsidR="00C778E9" w:rsidRPr="00D47DAA">
        <w:rPr>
          <w:color w:val="000000" w:themeColor="text1"/>
        </w:rPr>
        <w:t>his was a flaw in the original system design. It placed too much pressure on the transfer function</w:t>
      </w:r>
      <w:r w:rsidR="009D551F" w:rsidRPr="00D47DAA">
        <w:rPr>
          <w:color w:val="000000" w:themeColor="text1"/>
        </w:rPr>
        <w:t xml:space="preserve">, which, as noted, faltered in volume and </w:t>
      </w:r>
      <w:r w:rsidR="002C073F" w:rsidRPr="00D47DAA">
        <w:rPr>
          <w:color w:val="000000" w:themeColor="text1"/>
        </w:rPr>
        <w:t>was</w:t>
      </w:r>
      <w:r w:rsidR="009D551F" w:rsidRPr="00D47DAA">
        <w:rPr>
          <w:color w:val="000000" w:themeColor="text1"/>
        </w:rPr>
        <w:t xml:space="preserve"> socially </w:t>
      </w:r>
      <w:r w:rsidR="009D551F" w:rsidRPr="00D47DAA">
        <w:rPr>
          <w:color w:val="000000" w:themeColor="text1"/>
        </w:rPr>
        <w:lastRenderedPageBreak/>
        <w:t>stratified. But t</w:t>
      </w:r>
      <w:r w:rsidR="00C778E9" w:rsidRPr="00D47DAA">
        <w:rPr>
          <w:color w:val="000000" w:themeColor="text1"/>
        </w:rPr>
        <w:t>ransfer between institutions in a vertic</w:t>
      </w:r>
      <w:r w:rsidR="003B6792" w:rsidRPr="00D47DAA">
        <w:rPr>
          <w:color w:val="000000" w:themeColor="text1"/>
        </w:rPr>
        <w:t>al hierarchy is always a second-</w:t>
      </w:r>
      <w:r w:rsidR="00C778E9" w:rsidRPr="00D47DAA">
        <w:rPr>
          <w:color w:val="000000" w:themeColor="text1"/>
        </w:rPr>
        <w:t xml:space="preserve">best form of social access because it requires </w:t>
      </w:r>
      <w:r w:rsidR="00427631" w:rsidRPr="00D47DAA">
        <w:rPr>
          <w:color w:val="000000" w:themeColor="text1"/>
        </w:rPr>
        <w:t xml:space="preserve">in </w:t>
      </w:r>
      <w:r w:rsidR="00C778E9" w:rsidRPr="00D47DAA">
        <w:rPr>
          <w:color w:val="000000" w:themeColor="text1"/>
        </w:rPr>
        <w:t xml:space="preserve">students a greater stamina of aspiration. </w:t>
      </w:r>
    </w:p>
    <w:p w14:paraId="4798728A" w14:textId="77777777" w:rsidR="00230248" w:rsidRPr="00D47DAA" w:rsidRDefault="00230248" w:rsidP="00230248">
      <w:pPr>
        <w:rPr>
          <w:color w:val="000000" w:themeColor="text1"/>
        </w:rPr>
      </w:pPr>
    </w:p>
    <w:p w14:paraId="3E6EE622" w14:textId="4E83FD6D" w:rsidR="00230248" w:rsidRPr="00D47DAA" w:rsidRDefault="00230248" w:rsidP="00230248">
      <w:pPr>
        <w:rPr>
          <w:b/>
          <w:color w:val="000000" w:themeColor="text1"/>
        </w:rPr>
      </w:pPr>
      <w:r w:rsidRPr="00D47DAA">
        <w:rPr>
          <w:b/>
          <w:color w:val="000000" w:themeColor="text1"/>
        </w:rPr>
        <w:t>Changing demographics</w:t>
      </w:r>
    </w:p>
    <w:p w14:paraId="389E1DAF" w14:textId="77777777" w:rsidR="00230248" w:rsidRPr="00D47DAA" w:rsidRDefault="00230248" w:rsidP="00230248">
      <w:pPr>
        <w:rPr>
          <w:color w:val="000000" w:themeColor="text1"/>
        </w:rPr>
      </w:pPr>
    </w:p>
    <w:p w14:paraId="210235E7" w14:textId="3F7F8390" w:rsidR="00DE1C24" w:rsidRPr="00D47DAA" w:rsidRDefault="00427631" w:rsidP="00230248">
      <w:pPr>
        <w:rPr>
          <w:color w:val="000000" w:themeColor="text1"/>
        </w:rPr>
      </w:pPr>
      <w:r w:rsidRPr="00D47DAA">
        <w:rPr>
          <w:color w:val="000000" w:themeColor="text1"/>
        </w:rPr>
        <w:t xml:space="preserve">The external factors </w:t>
      </w:r>
      <w:r w:rsidR="009779EB" w:rsidRPr="00D47DAA">
        <w:rPr>
          <w:color w:val="000000" w:themeColor="text1"/>
        </w:rPr>
        <w:t xml:space="preserve">within California were </w:t>
      </w:r>
      <w:r w:rsidR="002314A8" w:rsidRPr="00D47DAA">
        <w:rPr>
          <w:color w:val="000000" w:themeColor="text1"/>
        </w:rPr>
        <w:t xml:space="preserve">the state’s </w:t>
      </w:r>
      <w:r w:rsidR="00DE1C24" w:rsidRPr="00D47DAA">
        <w:rPr>
          <w:color w:val="000000" w:themeColor="text1"/>
        </w:rPr>
        <w:t>changing ethnic demography</w:t>
      </w:r>
      <w:r w:rsidR="00DC05B6" w:rsidRPr="00D47DAA">
        <w:rPr>
          <w:color w:val="000000" w:themeColor="text1"/>
        </w:rPr>
        <w:t>, which undermined the educational assumptions and fiscal politics on which the Plan was premised</w:t>
      </w:r>
      <w:r w:rsidR="00DE1C24" w:rsidRPr="00D47DAA">
        <w:rPr>
          <w:color w:val="000000" w:themeColor="text1"/>
        </w:rPr>
        <w:t>. The larger external factors were the</w:t>
      </w:r>
      <w:r w:rsidR="001D6AD3" w:rsidRPr="00D47DAA">
        <w:rPr>
          <w:color w:val="000000" w:themeColor="text1"/>
        </w:rPr>
        <w:t xml:space="preserve"> growing social and economic inequality in the country as a whole</w:t>
      </w:r>
      <w:r w:rsidR="00DE1C24" w:rsidRPr="00D47DAA">
        <w:rPr>
          <w:color w:val="000000" w:themeColor="text1"/>
        </w:rPr>
        <w:t>—and, as noted, changes in the policy climate and in the dominant ideas, which both produced and reflected growing social inequality, and undermined the potential for public higher education to pursue equality of opportunity.</w:t>
      </w:r>
      <w:r w:rsidR="00224FCB" w:rsidRPr="00D47DAA">
        <w:rPr>
          <w:color w:val="000000" w:themeColor="text1"/>
        </w:rPr>
        <w:t xml:space="preserve"> </w:t>
      </w:r>
    </w:p>
    <w:p w14:paraId="4EF1674A" w14:textId="4CBB420D" w:rsidR="00CF181C" w:rsidRPr="00D47DAA" w:rsidRDefault="00DE1C24" w:rsidP="00224FCB">
      <w:pPr>
        <w:ind w:firstLine="454"/>
        <w:rPr>
          <w:color w:val="000000" w:themeColor="text1"/>
        </w:rPr>
      </w:pPr>
      <w:r w:rsidRPr="00D47DAA">
        <w:rPr>
          <w:color w:val="000000" w:themeColor="text1"/>
        </w:rPr>
        <w:t>Ten years after the Master Plan i</w:t>
      </w:r>
      <w:r w:rsidR="002A1A03" w:rsidRPr="00D47DAA">
        <w:rPr>
          <w:color w:val="000000" w:themeColor="text1"/>
        </w:rPr>
        <w:t xml:space="preserve">n 1970 </w:t>
      </w:r>
      <w:r w:rsidR="002314A8" w:rsidRPr="00D47DAA">
        <w:rPr>
          <w:color w:val="000000" w:themeColor="text1"/>
        </w:rPr>
        <w:t>California</w:t>
      </w:r>
      <w:r w:rsidR="002A1A03" w:rsidRPr="00D47DAA">
        <w:rPr>
          <w:color w:val="000000" w:themeColor="text1"/>
        </w:rPr>
        <w:t xml:space="preserve"> was 77 per cent white, 12 per cent Latino, 7 per cent Afro-American and just 3 per cent Asian or Pacific Islander. </w:t>
      </w:r>
      <w:r w:rsidR="00224FCB" w:rsidRPr="00D47DAA">
        <w:rPr>
          <w:color w:val="000000" w:themeColor="text1"/>
        </w:rPr>
        <w:t xml:space="preserve">In the next forty </w:t>
      </w:r>
      <w:proofErr w:type="gramStart"/>
      <w:r w:rsidR="00224FCB" w:rsidRPr="00D47DAA">
        <w:rPr>
          <w:color w:val="000000" w:themeColor="text1"/>
        </w:rPr>
        <w:t>years</w:t>
      </w:r>
      <w:proofErr w:type="gramEnd"/>
      <w:r w:rsidR="00224FCB" w:rsidRPr="00D47DAA">
        <w:rPr>
          <w:color w:val="000000" w:themeColor="text1"/>
        </w:rPr>
        <w:t xml:space="preserve"> this demographic </w:t>
      </w:r>
      <w:r w:rsidR="00C04608" w:rsidRPr="00D47DAA">
        <w:rPr>
          <w:color w:val="000000" w:themeColor="text1"/>
        </w:rPr>
        <w:t xml:space="preserve">distribution </w:t>
      </w:r>
      <w:r w:rsidR="002A1A03" w:rsidRPr="00D47DAA">
        <w:rPr>
          <w:color w:val="000000" w:themeColor="text1"/>
        </w:rPr>
        <w:t>changed dramatically</w:t>
      </w:r>
      <w:r w:rsidR="00C04608" w:rsidRPr="00D47DAA">
        <w:rPr>
          <w:color w:val="000000" w:themeColor="text1"/>
        </w:rPr>
        <w:t>.</w:t>
      </w:r>
      <w:r w:rsidR="002A1A03" w:rsidRPr="00D47DAA">
        <w:rPr>
          <w:color w:val="000000" w:themeColor="text1"/>
        </w:rPr>
        <w:t xml:space="preserve"> </w:t>
      </w:r>
      <w:r w:rsidR="00224FCB" w:rsidRPr="00D47DAA">
        <w:rPr>
          <w:color w:val="000000" w:themeColor="text1"/>
        </w:rPr>
        <w:t xml:space="preserve">As noted, in 2010 the white population share had fallen to 40 per cent, though with a relatively high average income, while the Latino share had reached 38 per cent. Many were first generation legal or illegal migrants. The Latino population was much younger than the white population, constituting 51 per cent of Grade 6 in the public schools, compared to 27 per cent white, 11 per cent Asian/Pacific and 7 per cent African-American. </w:t>
      </w:r>
      <w:r w:rsidR="008F5359" w:rsidRPr="00D47DAA">
        <w:rPr>
          <w:color w:val="000000" w:themeColor="text1"/>
        </w:rPr>
        <w:t xml:space="preserve">Latino and African-American </w:t>
      </w:r>
      <w:r w:rsidR="00230248" w:rsidRPr="00D47DAA">
        <w:rPr>
          <w:color w:val="000000" w:themeColor="text1"/>
        </w:rPr>
        <w:t>families had</w:t>
      </w:r>
      <w:r w:rsidR="008F5359" w:rsidRPr="00D47DAA">
        <w:rPr>
          <w:color w:val="000000" w:themeColor="text1"/>
        </w:rPr>
        <w:t xml:space="preserve"> mixed class </w:t>
      </w:r>
      <w:r w:rsidR="00670389" w:rsidRPr="00D47DAA">
        <w:rPr>
          <w:color w:val="000000" w:themeColor="text1"/>
        </w:rPr>
        <w:t>location</w:t>
      </w:r>
      <w:r w:rsidR="00230248" w:rsidRPr="00D47DAA">
        <w:rPr>
          <w:color w:val="000000" w:themeColor="text1"/>
        </w:rPr>
        <w:t>s</w:t>
      </w:r>
      <w:r w:rsidR="008F5359" w:rsidRPr="00D47DAA">
        <w:rPr>
          <w:color w:val="000000" w:themeColor="text1"/>
        </w:rPr>
        <w:t xml:space="preserve"> but </w:t>
      </w:r>
      <w:r w:rsidR="00230248" w:rsidRPr="00D47DAA">
        <w:rPr>
          <w:color w:val="000000" w:themeColor="text1"/>
        </w:rPr>
        <w:t>were</w:t>
      </w:r>
      <w:r w:rsidR="008F5359" w:rsidRPr="00D47DAA">
        <w:rPr>
          <w:color w:val="000000" w:themeColor="text1"/>
        </w:rPr>
        <w:t xml:space="preserve"> disproportionately concentrated in under-funded schools in poor communities. In 2012</w:t>
      </w:r>
      <w:r w:rsidR="00670389" w:rsidRPr="00D47DAA">
        <w:rPr>
          <w:color w:val="000000" w:themeColor="text1"/>
        </w:rPr>
        <w:t>,</w:t>
      </w:r>
      <w:r w:rsidR="008F5359" w:rsidRPr="00D47DAA">
        <w:rPr>
          <w:color w:val="000000" w:themeColor="text1"/>
        </w:rPr>
        <w:t xml:space="preserve"> 79 per cent of </w:t>
      </w:r>
      <w:r w:rsidR="00670389" w:rsidRPr="00D47DAA">
        <w:rPr>
          <w:color w:val="000000" w:themeColor="text1"/>
        </w:rPr>
        <w:t>all</w:t>
      </w:r>
      <w:r w:rsidR="008F5359" w:rsidRPr="00D47DAA">
        <w:rPr>
          <w:color w:val="000000" w:themeColor="text1"/>
        </w:rPr>
        <w:t xml:space="preserve"> high school students who started in 2008-09 had graduated, with 8 per cent still at school</w:t>
      </w:r>
      <w:r w:rsidR="00230248" w:rsidRPr="00D47DAA">
        <w:rPr>
          <w:color w:val="000000" w:themeColor="text1"/>
        </w:rPr>
        <w:t>, but</w:t>
      </w:r>
      <w:r w:rsidR="008F5359" w:rsidRPr="00D47DAA">
        <w:rPr>
          <w:color w:val="000000" w:themeColor="text1"/>
        </w:rPr>
        <w:t xml:space="preserve"> Latinos had a school graduation rate of 73 per cent, and African-Americans students </w:t>
      </w:r>
      <w:r w:rsidR="00CF181C" w:rsidRPr="00D47DAA">
        <w:rPr>
          <w:color w:val="000000" w:themeColor="text1"/>
        </w:rPr>
        <w:t xml:space="preserve">only </w:t>
      </w:r>
      <w:r w:rsidR="008F5359" w:rsidRPr="00D47DAA">
        <w:rPr>
          <w:color w:val="000000" w:themeColor="text1"/>
        </w:rPr>
        <w:t xml:space="preserve">66 per cent. </w:t>
      </w:r>
    </w:p>
    <w:p w14:paraId="5CE73D99" w14:textId="067DB874" w:rsidR="00A84B09" w:rsidRPr="00D47DAA" w:rsidRDefault="00230248" w:rsidP="00DF6211">
      <w:pPr>
        <w:rPr>
          <w:color w:val="000000" w:themeColor="text1"/>
        </w:rPr>
      </w:pPr>
      <w:r w:rsidRPr="00D47DAA">
        <w:rPr>
          <w:color w:val="000000" w:themeColor="text1"/>
        </w:rPr>
        <w:tab/>
        <w:t xml:space="preserve">After the 1970s </w:t>
      </w:r>
      <w:r w:rsidR="000A5443" w:rsidRPr="00D47DAA">
        <w:rPr>
          <w:color w:val="000000" w:themeColor="text1"/>
        </w:rPr>
        <w:t>an</w:t>
      </w:r>
      <w:r w:rsidRPr="00D47DAA">
        <w:rPr>
          <w:color w:val="000000" w:themeColor="text1"/>
        </w:rPr>
        <w:t xml:space="preserve"> </w:t>
      </w:r>
      <w:r w:rsidR="000A5443" w:rsidRPr="00D47DAA">
        <w:rPr>
          <w:color w:val="000000" w:themeColor="text1"/>
        </w:rPr>
        <w:t xml:space="preserve">ageing </w:t>
      </w:r>
      <w:r w:rsidRPr="00D47DAA">
        <w:rPr>
          <w:color w:val="000000" w:themeColor="text1"/>
        </w:rPr>
        <w:t xml:space="preserve">middle class white population in California had a </w:t>
      </w:r>
      <w:r w:rsidR="000A5443" w:rsidRPr="00D47DAA">
        <w:rPr>
          <w:color w:val="000000" w:themeColor="text1"/>
        </w:rPr>
        <w:t xml:space="preserve">reducing </w:t>
      </w:r>
      <w:r w:rsidRPr="00D47DAA">
        <w:rPr>
          <w:color w:val="000000" w:themeColor="text1"/>
        </w:rPr>
        <w:t xml:space="preserve">stake in public schooling. It </w:t>
      </w:r>
      <w:r w:rsidR="000A5443" w:rsidRPr="00D47DAA">
        <w:rPr>
          <w:color w:val="000000" w:themeColor="text1"/>
        </w:rPr>
        <w:t xml:space="preserve">became </w:t>
      </w:r>
      <w:r w:rsidRPr="00D47DAA">
        <w:rPr>
          <w:color w:val="000000" w:themeColor="text1"/>
        </w:rPr>
        <w:t>less willing to pay the taxes necessary to finance schools and community colleges that provided broad-based opportunity. The withdrawal of support for taxation and public education eventually spilled over into university funding.</w:t>
      </w:r>
    </w:p>
    <w:p w14:paraId="0726DDAE" w14:textId="77777777" w:rsidR="00230248" w:rsidRPr="00D47DAA" w:rsidRDefault="00230248" w:rsidP="00DF6211">
      <w:pPr>
        <w:rPr>
          <w:color w:val="000000" w:themeColor="text1"/>
        </w:rPr>
      </w:pPr>
    </w:p>
    <w:p w14:paraId="2BB859EB" w14:textId="261BB23E" w:rsidR="00C00A04" w:rsidRPr="00D47DAA" w:rsidRDefault="00C00A04" w:rsidP="00DF6211">
      <w:pPr>
        <w:rPr>
          <w:b/>
          <w:color w:val="000000" w:themeColor="text1"/>
        </w:rPr>
      </w:pPr>
      <w:r w:rsidRPr="00D47DAA">
        <w:rPr>
          <w:b/>
          <w:color w:val="000000" w:themeColor="text1"/>
        </w:rPr>
        <w:t xml:space="preserve">Taxation </w:t>
      </w:r>
      <w:r w:rsidR="002E61C0" w:rsidRPr="00D47DAA">
        <w:rPr>
          <w:b/>
          <w:color w:val="000000" w:themeColor="text1"/>
        </w:rPr>
        <w:t>as theft</w:t>
      </w:r>
    </w:p>
    <w:p w14:paraId="70FD08E0" w14:textId="77777777" w:rsidR="00C00A04" w:rsidRPr="00D47DAA" w:rsidRDefault="00C00A04" w:rsidP="00DF6211">
      <w:pPr>
        <w:rPr>
          <w:color w:val="000000" w:themeColor="text1"/>
        </w:rPr>
      </w:pPr>
    </w:p>
    <w:p w14:paraId="5EFD8179" w14:textId="35379D59" w:rsidR="00C00A04" w:rsidRPr="00D47DAA" w:rsidRDefault="002E61C0" w:rsidP="00DF6211">
      <w:pPr>
        <w:rPr>
          <w:color w:val="000000" w:themeColor="text1"/>
        </w:rPr>
      </w:pPr>
      <w:r w:rsidRPr="00D47DAA">
        <w:rPr>
          <w:color w:val="000000" w:themeColor="text1"/>
        </w:rPr>
        <w:t>The</w:t>
      </w:r>
      <w:r w:rsidR="00C00A04" w:rsidRPr="00D47DAA">
        <w:rPr>
          <w:color w:val="000000" w:themeColor="text1"/>
        </w:rPr>
        <w:t xml:space="preserve"> tax revolt in California and other states was impelled by the </w:t>
      </w:r>
      <w:proofErr w:type="gramStart"/>
      <w:r w:rsidR="00C00A04" w:rsidRPr="00D47DAA">
        <w:rPr>
          <w:color w:val="000000" w:themeColor="text1"/>
        </w:rPr>
        <w:t>deep seated</w:t>
      </w:r>
      <w:proofErr w:type="gramEnd"/>
      <w:r w:rsidR="00C00A04" w:rsidRPr="00D47DAA">
        <w:rPr>
          <w:color w:val="000000" w:themeColor="text1"/>
        </w:rPr>
        <w:t xml:space="preserve"> belief held by many Americans that taxation for all but a minimal set of </w:t>
      </w:r>
      <w:r w:rsidR="003972C1" w:rsidRPr="00D47DAA">
        <w:rPr>
          <w:color w:val="000000" w:themeColor="text1"/>
        </w:rPr>
        <w:t>public goods</w:t>
      </w:r>
      <w:r w:rsidR="00C00A04" w:rsidRPr="00D47DAA">
        <w:rPr>
          <w:color w:val="000000" w:themeColor="text1"/>
        </w:rPr>
        <w:t xml:space="preserve">, such as national defence, was illegitimate. Such beliefs, never entirely absent in the United States, gathered an increasing support from the mid 1970s onwards. </w:t>
      </w:r>
    </w:p>
    <w:p w14:paraId="79A021DA" w14:textId="247665D1" w:rsidR="00C778E9" w:rsidRPr="00D47DAA" w:rsidRDefault="00970F7D" w:rsidP="00DF6211">
      <w:pPr>
        <w:ind w:firstLine="454"/>
        <w:rPr>
          <w:color w:val="000000" w:themeColor="text1"/>
        </w:rPr>
      </w:pPr>
      <w:r w:rsidRPr="00D47DAA">
        <w:rPr>
          <w:color w:val="000000" w:themeColor="text1"/>
        </w:rPr>
        <w:t>In 1978</w:t>
      </w:r>
      <w:r w:rsidR="00C00A04" w:rsidRPr="00D47DAA">
        <w:rPr>
          <w:color w:val="000000" w:themeColor="text1"/>
        </w:rPr>
        <w:t>,</w:t>
      </w:r>
      <w:r w:rsidRPr="00D47DAA">
        <w:rPr>
          <w:color w:val="000000" w:themeColor="text1"/>
        </w:rPr>
        <w:t xml:space="preserve"> the anti-tax movement in California </w:t>
      </w:r>
      <w:r w:rsidR="00C00A04" w:rsidRPr="00D47DAA">
        <w:rPr>
          <w:color w:val="000000" w:themeColor="text1"/>
        </w:rPr>
        <w:t xml:space="preserve">broke through by </w:t>
      </w:r>
      <w:r w:rsidRPr="00D47DAA">
        <w:rPr>
          <w:color w:val="000000" w:themeColor="text1"/>
        </w:rPr>
        <w:t>secur</w:t>
      </w:r>
      <w:r w:rsidR="00C00A04" w:rsidRPr="00D47DAA">
        <w:rPr>
          <w:color w:val="000000" w:themeColor="text1"/>
        </w:rPr>
        <w:t>ing</w:t>
      </w:r>
      <w:r w:rsidRPr="00D47DAA">
        <w:rPr>
          <w:color w:val="000000" w:themeColor="text1"/>
        </w:rPr>
        <w:t xml:space="preserve"> </w:t>
      </w:r>
      <w:r w:rsidR="00CF181C" w:rsidRPr="00D47DAA">
        <w:rPr>
          <w:color w:val="000000" w:themeColor="text1"/>
        </w:rPr>
        <w:t xml:space="preserve">a </w:t>
      </w:r>
      <w:r w:rsidR="00EF48C3" w:rsidRPr="00D47DAA">
        <w:rPr>
          <w:color w:val="000000" w:themeColor="text1"/>
        </w:rPr>
        <w:t xml:space="preserve">ballot </w:t>
      </w:r>
      <w:r w:rsidRPr="00D47DAA">
        <w:rPr>
          <w:color w:val="000000" w:themeColor="text1"/>
        </w:rPr>
        <w:t>majority for Proposition 13, which sharply reduced property taxes, the main source of income for local counties and school districts</w:t>
      </w:r>
      <w:r w:rsidR="00D622E1" w:rsidRPr="00D47DAA">
        <w:rPr>
          <w:color w:val="000000" w:themeColor="text1"/>
        </w:rPr>
        <w:t>. When t</w:t>
      </w:r>
      <w:r w:rsidRPr="00D47DAA">
        <w:rPr>
          <w:color w:val="000000" w:themeColor="text1"/>
        </w:rPr>
        <w:t>he state moved to protect schools, cities and local communities</w:t>
      </w:r>
      <w:r w:rsidR="00A00B64" w:rsidRPr="00D47DAA">
        <w:rPr>
          <w:color w:val="000000" w:themeColor="text1"/>
        </w:rPr>
        <w:t>,</w:t>
      </w:r>
      <w:r w:rsidR="00D622E1" w:rsidRPr="00D47DAA">
        <w:rPr>
          <w:color w:val="000000" w:themeColor="text1"/>
        </w:rPr>
        <w:t xml:space="preserve"> this</w:t>
      </w:r>
      <w:r w:rsidRPr="00D47DAA">
        <w:rPr>
          <w:color w:val="000000" w:themeColor="text1"/>
        </w:rPr>
        <w:t xml:space="preserve"> plac</w:t>
      </w:r>
      <w:r w:rsidR="00D622E1" w:rsidRPr="00D47DAA">
        <w:rPr>
          <w:color w:val="000000" w:themeColor="text1"/>
        </w:rPr>
        <w:t>ed</w:t>
      </w:r>
      <w:r w:rsidRPr="00D47DAA">
        <w:rPr>
          <w:color w:val="000000" w:themeColor="text1"/>
        </w:rPr>
        <w:t xml:space="preserve"> the </w:t>
      </w:r>
      <w:r w:rsidR="00CF181C" w:rsidRPr="00D47DAA">
        <w:rPr>
          <w:color w:val="000000" w:themeColor="text1"/>
        </w:rPr>
        <w:t>rest of</w:t>
      </w:r>
      <w:r w:rsidRPr="00D47DAA">
        <w:rPr>
          <w:color w:val="000000" w:themeColor="text1"/>
        </w:rPr>
        <w:t xml:space="preserve"> the budget in jeopardy, including higher education. A host of further tax cutting and tax-related measures </w:t>
      </w:r>
      <w:r w:rsidR="00D622E1" w:rsidRPr="00D47DAA">
        <w:rPr>
          <w:color w:val="000000" w:themeColor="text1"/>
        </w:rPr>
        <w:t>followed</w:t>
      </w:r>
      <w:r w:rsidRPr="00D47DAA">
        <w:rPr>
          <w:color w:val="000000" w:themeColor="text1"/>
        </w:rPr>
        <w:t xml:space="preserve">. In 1988, partly to compensate for Proposition 13, </w:t>
      </w:r>
      <w:r w:rsidR="00D622E1" w:rsidRPr="00D47DAA">
        <w:rPr>
          <w:color w:val="000000" w:themeColor="text1"/>
        </w:rPr>
        <w:t>California</w:t>
      </w:r>
      <w:r w:rsidRPr="00D47DAA">
        <w:rPr>
          <w:color w:val="000000" w:themeColor="text1"/>
        </w:rPr>
        <w:t xml:space="preserve"> adopted Proposition 88</w:t>
      </w:r>
      <w:r w:rsidR="00D622E1" w:rsidRPr="00D47DAA">
        <w:rPr>
          <w:color w:val="000000" w:themeColor="text1"/>
        </w:rPr>
        <w:t>, which</w:t>
      </w:r>
      <w:r w:rsidRPr="00D47DAA">
        <w:rPr>
          <w:color w:val="000000" w:themeColor="text1"/>
        </w:rPr>
        <w:t xml:space="preserve"> allocated 40 per cent of state income to schools and community colleges. After all </w:t>
      </w:r>
      <w:r w:rsidR="00D622E1" w:rsidRPr="00D47DAA">
        <w:rPr>
          <w:color w:val="000000" w:themeColor="text1"/>
        </w:rPr>
        <w:t xml:space="preserve">the </w:t>
      </w:r>
      <w:r w:rsidRPr="00D47DAA">
        <w:rPr>
          <w:color w:val="000000" w:themeColor="text1"/>
        </w:rPr>
        <w:t xml:space="preserve">spending mandates and tax limitations </w:t>
      </w:r>
      <w:r w:rsidR="00D622E1" w:rsidRPr="00D47DAA">
        <w:rPr>
          <w:color w:val="000000" w:themeColor="text1"/>
        </w:rPr>
        <w:t>had been</w:t>
      </w:r>
      <w:r w:rsidRPr="00D47DAA">
        <w:rPr>
          <w:color w:val="000000" w:themeColor="text1"/>
        </w:rPr>
        <w:t xml:space="preserve"> account</w:t>
      </w:r>
      <w:r w:rsidR="00D622E1" w:rsidRPr="00D47DAA">
        <w:rPr>
          <w:color w:val="000000" w:themeColor="text1"/>
        </w:rPr>
        <w:t>ed for</w:t>
      </w:r>
      <w:r w:rsidRPr="00D47DAA">
        <w:rPr>
          <w:color w:val="000000" w:themeColor="text1"/>
        </w:rPr>
        <w:t>, only 15 per cent of the budget was unallocated</w:t>
      </w:r>
      <w:r w:rsidR="00CF181C" w:rsidRPr="00D47DAA">
        <w:rPr>
          <w:color w:val="000000" w:themeColor="text1"/>
        </w:rPr>
        <w:t xml:space="preserve">. </w:t>
      </w:r>
      <w:r w:rsidR="00D622E1" w:rsidRPr="00D47DAA">
        <w:rPr>
          <w:color w:val="000000" w:themeColor="text1"/>
        </w:rPr>
        <w:t>The three public h</w:t>
      </w:r>
      <w:r w:rsidR="00CF181C" w:rsidRPr="00D47DAA">
        <w:rPr>
          <w:color w:val="000000" w:themeColor="text1"/>
        </w:rPr>
        <w:t xml:space="preserve">igher education </w:t>
      </w:r>
      <w:r w:rsidR="00D622E1" w:rsidRPr="00D47DAA">
        <w:rPr>
          <w:color w:val="000000" w:themeColor="text1"/>
        </w:rPr>
        <w:t>systems were funded out of</w:t>
      </w:r>
      <w:r w:rsidRPr="00D47DAA">
        <w:rPr>
          <w:color w:val="000000" w:themeColor="text1"/>
        </w:rPr>
        <w:t xml:space="preserve"> that 15 per cent. </w:t>
      </w:r>
      <w:r w:rsidR="002A1A03" w:rsidRPr="00D47DAA">
        <w:rPr>
          <w:color w:val="000000" w:themeColor="text1"/>
        </w:rPr>
        <w:t>Proposition 13</w:t>
      </w:r>
      <w:r w:rsidRPr="00D47DAA">
        <w:rPr>
          <w:color w:val="000000" w:themeColor="text1"/>
        </w:rPr>
        <w:t xml:space="preserve"> and the tax revolt </w:t>
      </w:r>
      <w:r w:rsidR="00CF181C" w:rsidRPr="00D47DAA">
        <w:rPr>
          <w:color w:val="000000" w:themeColor="text1"/>
        </w:rPr>
        <w:t>show</w:t>
      </w:r>
      <w:r w:rsidR="002A1A03" w:rsidRPr="00D47DAA">
        <w:rPr>
          <w:color w:val="000000" w:themeColor="text1"/>
        </w:rPr>
        <w:t xml:space="preserve">ed </w:t>
      </w:r>
      <w:r w:rsidR="00CF181C" w:rsidRPr="00D47DAA">
        <w:rPr>
          <w:color w:val="000000" w:themeColor="text1"/>
        </w:rPr>
        <w:t xml:space="preserve">that the </w:t>
      </w:r>
      <w:r w:rsidR="002A1A03" w:rsidRPr="00D47DAA">
        <w:rPr>
          <w:color w:val="000000" w:themeColor="text1"/>
        </w:rPr>
        <w:t xml:space="preserve">ageing white middle class </w:t>
      </w:r>
      <w:r w:rsidR="00CF181C" w:rsidRPr="00D47DAA">
        <w:rPr>
          <w:color w:val="000000" w:themeColor="text1"/>
        </w:rPr>
        <w:t xml:space="preserve">was unwilling </w:t>
      </w:r>
      <w:r w:rsidR="002A1A03" w:rsidRPr="00D47DAA">
        <w:rPr>
          <w:color w:val="000000" w:themeColor="text1"/>
        </w:rPr>
        <w:t>to resourc</w:t>
      </w:r>
      <w:r w:rsidR="00C778E9" w:rsidRPr="00D47DAA">
        <w:rPr>
          <w:color w:val="000000" w:themeColor="text1"/>
        </w:rPr>
        <w:t>e</w:t>
      </w:r>
      <w:r w:rsidR="002A1A03" w:rsidRPr="00D47DAA">
        <w:rPr>
          <w:color w:val="000000" w:themeColor="text1"/>
        </w:rPr>
        <w:t xml:space="preserve"> schooling of good quality across all districts, </w:t>
      </w:r>
      <w:r w:rsidR="00C778E9" w:rsidRPr="00D47DAA">
        <w:rPr>
          <w:color w:val="000000" w:themeColor="text1"/>
        </w:rPr>
        <w:t>for</w:t>
      </w:r>
      <w:r w:rsidR="002A1A03" w:rsidRPr="00D47DAA">
        <w:rPr>
          <w:color w:val="000000" w:themeColor="text1"/>
        </w:rPr>
        <w:t xml:space="preserve"> all citi</w:t>
      </w:r>
      <w:r w:rsidR="002314A8" w:rsidRPr="00D47DAA">
        <w:rPr>
          <w:color w:val="000000" w:themeColor="text1"/>
        </w:rPr>
        <w:t>zens and non-</w:t>
      </w:r>
      <w:r w:rsidR="00C778E9" w:rsidRPr="00D47DAA">
        <w:rPr>
          <w:color w:val="000000" w:themeColor="text1"/>
        </w:rPr>
        <w:t>citizens</w:t>
      </w:r>
      <w:r w:rsidR="002314A8" w:rsidRPr="00D47DAA">
        <w:rPr>
          <w:color w:val="000000" w:themeColor="text1"/>
        </w:rPr>
        <w:t>,</w:t>
      </w:r>
      <w:r w:rsidR="002A1A03" w:rsidRPr="00D47DAA">
        <w:rPr>
          <w:color w:val="000000" w:themeColor="text1"/>
        </w:rPr>
        <w:t xml:space="preserve"> including </w:t>
      </w:r>
      <w:r w:rsidR="00C778E9" w:rsidRPr="00D47DAA">
        <w:rPr>
          <w:color w:val="000000" w:themeColor="text1"/>
        </w:rPr>
        <w:t>legal and illegal</w:t>
      </w:r>
      <w:r w:rsidR="002A1A03" w:rsidRPr="00D47DAA">
        <w:rPr>
          <w:color w:val="000000" w:themeColor="text1"/>
        </w:rPr>
        <w:t xml:space="preserve"> migrants</w:t>
      </w:r>
      <w:r w:rsidR="00E016DD" w:rsidRPr="00D47DAA">
        <w:rPr>
          <w:color w:val="000000" w:themeColor="text1"/>
        </w:rPr>
        <w:t xml:space="preserve"> (Pelfrey, 2012, p. 70)</w:t>
      </w:r>
      <w:r w:rsidR="002A1A03" w:rsidRPr="00D47DAA">
        <w:rPr>
          <w:color w:val="000000" w:themeColor="text1"/>
        </w:rPr>
        <w:t xml:space="preserve">. </w:t>
      </w:r>
    </w:p>
    <w:p w14:paraId="53C8D806" w14:textId="39224F39" w:rsidR="002314A8" w:rsidRPr="00D47DAA" w:rsidRDefault="00C778E9" w:rsidP="00DF6211">
      <w:pPr>
        <w:ind w:firstLine="454"/>
        <w:rPr>
          <w:color w:val="000000" w:themeColor="text1"/>
        </w:rPr>
      </w:pPr>
      <w:r w:rsidRPr="00D47DAA">
        <w:rPr>
          <w:color w:val="000000" w:themeColor="text1"/>
        </w:rPr>
        <w:t xml:space="preserve">The full impact </w:t>
      </w:r>
      <w:r w:rsidR="00CF181C" w:rsidRPr="00D47DAA">
        <w:rPr>
          <w:color w:val="000000" w:themeColor="text1"/>
        </w:rPr>
        <w:t>on</w:t>
      </w:r>
      <w:r w:rsidRPr="00D47DAA">
        <w:rPr>
          <w:color w:val="000000" w:themeColor="text1"/>
        </w:rPr>
        <w:t xml:space="preserve"> higher education </w:t>
      </w:r>
      <w:r w:rsidR="002314A8" w:rsidRPr="00D47DAA">
        <w:rPr>
          <w:color w:val="000000" w:themeColor="text1"/>
        </w:rPr>
        <w:t>was not felt immediately</w:t>
      </w:r>
      <w:r w:rsidR="00EF48C3" w:rsidRPr="00D47DAA">
        <w:rPr>
          <w:color w:val="000000" w:themeColor="text1"/>
        </w:rPr>
        <w:t>. I</w:t>
      </w:r>
      <w:r w:rsidR="002314A8" w:rsidRPr="00D47DAA">
        <w:rPr>
          <w:color w:val="000000" w:themeColor="text1"/>
        </w:rPr>
        <w:t xml:space="preserve">t </w:t>
      </w:r>
      <w:r w:rsidRPr="00D47DAA">
        <w:rPr>
          <w:color w:val="000000" w:themeColor="text1"/>
        </w:rPr>
        <w:t>accumulated</w:t>
      </w:r>
      <w:r w:rsidR="00CF181C" w:rsidRPr="00D47DAA">
        <w:rPr>
          <w:color w:val="000000" w:themeColor="text1"/>
        </w:rPr>
        <w:t xml:space="preserve">. Periods of growing state revenue alternated with funding cuts that were not </w:t>
      </w:r>
      <w:r w:rsidR="00A84B09" w:rsidRPr="00D47DAA">
        <w:rPr>
          <w:color w:val="000000" w:themeColor="text1"/>
        </w:rPr>
        <w:t xml:space="preserve">fully </w:t>
      </w:r>
      <w:r w:rsidR="00CF181C" w:rsidRPr="00D47DAA">
        <w:rPr>
          <w:color w:val="000000" w:themeColor="text1"/>
        </w:rPr>
        <w:t>restored</w:t>
      </w:r>
      <w:r w:rsidR="00A84B09" w:rsidRPr="00D47DAA">
        <w:rPr>
          <w:color w:val="000000" w:themeColor="text1"/>
        </w:rPr>
        <w:t>.</w:t>
      </w:r>
      <w:r w:rsidR="002314A8" w:rsidRPr="00D47DAA">
        <w:rPr>
          <w:color w:val="000000" w:themeColor="text1"/>
        </w:rPr>
        <w:t xml:space="preserve"> </w:t>
      </w:r>
      <w:r w:rsidR="00965061" w:rsidRPr="00D47DAA">
        <w:rPr>
          <w:color w:val="000000" w:themeColor="text1"/>
        </w:rPr>
        <w:t>Fr</w:t>
      </w:r>
      <w:r w:rsidR="002314A8" w:rsidRPr="00D47DAA">
        <w:rPr>
          <w:color w:val="000000" w:themeColor="text1"/>
        </w:rPr>
        <w:t>om 1990</w:t>
      </w:r>
      <w:r w:rsidR="000A5443" w:rsidRPr="00D47DAA">
        <w:rPr>
          <w:color w:val="000000" w:themeColor="text1"/>
        </w:rPr>
        <w:t>,</w:t>
      </w:r>
      <w:r w:rsidR="002314A8" w:rsidRPr="00D47DAA">
        <w:rPr>
          <w:color w:val="000000" w:themeColor="text1"/>
        </w:rPr>
        <w:t xml:space="preserve"> it was apparent that California could no</w:t>
      </w:r>
      <w:r w:rsidR="00A84B09" w:rsidRPr="00D47DAA">
        <w:rPr>
          <w:color w:val="000000" w:themeColor="text1"/>
        </w:rPr>
        <w:t xml:space="preserve"> longer</w:t>
      </w:r>
      <w:r w:rsidR="002314A8" w:rsidRPr="00D47DAA">
        <w:rPr>
          <w:color w:val="000000" w:themeColor="text1"/>
        </w:rPr>
        <w:t xml:space="preserve"> fully support the Master Plan</w:t>
      </w:r>
      <w:r w:rsidR="00965061" w:rsidRPr="00D47DAA">
        <w:rPr>
          <w:color w:val="000000" w:themeColor="text1"/>
        </w:rPr>
        <w:t xml:space="preserve">. </w:t>
      </w:r>
      <w:r w:rsidR="00D622E1" w:rsidRPr="00D47DAA">
        <w:rPr>
          <w:color w:val="000000" w:themeColor="text1"/>
        </w:rPr>
        <w:t xml:space="preserve">Then </w:t>
      </w:r>
      <w:r w:rsidR="00CF181C" w:rsidRPr="00D47DAA">
        <w:rPr>
          <w:color w:val="000000" w:themeColor="text1"/>
        </w:rPr>
        <w:lastRenderedPageBreak/>
        <w:t xml:space="preserve">the 2008-2009 recession triggered a massive </w:t>
      </w:r>
      <w:r w:rsidR="002314A8" w:rsidRPr="00D47DAA">
        <w:rPr>
          <w:color w:val="000000" w:themeColor="text1"/>
        </w:rPr>
        <w:t xml:space="preserve">fiscal </w:t>
      </w:r>
      <w:r w:rsidR="00CF181C" w:rsidRPr="00D47DAA">
        <w:rPr>
          <w:color w:val="000000" w:themeColor="text1"/>
        </w:rPr>
        <w:t xml:space="preserve">decline </w:t>
      </w:r>
      <w:r w:rsidR="00A84B09" w:rsidRPr="00D47DAA">
        <w:rPr>
          <w:color w:val="000000" w:themeColor="text1"/>
        </w:rPr>
        <w:t xml:space="preserve">that was </w:t>
      </w:r>
      <w:r w:rsidR="00CF181C" w:rsidRPr="00D47DAA">
        <w:rPr>
          <w:color w:val="000000" w:themeColor="text1"/>
        </w:rPr>
        <w:t xml:space="preserve">passed on to all three </w:t>
      </w:r>
      <w:r w:rsidR="000A5443" w:rsidRPr="00D47DAA">
        <w:rPr>
          <w:color w:val="000000" w:themeColor="text1"/>
        </w:rPr>
        <w:t xml:space="preserve">public </w:t>
      </w:r>
      <w:r w:rsidR="00CF181C" w:rsidRPr="00D47DAA">
        <w:rPr>
          <w:color w:val="000000" w:themeColor="text1"/>
        </w:rPr>
        <w:t>systems</w:t>
      </w:r>
      <w:r w:rsidR="00A84B09" w:rsidRPr="00D47DAA">
        <w:rPr>
          <w:color w:val="000000" w:themeColor="text1"/>
        </w:rPr>
        <w:t xml:space="preserve">. Much of the reduction </w:t>
      </w:r>
      <w:r w:rsidR="002E61C0" w:rsidRPr="00D47DAA">
        <w:rPr>
          <w:color w:val="000000" w:themeColor="text1"/>
        </w:rPr>
        <w:t xml:space="preserve">in </w:t>
      </w:r>
      <w:r w:rsidR="000A5443" w:rsidRPr="00D47DAA">
        <w:rPr>
          <w:color w:val="000000" w:themeColor="text1"/>
        </w:rPr>
        <w:t>state</w:t>
      </w:r>
      <w:r w:rsidR="002E61C0" w:rsidRPr="00D47DAA">
        <w:rPr>
          <w:color w:val="000000" w:themeColor="text1"/>
        </w:rPr>
        <w:t xml:space="preserve"> funding now </w:t>
      </w:r>
      <w:r w:rsidR="00A84B09" w:rsidRPr="00D47DAA">
        <w:rPr>
          <w:color w:val="000000" w:themeColor="text1"/>
        </w:rPr>
        <w:t>looks permanent.</w:t>
      </w:r>
    </w:p>
    <w:p w14:paraId="39C306A1" w14:textId="689573F0" w:rsidR="00D51B82" w:rsidRPr="00D47DAA" w:rsidRDefault="00D51B82" w:rsidP="00DF6211">
      <w:pPr>
        <w:rPr>
          <w:color w:val="000000" w:themeColor="text1"/>
        </w:rPr>
      </w:pPr>
    </w:p>
    <w:p w14:paraId="27E1830A" w14:textId="19612BB9" w:rsidR="00D51B82" w:rsidRPr="00D47DAA" w:rsidRDefault="00A7250D" w:rsidP="00DF6211">
      <w:pPr>
        <w:rPr>
          <w:b/>
          <w:color w:val="000000" w:themeColor="text1"/>
        </w:rPr>
      </w:pPr>
      <w:r w:rsidRPr="00D47DAA">
        <w:rPr>
          <w:b/>
          <w:iCs/>
          <w:color w:val="000000" w:themeColor="text1"/>
        </w:rPr>
        <w:t>Evacuation of</w:t>
      </w:r>
      <w:r w:rsidR="00580297" w:rsidRPr="00D47DAA">
        <w:rPr>
          <w:b/>
          <w:iCs/>
          <w:color w:val="000000" w:themeColor="text1"/>
        </w:rPr>
        <w:t xml:space="preserve"> the common good</w:t>
      </w:r>
    </w:p>
    <w:p w14:paraId="739A73D1" w14:textId="77777777" w:rsidR="00E016DD" w:rsidRPr="00D47DAA" w:rsidRDefault="00E016DD" w:rsidP="00DF6211">
      <w:pPr>
        <w:rPr>
          <w:color w:val="000000" w:themeColor="text1"/>
        </w:rPr>
      </w:pPr>
    </w:p>
    <w:p w14:paraId="6E2D86F2" w14:textId="3704D94F" w:rsidR="002E61C0" w:rsidRPr="00D47DAA" w:rsidRDefault="00C47235" w:rsidP="00DF6211">
      <w:pPr>
        <w:rPr>
          <w:color w:val="000000" w:themeColor="text1"/>
        </w:rPr>
      </w:pPr>
      <w:r w:rsidRPr="00D47DAA">
        <w:rPr>
          <w:color w:val="000000" w:themeColor="text1"/>
        </w:rPr>
        <w:t>But w</w:t>
      </w:r>
      <w:r w:rsidR="001641CF" w:rsidRPr="00D47DAA">
        <w:rPr>
          <w:color w:val="000000" w:themeColor="text1"/>
        </w:rPr>
        <w:t>hy did support for the common public good deteriorate in California and in the United States</w:t>
      </w:r>
      <w:r w:rsidR="002E61C0" w:rsidRPr="00D47DAA">
        <w:rPr>
          <w:color w:val="000000" w:themeColor="text1"/>
        </w:rPr>
        <w:t>, at the level of mainstream economic and social policy</w:t>
      </w:r>
      <w:r w:rsidR="001641CF" w:rsidRPr="00D47DAA">
        <w:rPr>
          <w:color w:val="000000" w:themeColor="text1"/>
        </w:rPr>
        <w:t xml:space="preserve">? </w:t>
      </w:r>
      <w:r w:rsidR="002E61C0" w:rsidRPr="00D47DAA">
        <w:rPr>
          <w:color w:val="000000" w:themeColor="text1"/>
        </w:rPr>
        <w:t>More than a populist anti-</w:t>
      </w:r>
      <w:proofErr w:type="spellStart"/>
      <w:r w:rsidR="002E61C0" w:rsidRPr="00D47DAA">
        <w:rPr>
          <w:color w:val="000000" w:themeColor="text1"/>
        </w:rPr>
        <w:t>statism</w:t>
      </w:r>
      <w:proofErr w:type="spellEnd"/>
      <w:r w:rsidR="002E61C0" w:rsidRPr="00D47DAA">
        <w:rPr>
          <w:color w:val="000000" w:themeColor="text1"/>
        </w:rPr>
        <w:t xml:space="preserve"> or rhetorical rejection of taxation was involved in this policy displacement. </w:t>
      </w:r>
    </w:p>
    <w:p w14:paraId="03885BD7" w14:textId="20C77D64" w:rsidR="00FA202B" w:rsidRPr="00D47DAA" w:rsidRDefault="00C47235" w:rsidP="00DF6211">
      <w:pPr>
        <w:ind w:firstLine="454"/>
        <w:rPr>
          <w:color w:val="000000" w:themeColor="text1"/>
        </w:rPr>
      </w:pPr>
      <w:r w:rsidRPr="00D47DAA">
        <w:rPr>
          <w:color w:val="000000" w:themeColor="text1"/>
        </w:rPr>
        <w:t>T</w:t>
      </w:r>
      <w:r w:rsidR="00522A21" w:rsidRPr="00D47DAA">
        <w:rPr>
          <w:color w:val="000000" w:themeColor="text1"/>
        </w:rPr>
        <w:t xml:space="preserve">he ideas </w:t>
      </w:r>
      <w:r w:rsidR="00A7250D" w:rsidRPr="00D47DAA">
        <w:rPr>
          <w:color w:val="000000" w:themeColor="text1"/>
        </w:rPr>
        <w:t>tha</w:t>
      </w:r>
      <w:r w:rsidR="002E61C0" w:rsidRPr="00D47DAA">
        <w:rPr>
          <w:color w:val="000000" w:themeColor="text1"/>
        </w:rPr>
        <w:t>t gave respectability to</w:t>
      </w:r>
      <w:r w:rsidR="00522A21" w:rsidRPr="00D47DAA">
        <w:rPr>
          <w:color w:val="000000" w:themeColor="text1"/>
        </w:rPr>
        <w:t xml:space="preserve"> the tax revolt </w:t>
      </w:r>
      <w:r w:rsidR="00A7250D" w:rsidRPr="00D47DAA">
        <w:rPr>
          <w:color w:val="000000" w:themeColor="text1"/>
        </w:rPr>
        <w:t>originated</w:t>
      </w:r>
      <w:r w:rsidR="00522A21" w:rsidRPr="00D47DAA">
        <w:rPr>
          <w:color w:val="000000" w:themeColor="text1"/>
        </w:rPr>
        <w:t xml:space="preserve"> in Cold War </w:t>
      </w:r>
      <w:r w:rsidR="00031569" w:rsidRPr="00D47DAA">
        <w:rPr>
          <w:color w:val="000000" w:themeColor="text1"/>
        </w:rPr>
        <w:t>strategic circles in the United States</w:t>
      </w:r>
      <w:r w:rsidR="00A7250D" w:rsidRPr="00D47DAA">
        <w:rPr>
          <w:color w:val="000000" w:themeColor="text1"/>
        </w:rPr>
        <w:t xml:space="preserve"> soon after World War II</w:t>
      </w:r>
      <w:r w:rsidR="00522A21" w:rsidRPr="00D47DAA">
        <w:rPr>
          <w:color w:val="000000" w:themeColor="text1"/>
        </w:rPr>
        <w:t xml:space="preserve">. In 1951 </w:t>
      </w:r>
      <w:r w:rsidR="00031569" w:rsidRPr="00D47DAA">
        <w:rPr>
          <w:color w:val="000000" w:themeColor="text1"/>
        </w:rPr>
        <w:t>defenc</w:t>
      </w:r>
      <w:r w:rsidR="00522A21" w:rsidRPr="00D47DAA">
        <w:rPr>
          <w:color w:val="000000" w:themeColor="text1"/>
        </w:rPr>
        <w:t xml:space="preserve">e intellectual Kenneth Arrow </w:t>
      </w:r>
      <w:r w:rsidR="00FA202B" w:rsidRPr="00D47DAA">
        <w:rPr>
          <w:color w:val="000000" w:themeColor="text1"/>
        </w:rPr>
        <w:t xml:space="preserve">(1963) </w:t>
      </w:r>
      <w:r w:rsidR="00522A21" w:rsidRPr="00D47DAA">
        <w:rPr>
          <w:color w:val="000000" w:themeColor="text1"/>
        </w:rPr>
        <w:t>published a paper on ‘Social choice and individual values’</w:t>
      </w:r>
      <w:r w:rsidR="00031569" w:rsidRPr="00D47DAA">
        <w:rPr>
          <w:color w:val="000000" w:themeColor="text1"/>
        </w:rPr>
        <w:t xml:space="preserve">, </w:t>
      </w:r>
      <w:r w:rsidR="00522A21" w:rsidRPr="00D47DAA">
        <w:rPr>
          <w:color w:val="000000" w:themeColor="text1"/>
        </w:rPr>
        <w:t xml:space="preserve">which inquired into whether it was possible to derive collectively rational decisions from the aggregation of individuals’ preferences. Arrow used set theory to prove that when two or more </w:t>
      </w:r>
      <w:r w:rsidR="000A5443" w:rsidRPr="00D47DAA">
        <w:rPr>
          <w:color w:val="000000" w:themeColor="text1"/>
        </w:rPr>
        <w:t>persons made</w:t>
      </w:r>
      <w:r w:rsidR="00522A21" w:rsidRPr="00D47DAA">
        <w:rPr>
          <w:color w:val="000000" w:themeColor="text1"/>
        </w:rPr>
        <w:t xml:space="preserve"> decisions over three or more alternatives, it was logically impossible to derive collectively rational group decisions from the individual preferences, whether through voting, social welfare policy or markets. There was no prospect of achieving a common decision consistent with every person’s individual preferences. In instances of collective decision-making, one or the other assumption would have to give way—either the outcome of individual preferences would not be collectively rational, or individuals would lose their freedom to determine personal ends. </w:t>
      </w:r>
      <w:r w:rsidR="00031569" w:rsidRPr="00D47DAA">
        <w:rPr>
          <w:color w:val="000000" w:themeColor="text1"/>
        </w:rPr>
        <w:t xml:space="preserve">There could be no such thing as ‘the public good’ without violating individual freedoms. </w:t>
      </w:r>
      <w:r w:rsidR="00522A21" w:rsidRPr="00D47DAA">
        <w:rPr>
          <w:color w:val="000000" w:themeColor="text1"/>
        </w:rPr>
        <w:t xml:space="preserve">This became known as the ‘impossibility theorem’. </w:t>
      </w:r>
    </w:p>
    <w:p w14:paraId="51A646B1" w14:textId="7B7EF7AA" w:rsidR="00AE432D" w:rsidRPr="00D47DAA" w:rsidRDefault="00522A21" w:rsidP="00DF6211">
      <w:pPr>
        <w:ind w:firstLine="454"/>
        <w:rPr>
          <w:color w:val="000000" w:themeColor="text1"/>
        </w:rPr>
      </w:pPr>
      <w:r w:rsidRPr="00D47DAA">
        <w:rPr>
          <w:color w:val="000000" w:themeColor="text1"/>
        </w:rPr>
        <w:t xml:space="preserve">Crucially, Arrow’s </w:t>
      </w:r>
      <w:r w:rsidR="00FA202B" w:rsidRPr="00D47DAA">
        <w:rPr>
          <w:color w:val="000000" w:themeColor="text1"/>
        </w:rPr>
        <w:t xml:space="preserve">argument was grounded in his </w:t>
      </w:r>
      <w:r w:rsidRPr="00D47DAA">
        <w:rPr>
          <w:color w:val="000000" w:themeColor="text1"/>
        </w:rPr>
        <w:t xml:space="preserve">starting </w:t>
      </w:r>
      <w:r w:rsidR="00031569" w:rsidRPr="00D47DAA">
        <w:rPr>
          <w:color w:val="000000" w:themeColor="text1"/>
        </w:rPr>
        <w:t>position</w:t>
      </w:r>
      <w:r w:rsidRPr="00D47DAA">
        <w:rPr>
          <w:color w:val="000000" w:themeColor="text1"/>
        </w:rPr>
        <w:t xml:space="preserve">: that methodological individualism prevailed, meaning </w:t>
      </w:r>
      <w:r w:rsidR="00D260FA" w:rsidRPr="00D47DAA">
        <w:rPr>
          <w:color w:val="000000" w:themeColor="text1"/>
        </w:rPr>
        <w:t>that all goods were individualis</w:t>
      </w:r>
      <w:r w:rsidRPr="00D47DAA">
        <w:rPr>
          <w:color w:val="000000" w:themeColor="text1"/>
        </w:rPr>
        <w:t>ed, there were no collective social goods distinct from the aggregation of individual goods</w:t>
      </w:r>
      <w:r w:rsidR="00FA202B" w:rsidRPr="00D47DAA">
        <w:rPr>
          <w:color w:val="000000" w:themeColor="text1"/>
        </w:rPr>
        <w:t xml:space="preserve"> (</w:t>
      </w:r>
      <w:proofErr w:type="spellStart"/>
      <w:r w:rsidR="00FA202B" w:rsidRPr="00D47DAA">
        <w:rPr>
          <w:color w:val="000000" w:themeColor="text1"/>
        </w:rPr>
        <w:t>Lukes</w:t>
      </w:r>
      <w:proofErr w:type="spellEnd"/>
      <w:r w:rsidR="00FA202B" w:rsidRPr="00D47DAA">
        <w:rPr>
          <w:color w:val="000000" w:themeColor="text1"/>
        </w:rPr>
        <w:t xml:space="preserve">, 1973; </w:t>
      </w:r>
      <w:proofErr w:type="spellStart"/>
      <w:r w:rsidR="00FA202B" w:rsidRPr="00D47DAA">
        <w:rPr>
          <w:color w:val="000000" w:themeColor="text1"/>
        </w:rPr>
        <w:t>Amadae</w:t>
      </w:r>
      <w:proofErr w:type="spellEnd"/>
      <w:r w:rsidR="00FA202B" w:rsidRPr="00D47DAA">
        <w:rPr>
          <w:color w:val="000000" w:themeColor="text1"/>
        </w:rPr>
        <w:t>, 2003, p. 122)</w:t>
      </w:r>
      <w:r w:rsidRPr="00D47DAA">
        <w:rPr>
          <w:color w:val="000000" w:themeColor="text1"/>
        </w:rPr>
        <w:t xml:space="preserve">; that individuals made rational decisions based on utility; that </w:t>
      </w:r>
      <w:r w:rsidR="00031569" w:rsidRPr="00D47DAA">
        <w:rPr>
          <w:color w:val="000000" w:themeColor="text1"/>
        </w:rPr>
        <w:t>their</w:t>
      </w:r>
      <w:r w:rsidRPr="00D47DAA">
        <w:rPr>
          <w:color w:val="000000" w:themeColor="text1"/>
        </w:rPr>
        <w:t xml:space="preserve"> preferences were unrestricted and inviolable; and </w:t>
      </w:r>
      <w:r w:rsidR="00031569" w:rsidRPr="00D47DAA">
        <w:rPr>
          <w:color w:val="000000" w:themeColor="text1"/>
        </w:rPr>
        <w:t>the</w:t>
      </w:r>
      <w:r w:rsidRPr="00D47DAA">
        <w:rPr>
          <w:color w:val="000000" w:themeColor="text1"/>
        </w:rPr>
        <w:t xml:space="preserve"> preferences were incomparable</w:t>
      </w:r>
      <w:r w:rsidR="00FA202B" w:rsidRPr="00D47DAA">
        <w:rPr>
          <w:color w:val="000000" w:themeColor="text1"/>
        </w:rPr>
        <w:t xml:space="preserve"> (</w:t>
      </w:r>
      <w:proofErr w:type="spellStart"/>
      <w:r w:rsidR="00FA202B" w:rsidRPr="00D47DAA">
        <w:rPr>
          <w:color w:val="000000" w:themeColor="text1"/>
        </w:rPr>
        <w:t>Amadae</w:t>
      </w:r>
      <w:proofErr w:type="spellEnd"/>
      <w:r w:rsidR="00FA202B" w:rsidRPr="00D47DAA">
        <w:rPr>
          <w:color w:val="000000" w:themeColor="text1"/>
        </w:rPr>
        <w:t>, 2003, p. 84 and pp. 103-104)</w:t>
      </w:r>
      <w:r w:rsidRPr="00D47DAA">
        <w:rPr>
          <w:color w:val="000000" w:themeColor="text1"/>
        </w:rPr>
        <w:t xml:space="preserve">. </w:t>
      </w:r>
      <w:r w:rsidR="0032121C" w:rsidRPr="00D47DAA">
        <w:rPr>
          <w:color w:val="000000" w:themeColor="text1"/>
        </w:rPr>
        <w:t>An</w:t>
      </w:r>
      <w:r w:rsidR="00031569" w:rsidRPr="00D47DAA">
        <w:rPr>
          <w:color w:val="000000" w:themeColor="text1"/>
        </w:rPr>
        <w:t xml:space="preserve"> autarkic individual freedom was absolute</w:t>
      </w:r>
      <w:r w:rsidR="00A95EE8" w:rsidRPr="00D47DAA">
        <w:rPr>
          <w:color w:val="000000" w:themeColor="text1"/>
        </w:rPr>
        <w:t>. T</w:t>
      </w:r>
      <w:r w:rsidR="00031569" w:rsidRPr="00D47DAA">
        <w:rPr>
          <w:color w:val="000000" w:themeColor="text1"/>
        </w:rPr>
        <w:t>he shared conditions enabling that freedom to be enjoyed were taken for granted—</w:t>
      </w:r>
      <w:r w:rsidR="00FA202B" w:rsidRPr="00D47DAA">
        <w:rPr>
          <w:color w:val="000000" w:themeColor="text1"/>
        </w:rPr>
        <w:t>though</w:t>
      </w:r>
      <w:r w:rsidR="00031569" w:rsidRPr="00D47DAA">
        <w:rPr>
          <w:color w:val="000000" w:themeColor="text1"/>
        </w:rPr>
        <w:t xml:space="preserve"> such social conditions would be </w:t>
      </w:r>
      <w:r w:rsidR="0032121C" w:rsidRPr="00D47DAA">
        <w:rPr>
          <w:color w:val="000000" w:themeColor="text1"/>
        </w:rPr>
        <w:t>destroyed</w:t>
      </w:r>
      <w:r w:rsidR="00031569" w:rsidRPr="00D47DAA">
        <w:rPr>
          <w:color w:val="000000" w:themeColor="text1"/>
        </w:rPr>
        <w:t xml:space="preserve"> when all persons pursued their absolute self-interest without regard for others. However, the pure logic of Arrow’s ultra-individualist rejection of Soviet collectivism appealed to many </w:t>
      </w:r>
      <w:r w:rsidR="0032121C" w:rsidRPr="00D47DAA">
        <w:rPr>
          <w:color w:val="000000" w:themeColor="text1"/>
        </w:rPr>
        <w:t xml:space="preserve">American </w:t>
      </w:r>
      <w:r w:rsidR="00A7250D" w:rsidRPr="00D47DAA">
        <w:rPr>
          <w:color w:val="000000" w:themeColor="text1"/>
        </w:rPr>
        <w:t>intellectuals</w:t>
      </w:r>
      <w:r w:rsidR="00FA202B" w:rsidRPr="00D47DAA">
        <w:rPr>
          <w:color w:val="000000" w:themeColor="text1"/>
        </w:rPr>
        <w:t xml:space="preserve"> (p. 106)</w:t>
      </w:r>
      <w:r w:rsidR="00031569" w:rsidRPr="00D47DAA">
        <w:rPr>
          <w:color w:val="000000" w:themeColor="text1"/>
        </w:rPr>
        <w:t>. Arrow</w:t>
      </w:r>
      <w:r w:rsidR="00A13C49" w:rsidRPr="00D47DAA">
        <w:rPr>
          <w:color w:val="000000" w:themeColor="text1"/>
        </w:rPr>
        <w:t>’s ideas were taken</w:t>
      </w:r>
      <w:r w:rsidR="00031569" w:rsidRPr="00D47DAA">
        <w:rPr>
          <w:color w:val="000000" w:themeColor="text1"/>
        </w:rPr>
        <w:t xml:space="preserve"> further by James Buchanan</w:t>
      </w:r>
      <w:r w:rsidR="00A13C49" w:rsidRPr="00D47DAA">
        <w:rPr>
          <w:color w:val="000000" w:themeColor="text1"/>
        </w:rPr>
        <w:t>, the principal creator of public choice theory. Buchanan opposed himself to what he called</w:t>
      </w:r>
      <w:r w:rsidR="00031569" w:rsidRPr="00D47DAA">
        <w:rPr>
          <w:color w:val="000000" w:themeColor="text1"/>
        </w:rPr>
        <w:t xml:space="preserve"> the ‘normative delusion’ that ‘the state was, somehow, a benevolent entity and those who made decisions on behalf of the state were guided by consideration of the general or public interest’</w:t>
      </w:r>
      <w:r w:rsidR="00FA202B" w:rsidRPr="00D47DAA">
        <w:rPr>
          <w:color w:val="000000" w:themeColor="text1"/>
        </w:rPr>
        <w:t xml:space="preserve"> (Buchanan, 1997, p. 85)</w:t>
      </w:r>
      <w:r w:rsidR="00031569" w:rsidRPr="00D47DAA">
        <w:rPr>
          <w:color w:val="000000" w:themeColor="text1"/>
        </w:rPr>
        <w:t>.</w:t>
      </w:r>
    </w:p>
    <w:p w14:paraId="16F8B3A0" w14:textId="1FA086E0" w:rsidR="00A13C49" w:rsidRPr="00D47DAA" w:rsidRDefault="00A95EE8" w:rsidP="00DF6211">
      <w:pPr>
        <w:ind w:firstLine="454"/>
        <w:rPr>
          <w:color w:val="000000" w:themeColor="text1"/>
        </w:rPr>
      </w:pPr>
      <w:r w:rsidRPr="00D47DAA">
        <w:rPr>
          <w:color w:val="000000" w:themeColor="text1"/>
        </w:rPr>
        <w:t xml:space="preserve">Ideas matter. </w:t>
      </w:r>
      <w:r w:rsidR="00A13C49" w:rsidRPr="00D47DAA">
        <w:rPr>
          <w:color w:val="000000" w:themeColor="text1"/>
        </w:rPr>
        <w:t xml:space="preserve">With Ronald Reagan, the public choice theorists had a president </w:t>
      </w:r>
      <w:r w:rsidR="00C47235" w:rsidRPr="00D47DAA">
        <w:rPr>
          <w:color w:val="000000" w:themeColor="text1"/>
        </w:rPr>
        <w:t>willing</w:t>
      </w:r>
      <w:r w:rsidR="00A13C49" w:rsidRPr="00D47DAA">
        <w:rPr>
          <w:color w:val="000000" w:themeColor="text1"/>
        </w:rPr>
        <w:t xml:space="preserve"> to put their arguments into action. Re</w:t>
      </w:r>
      <w:r w:rsidRPr="00D47DAA">
        <w:rPr>
          <w:color w:val="000000" w:themeColor="text1"/>
        </w:rPr>
        <w:t>a</w:t>
      </w:r>
      <w:r w:rsidR="00A13C49" w:rsidRPr="00D47DAA">
        <w:rPr>
          <w:color w:val="000000" w:themeColor="text1"/>
        </w:rPr>
        <w:t>gan’s 1980 campaign slogan stat</w:t>
      </w:r>
      <w:r w:rsidR="0032121C" w:rsidRPr="00D47DAA">
        <w:rPr>
          <w:color w:val="000000" w:themeColor="text1"/>
        </w:rPr>
        <w:t>ed</w:t>
      </w:r>
      <w:r w:rsidR="00A13C49" w:rsidRPr="00D47DAA">
        <w:rPr>
          <w:color w:val="000000" w:themeColor="text1"/>
        </w:rPr>
        <w:t xml:space="preserve"> that government was not the solution, it was the problem, the exact reversal of the </w:t>
      </w:r>
      <w:r w:rsidR="0032121C" w:rsidRPr="00D47DAA">
        <w:rPr>
          <w:color w:val="000000" w:themeColor="text1"/>
        </w:rPr>
        <w:t>spirit of</w:t>
      </w:r>
      <w:r w:rsidR="00FA202B" w:rsidRPr="00D47DAA">
        <w:rPr>
          <w:color w:val="000000" w:themeColor="text1"/>
        </w:rPr>
        <w:t xml:space="preserve"> the 1960s</w:t>
      </w:r>
      <w:r w:rsidRPr="00D47DAA">
        <w:rPr>
          <w:color w:val="000000" w:themeColor="text1"/>
        </w:rPr>
        <w:t>,</w:t>
      </w:r>
      <w:r w:rsidR="00A13C49" w:rsidRPr="00D47DAA">
        <w:rPr>
          <w:color w:val="000000" w:themeColor="text1"/>
        </w:rPr>
        <w:t xml:space="preserve"> </w:t>
      </w:r>
      <w:r w:rsidR="0032121C" w:rsidRPr="00D47DAA">
        <w:rPr>
          <w:color w:val="000000" w:themeColor="text1"/>
        </w:rPr>
        <w:t>when there was</w:t>
      </w:r>
      <w:r w:rsidR="00A13C49" w:rsidRPr="00D47DAA">
        <w:rPr>
          <w:color w:val="000000" w:themeColor="text1"/>
        </w:rPr>
        <w:t xml:space="preserve"> public support for large collective solutions</w:t>
      </w:r>
      <w:r w:rsidR="00FA202B" w:rsidRPr="00D47DAA">
        <w:rPr>
          <w:color w:val="000000" w:themeColor="text1"/>
        </w:rPr>
        <w:t xml:space="preserve"> of Master Plan</w:t>
      </w:r>
      <w:r w:rsidR="0032121C" w:rsidRPr="00D47DAA">
        <w:rPr>
          <w:color w:val="000000" w:themeColor="text1"/>
        </w:rPr>
        <w:t xml:space="preserve"> type</w:t>
      </w:r>
      <w:r w:rsidR="00A13C49" w:rsidRPr="00D47DAA">
        <w:rPr>
          <w:color w:val="000000" w:themeColor="text1"/>
        </w:rPr>
        <w:t xml:space="preserve">. </w:t>
      </w:r>
      <w:r w:rsidR="0032121C" w:rsidRPr="00D47DAA">
        <w:rPr>
          <w:color w:val="000000" w:themeColor="text1"/>
        </w:rPr>
        <w:t>While</w:t>
      </w:r>
      <w:r w:rsidR="00A13C49" w:rsidRPr="00D47DAA">
        <w:rPr>
          <w:color w:val="000000" w:themeColor="text1"/>
        </w:rPr>
        <w:t xml:space="preserve"> setting himself against the notion of a common public interest, Reagan reduced taxation on high incomes and capital gains, reduced spending on social programmes, </w:t>
      </w:r>
      <w:r w:rsidR="00251481" w:rsidRPr="00D47DAA">
        <w:rPr>
          <w:color w:val="000000" w:themeColor="text1"/>
        </w:rPr>
        <w:t xml:space="preserve">including federal education funding, </w:t>
      </w:r>
      <w:r w:rsidR="00A13C49" w:rsidRPr="00D47DAA">
        <w:rPr>
          <w:color w:val="000000" w:themeColor="text1"/>
        </w:rPr>
        <w:t xml:space="preserve">and weakened unions in the workplace, opening a surge in executive incomes. The top tax rate </w:t>
      </w:r>
      <w:r w:rsidR="00251481" w:rsidRPr="00D47DAA">
        <w:rPr>
          <w:color w:val="000000" w:themeColor="text1"/>
        </w:rPr>
        <w:t>fell</w:t>
      </w:r>
      <w:r w:rsidR="00A13C49" w:rsidRPr="00D47DAA">
        <w:rPr>
          <w:color w:val="000000" w:themeColor="text1"/>
        </w:rPr>
        <w:t xml:space="preserve"> from 70 per cent to 28 per cent. </w:t>
      </w:r>
      <w:r w:rsidR="00A7250D" w:rsidRPr="00D47DAA">
        <w:rPr>
          <w:color w:val="000000" w:themeColor="text1"/>
        </w:rPr>
        <w:t>Not coincidentally, t</w:t>
      </w:r>
      <w:r w:rsidR="00A13C49" w:rsidRPr="00D47DAA">
        <w:rPr>
          <w:color w:val="000000" w:themeColor="text1"/>
        </w:rPr>
        <w:t xml:space="preserve">he </w:t>
      </w:r>
      <w:r w:rsidR="00332CD9" w:rsidRPr="00D47DAA">
        <w:rPr>
          <w:color w:val="000000" w:themeColor="text1"/>
        </w:rPr>
        <w:t>increase</w:t>
      </w:r>
      <w:r w:rsidR="00A13C49" w:rsidRPr="00D47DAA">
        <w:rPr>
          <w:color w:val="000000" w:themeColor="text1"/>
        </w:rPr>
        <w:t xml:space="preserve"> in measured </w:t>
      </w:r>
      <w:r w:rsidR="00332CD9" w:rsidRPr="00D47DAA">
        <w:rPr>
          <w:color w:val="000000" w:themeColor="text1"/>
        </w:rPr>
        <w:t xml:space="preserve">income </w:t>
      </w:r>
      <w:r w:rsidR="00A13C49" w:rsidRPr="00D47DAA">
        <w:rPr>
          <w:color w:val="000000" w:themeColor="text1"/>
        </w:rPr>
        <w:t xml:space="preserve">inequality in the United States dates from 1980. </w:t>
      </w:r>
    </w:p>
    <w:p w14:paraId="498750B7" w14:textId="77777777" w:rsidR="00A13C49" w:rsidRPr="00D47DAA" w:rsidRDefault="00A13C49" w:rsidP="00DF6211">
      <w:pPr>
        <w:rPr>
          <w:color w:val="000000" w:themeColor="text1"/>
        </w:rPr>
      </w:pPr>
    </w:p>
    <w:p w14:paraId="36726E1C" w14:textId="1294B0ED" w:rsidR="00251481" w:rsidRPr="00D47DAA" w:rsidRDefault="00251481" w:rsidP="00DF6211">
      <w:pPr>
        <w:rPr>
          <w:b/>
          <w:color w:val="000000" w:themeColor="text1"/>
        </w:rPr>
      </w:pPr>
      <w:r w:rsidRPr="00D47DAA">
        <w:rPr>
          <w:b/>
          <w:iCs/>
          <w:color w:val="000000" w:themeColor="text1"/>
        </w:rPr>
        <w:t xml:space="preserve">Income </w:t>
      </w:r>
      <w:r w:rsidR="00FA202B" w:rsidRPr="00D47DAA">
        <w:rPr>
          <w:b/>
          <w:iCs/>
          <w:color w:val="000000" w:themeColor="text1"/>
        </w:rPr>
        <w:t>inequality after 1980</w:t>
      </w:r>
    </w:p>
    <w:p w14:paraId="1228B043" w14:textId="77777777" w:rsidR="00FA202B" w:rsidRPr="00D47DAA" w:rsidRDefault="00FA202B" w:rsidP="00DF6211">
      <w:pPr>
        <w:rPr>
          <w:color w:val="000000" w:themeColor="text1"/>
        </w:rPr>
      </w:pPr>
    </w:p>
    <w:p w14:paraId="3BC0F14E" w14:textId="6285D9D9" w:rsidR="00C47235" w:rsidRPr="00D47DAA" w:rsidRDefault="00C47235" w:rsidP="00DF6211">
      <w:pPr>
        <w:rPr>
          <w:color w:val="000000" w:themeColor="text1"/>
        </w:rPr>
      </w:pPr>
      <w:r w:rsidRPr="00D47DAA">
        <w:rPr>
          <w:color w:val="000000" w:themeColor="text1"/>
        </w:rPr>
        <w:t>Since 1980 the</w:t>
      </w:r>
      <w:r w:rsidR="00A95EE8" w:rsidRPr="00D47DAA">
        <w:rPr>
          <w:color w:val="000000" w:themeColor="text1"/>
        </w:rPr>
        <w:t>re has been extraordinary</w:t>
      </w:r>
      <w:r w:rsidRPr="00D47DAA">
        <w:rPr>
          <w:color w:val="000000" w:themeColor="text1"/>
        </w:rPr>
        <w:t xml:space="preserve"> growth </w:t>
      </w:r>
      <w:r w:rsidR="00A95EE8" w:rsidRPr="00D47DAA">
        <w:rPr>
          <w:color w:val="000000" w:themeColor="text1"/>
        </w:rPr>
        <w:t xml:space="preserve">in the </w:t>
      </w:r>
      <w:r w:rsidRPr="00D47DAA">
        <w:rPr>
          <w:color w:val="000000" w:themeColor="text1"/>
        </w:rPr>
        <w:t xml:space="preserve">inequality of </w:t>
      </w:r>
      <w:r w:rsidR="00A95EE8" w:rsidRPr="00D47DAA">
        <w:rPr>
          <w:color w:val="000000" w:themeColor="text1"/>
        </w:rPr>
        <w:t xml:space="preserve">private </w:t>
      </w:r>
      <w:r w:rsidRPr="00D47DAA">
        <w:rPr>
          <w:color w:val="000000" w:themeColor="text1"/>
        </w:rPr>
        <w:t>incomes and wealth</w:t>
      </w:r>
      <w:r w:rsidR="00764D13" w:rsidRPr="00D47DAA">
        <w:rPr>
          <w:color w:val="000000" w:themeColor="text1"/>
        </w:rPr>
        <w:t xml:space="preserve"> in the United States</w:t>
      </w:r>
      <w:r w:rsidR="00A95EE8" w:rsidRPr="00D47DAA">
        <w:rPr>
          <w:color w:val="000000" w:themeColor="text1"/>
        </w:rPr>
        <w:t>, freed up by th</w:t>
      </w:r>
      <w:r w:rsidR="0032121C" w:rsidRPr="00D47DAA">
        <w:rPr>
          <w:color w:val="000000" w:themeColor="text1"/>
        </w:rPr>
        <w:t>is policy</w:t>
      </w:r>
      <w:r w:rsidR="00A95EE8" w:rsidRPr="00D47DAA">
        <w:rPr>
          <w:color w:val="000000" w:themeColor="text1"/>
        </w:rPr>
        <w:t xml:space="preserve"> evacuation of the public good. Growing inequality has reworked</w:t>
      </w:r>
      <w:r w:rsidRPr="00D47DAA">
        <w:rPr>
          <w:color w:val="000000" w:themeColor="text1"/>
        </w:rPr>
        <w:t xml:space="preserve"> the conditions, character and potentials of </w:t>
      </w:r>
      <w:r w:rsidR="0032121C" w:rsidRPr="00D47DAA">
        <w:rPr>
          <w:color w:val="000000" w:themeColor="text1"/>
        </w:rPr>
        <w:t xml:space="preserve">programmes focused on </w:t>
      </w:r>
      <w:r w:rsidR="0032121C" w:rsidRPr="00D47DAA">
        <w:rPr>
          <w:color w:val="000000" w:themeColor="text1"/>
        </w:rPr>
        <w:lastRenderedPageBreak/>
        <w:t>equality</w:t>
      </w:r>
      <w:r w:rsidR="00A95EE8" w:rsidRPr="00D47DAA">
        <w:rPr>
          <w:color w:val="000000" w:themeColor="text1"/>
        </w:rPr>
        <w:t xml:space="preserve">, </w:t>
      </w:r>
      <w:r w:rsidR="00764D13" w:rsidRPr="00D47DAA">
        <w:rPr>
          <w:color w:val="000000" w:themeColor="text1"/>
        </w:rPr>
        <w:t xml:space="preserve">pulling </w:t>
      </w:r>
      <w:r w:rsidR="0032121C" w:rsidRPr="00D47DAA">
        <w:rPr>
          <w:color w:val="000000" w:themeColor="text1"/>
        </w:rPr>
        <w:t>public higher education</w:t>
      </w:r>
      <w:r w:rsidR="00764D13" w:rsidRPr="00D47DAA">
        <w:rPr>
          <w:color w:val="000000" w:themeColor="text1"/>
        </w:rPr>
        <w:t xml:space="preserve"> </w:t>
      </w:r>
      <w:r w:rsidR="00A95EE8" w:rsidRPr="00D47DAA">
        <w:rPr>
          <w:color w:val="000000" w:themeColor="text1"/>
        </w:rPr>
        <w:t>away</w:t>
      </w:r>
      <w:r w:rsidRPr="00D47DAA">
        <w:rPr>
          <w:color w:val="000000" w:themeColor="text1"/>
        </w:rPr>
        <w:t xml:space="preserve"> from the world that Clark Kerr and his colleagues inhabited and served</w:t>
      </w:r>
      <w:r w:rsidR="00764D13" w:rsidRPr="00D47DAA">
        <w:rPr>
          <w:color w:val="000000" w:themeColor="text1"/>
        </w:rPr>
        <w:t>, in which the Master Plan was a practical solution</w:t>
      </w:r>
      <w:r w:rsidRPr="00D47DAA">
        <w:rPr>
          <w:color w:val="000000" w:themeColor="text1"/>
        </w:rPr>
        <w:t xml:space="preserve">. </w:t>
      </w:r>
    </w:p>
    <w:p w14:paraId="2122969C" w14:textId="7BC0AE60" w:rsidR="00C47235" w:rsidRPr="00D47DAA" w:rsidRDefault="00C47235" w:rsidP="00DF6211">
      <w:pPr>
        <w:ind w:firstLine="454"/>
        <w:rPr>
          <w:color w:val="000000" w:themeColor="text1"/>
        </w:rPr>
      </w:pPr>
      <w:r w:rsidRPr="00D47DAA">
        <w:rPr>
          <w:color w:val="000000" w:themeColor="text1"/>
        </w:rPr>
        <w:t>In the Anglo-American countries, the concentration of wealth and income in hands of each of the top 10 per cent, top 1 per cent, top 0.1 per cent and top 0.01</w:t>
      </w:r>
      <w:r w:rsidR="00764D13" w:rsidRPr="00D47DAA">
        <w:rPr>
          <w:color w:val="000000" w:themeColor="text1"/>
        </w:rPr>
        <w:t xml:space="preserve"> per cent</w:t>
      </w:r>
      <w:r w:rsidR="0032121C" w:rsidRPr="00D47DAA">
        <w:rPr>
          <w:color w:val="000000" w:themeColor="text1"/>
        </w:rPr>
        <w:t xml:space="preserve"> </w:t>
      </w:r>
      <w:r w:rsidR="00764D13" w:rsidRPr="00D47DAA">
        <w:rPr>
          <w:color w:val="000000" w:themeColor="text1"/>
        </w:rPr>
        <w:t xml:space="preserve">have </w:t>
      </w:r>
      <w:r w:rsidRPr="00D47DAA">
        <w:rPr>
          <w:color w:val="000000" w:themeColor="text1"/>
        </w:rPr>
        <w:t>risen very considerably since 1980</w:t>
      </w:r>
      <w:r w:rsidR="00764D13" w:rsidRPr="00D47DAA">
        <w:rPr>
          <w:color w:val="000000" w:themeColor="text1"/>
        </w:rPr>
        <w:t xml:space="preserve"> (Piketty, 2014; Stiglitz, 2013; Dorling, 2014; OECD,</w:t>
      </w:r>
      <w:r w:rsidR="0023102B" w:rsidRPr="00D47DAA">
        <w:rPr>
          <w:color w:val="000000" w:themeColor="text1"/>
        </w:rPr>
        <w:t xml:space="preserve"> 2014</w:t>
      </w:r>
      <w:r w:rsidR="00764D13" w:rsidRPr="00D47DAA">
        <w:rPr>
          <w:color w:val="000000" w:themeColor="text1"/>
        </w:rPr>
        <w:t>.)</w:t>
      </w:r>
      <w:r w:rsidRPr="00D47DAA">
        <w:rPr>
          <w:color w:val="000000" w:themeColor="text1"/>
        </w:rPr>
        <w:t xml:space="preserve">. Between 1980 and 2010 in the US the income share held by the top 0.1 per cent </w:t>
      </w:r>
      <w:r w:rsidR="0032121C" w:rsidRPr="00D47DAA">
        <w:rPr>
          <w:color w:val="000000" w:themeColor="text1"/>
        </w:rPr>
        <w:t xml:space="preserve">of persons </w:t>
      </w:r>
      <w:r w:rsidRPr="00D47DAA">
        <w:rPr>
          <w:color w:val="000000" w:themeColor="text1"/>
        </w:rPr>
        <w:t>rose from 2 per cent to nearly 10 per cent. Piketty finds that income from labo</w:t>
      </w:r>
      <w:r w:rsidR="0057132E" w:rsidRPr="00D47DAA">
        <w:rPr>
          <w:color w:val="000000" w:themeColor="text1"/>
        </w:rPr>
        <w:t>u</w:t>
      </w:r>
      <w:r w:rsidRPr="00D47DAA">
        <w:rPr>
          <w:color w:val="000000" w:themeColor="text1"/>
        </w:rPr>
        <w:t>r in the United States is now ‘about as unequally distributed as has ever been observed anywhere</w:t>
      </w:r>
      <w:r w:rsidR="00764D13" w:rsidRPr="00D47DAA">
        <w:rPr>
          <w:color w:val="000000" w:themeColor="text1"/>
        </w:rPr>
        <w:t xml:space="preserve"> (Piketty, 2014, p. 319 and p. 256)</w:t>
      </w:r>
      <w:r w:rsidR="0057132E" w:rsidRPr="00D47DAA">
        <w:rPr>
          <w:color w:val="000000" w:themeColor="text1"/>
        </w:rPr>
        <w:t>.</w:t>
      </w:r>
      <w:r w:rsidRPr="00D47DAA">
        <w:rPr>
          <w:color w:val="000000" w:themeColor="text1"/>
        </w:rPr>
        <w:t xml:space="preserve"> </w:t>
      </w:r>
      <w:r w:rsidR="0057132E" w:rsidRPr="00D47DAA">
        <w:rPr>
          <w:color w:val="000000" w:themeColor="text1"/>
        </w:rPr>
        <w:t xml:space="preserve">Eduardo </w:t>
      </w:r>
      <w:proofErr w:type="spellStart"/>
      <w:r w:rsidRPr="00D47DAA">
        <w:rPr>
          <w:color w:val="000000" w:themeColor="text1"/>
        </w:rPr>
        <w:t>Saez</w:t>
      </w:r>
      <w:proofErr w:type="spellEnd"/>
      <w:r w:rsidRPr="00D47DAA">
        <w:rPr>
          <w:color w:val="000000" w:themeColor="text1"/>
        </w:rPr>
        <w:t xml:space="preserve"> (2013) notes that the top 1 per cent of income earners in the United States captured 95 per cent of the income gains made in the recovery after the recession, in 2009-2012</w:t>
      </w:r>
      <w:r w:rsidR="00764D13" w:rsidRPr="00D47DAA">
        <w:rPr>
          <w:color w:val="000000" w:themeColor="text1"/>
        </w:rPr>
        <w:t xml:space="preserve"> (</w:t>
      </w:r>
      <w:proofErr w:type="spellStart"/>
      <w:r w:rsidR="00764D13" w:rsidRPr="00D47DAA">
        <w:rPr>
          <w:color w:val="000000" w:themeColor="text1"/>
        </w:rPr>
        <w:t>Saez</w:t>
      </w:r>
      <w:proofErr w:type="spellEnd"/>
      <w:r w:rsidR="00764D13" w:rsidRPr="00D47DAA">
        <w:rPr>
          <w:color w:val="000000" w:themeColor="text1"/>
        </w:rPr>
        <w:t>, 2013, p. 3)</w:t>
      </w:r>
      <w:r w:rsidRPr="00D47DAA">
        <w:rPr>
          <w:color w:val="000000" w:themeColor="text1"/>
        </w:rPr>
        <w:t xml:space="preserve">. At the </w:t>
      </w:r>
      <w:r w:rsidR="0057132E" w:rsidRPr="00D47DAA">
        <w:rPr>
          <w:color w:val="000000" w:themeColor="text1"/>
        </w:rPr>
        <w:t>other</w:t>
      </w:r>
      <w:r w:rsidR="00A95EE8" w:rsidRPr="00D47DAA">
        <w:rPr>
          <w:color w:val="000000" w:themeColor="text1"/>
        </w:rPr>
        <w:t xml:space="preserve"> end of the scale, </w:t>
      </w:r>
      <w:r w:rsidR="0057132E" w:rsidRPr="00D47DAA">
        <w:rPr>
          <w:color w:val="000000" w:themeColor="text1"/>
        </w:rPr>
        <w:t>between 2000 and 2010</w:t>
      </w:r>
      <w:r w:rsidRPr="00D47DAA">
        <w:rPr>
          <w:color w:val="000000" w:themeColor="text1"/>
        </w:rPr>
        <w:t xml:space="preserve"> the average income of the poorest 10 per cent of Americans fell by 15 per cent in real terms</w:t>
      </w:r>
      <w:r w:rsidR="0057132E" w:rsidRPr="00D47DAA">
        <w:rPr>
          <w:color w:val="000000" w:themeColor="text1"/>
        </w:rPr>
        <w:t>, according to the OECD</w:t>
      </w:r>
      <w:r w:rsidR="00764D13" w:rsidRPr="00D47DAA">
        <w:rPr>
          <w:color w:val="000000" w:themeColor="text1"/>
        </w:rPr>
        <w:t xml:space="preserve"> (</w:t>
      </w:r>
      <w:proofErr w:type="spellStart"/>
      <w:r w:rsidR="00764D13" w:rsidRPr="00D47DAA">
        <w:rPr>
          <w:color w:val="000000" w:themeColor="text1"/>
        </w:rPr>
        <w:t>OECD</w:t>
      </w:r>
      <w:proofErr w:type="spellEnd"/>
      <w:r w:rsidR="00764D13" w:rsidRPr="00D47DAA">
        <w:rPr>
          <w:color w:val="000000" w:themeColor="text1"/>
        </w:rPr>
        <w:t>,</w:t>
      </w:r>
      <w:r w:rsidR="0023102B" w:rsidRPr="00D47DAA">
        <w:rPr>
          <w:color w:val="000000" w:themeColor="text1"/>
        </w:rPr>
        <w:t xml:space="preserve"> 2014</w:t>
      </w:r>
      <w:r w:rsidR="00764D13" w:rsidRPr="00D47DAA">
        <w:rPr>
          <w:color w:val="000000" w:themeColor="text1"/>
        </w:rPr>
        <w:t>, p. 1)</w:t>
      </w:r>
      <w:r w:rsidRPr="00D47DAA">
        <w:rPr>
          <w:color w:val="000000" w:themeColor="text1"/>
        </w:rPr>
        <w:t xml:space="preserve">. </w:t>
      </w:r>
    </w:p>
    <w:p w14:paraId="169E8CDA" w14:textId="7A5177C8" w:rsidR="00C47235" w:rsidRPr="00D47DAA" w:rsidRDefault="0057132E" w:rsidP="00DF6211">
      <w:pPr>
        <w:ind w:firstLine="454"/>
        <w:rPr>
          <w:color w:val="000000" w:themeColor="text1"/>
        </w:rPr>
      </w:pPr>
      <w:r w:rsidRPr="00D47DAA">
        <w:rPr>
          <w:color w:val="000000" w:themeColor="text1"/>
        </w:rPr>
        <w:t>In</w:t>
      </w:r>
      <w:r w:rsidR="00C47235" w:rsidRPr="00D47DAA">
        <w:rPr>
          <w:color w:val="000000" w:themeColor="text1"/>
        </w:rPr>
        <w:t xml:space="preserve"> </w:t>
      </w:r>
      <w:r w:rsidRPr="00D47DAA">
        <w:rPr>
          <w:color w:val="000000" w:themeColor="text1"/>
        </w:rPr>
        <w:t>the Nordic countries in the 1970s</w:t>
      </w:r>
      <w:r w:rsidR="00C47235" w:rsidRPr="00D47DAA">
        <w:rPr>
          <w:color w:val="000000" w:themeColor="text1"/>
        </w:rPr>
        <w:t>, the most equal modern societies, the top 1 per cent received about 7 per cent of all income. In Europe in 2010, the top 1 per cent received 10 per cent</w:t>
      </w:r>
      <w:r w:rsidRPr="00D47DAA">
        <w:rPr>
          <w:color w:val="000000" w:themeColor="text1"/>
        </w:rPr>
        <w:t xml:space="preserve">, in </w:t>
      </w:r>
      <w:r w:rsidR="00C47235" w:rsidRPr="00D47DAA">
        <w:rPr>
          <w:color w:val="000000" w:themeColor="text1"/>
        </w:rPr>
        <w:t>the United States 20 per cent, same level as in the aristocrat</w:t>
      </w:r>
      <w:r w:rsidRPr="00D47DAA">
        <w:rPr>
          <w:color w:val="000000" w:themeColor="text1"/>
        </w:rPr>
        <w:t xml:space="preserve">ic </w:t>
      </w:r>
      <w:r w:rsidR="00C47235" w:rsidRPr="00D47DAA">
        <w:rPr>
          <w:color w:val="000000" w:themeColor="text1"/>
        </w:rPr>
        <w:t>societies of late nineteenth century Europe</w:t>
      </w:r>
      <w:r w:rsidR="00764D13" w:rsidRPr="00D47DAA">
        <w:rPr>
          <w:color w:val="000000" w:themeColor="text1"/>
        </w:rPr>
        <w:t xml:space="preserve"> (Piketty, 2014, pp. 247-249)</w:t>
      </w:r>
      <w:r w:rsidR="00C47235" w:rsidRPr="00D47DAA">
        <w:rPr>
          <w:color w:val="000000" w:themeColor="text1"/>
        </w:rPr>
        <w:t xml:space="preserve">. However, </w:t>
      </w:r>
      <w:r w:rsidR="00F34D3B" w:rsidRPr="00D47DAA">
        <w:rPr>
          <w:color w:val="000000" w:themeColor="text1"/>
        </w:rPr>
        <w:t>t</w:t>
      </w:r>
      <w:r w:rsidR="00392330" w:rsidRPr="00D47DAA">
        <w:rPr>
          <w:color w:val="000000" w:themeColor="text1"/>
        </w:rPr>
        <w:t xml:space="preserve">he modern form of salary-based inequality is legitimated by </w:t>
      </w:r>
      <w:r w:rsidR="0032121C" w:rsidRPr="00D47DAA">
        <w:rPr>
          <w:color w:val="000000" w:themeColor="text1"/>
        </w:rPr>
        <w:t>apparent</w:t>
      </w:r>
      <w:r w:rsidR="00392330" w:rsidRPr="00D47DAA">
        <w:rPr>
          <w:color w:val="000000" w:themeColor="text1"/>
        </w:rPr>
        <w:t xml:space="preserve"> merit. </w:t>
      </w:r>
      <w:r w:rsidR="0032121C" w:rsidRPr="00D47DAA">
        <w:rPr>
          <w:color w:val="000000" w:themeColor="text1"/>
        </w:rPr>
        <w:t>High pay</w:t>
      </w:r>
      <w:r w:rsidR="00392330" w:rsidRPr="00D47DAA">
        <w:rPr>
          <w:color w:val="000000" w:themeColor="text1"/>
        </w:rPr>
        <w:t xml:space="preserve"> </w:t>
      </w:r>
      <w:proofErr w:type="gramStart"/>
      <w:r w:rsidR="00392330" w:rsidRPr="00D47DAA">
        <w:rPr>
          <w:color w:val="000000" w:themeColor="text1"/>
        </w:rPr>
        <w:t>is seen as</w:t>
      </w:r>
      <w:proofErr w:type="gramEnd"/>
      <w:r w:rsidR="00392330" w:rsidRPr="00D47DAA">
        <w:rPr>
          <w:color w:val="000000" w:themeColor="text1"/>
        </w:rPr>
        <w:t xml:space="preserve"> the product of hard work, not just property and capital, though as </w:t>
      </w:r>
      <w:r w:rsidR="0032121C" w:rsidRPr="00D47DAA">
        <w:rPr>
          <w:color w:val="000000" w:themeColor="text1"/>
        </w:rPr>
        <w:t xml:space="preserve">shown by </w:t>
      </w:r>
      <w:r w:rsidR="00392330" w:rsidRPr="00D47DAA">
        <w:rPr>
          <w:color w:val="000000" w:themeColor="text1"/>
        </w:rPr>
        <w:t>the role of networks in elite graduate recruitment, competition for high incomes is not a level playing field. Piketty calls the United States ‘a “</w:t>
      </w:r>
      <w:proofErr w:type="spellStart"/>
      <w:r w:rsidR="00392330" w:rsidRPr="00D47DAA">
        <w:rPr>
          <w:color w:val="000000" w:themeColor="text1"/>
        </w:rPr>
        <w:t>hypermeritocratic</w:t>
      </w:r>
      <w:proofErr w:type="spellEnd"/>
      <w:r w:rsidR="00392330" w:rsidRPr="00D47DAA">
        <w:rPr>
          <w:color w:val="000000" w:themeColor="text1"/>
        </w:rPr>
        <w:t xml:space="preserve"> society”’—or at least, ‘a society that the people at the top like to describe as </w:t>
      </w:r>
      <w:proofErr w:type="spellStart"/>
      <w:r w:rsidR="00392330" w:rsidRPr="00D47DAA">
        <w:rPr>
          <w:color w:val="000000" w:themeColor="text1"/>
        </w:rPr>
        <w:t>hypermeritocratic</w:t>
      </w:r>
      <w:proofErr w:type="spellEnd"/>
      <w:r w:rsidR="00392330" w:rsidRPr="00D47DAA">
        <w:rPr>
          <w:color w:val="000000" w:themeColor="text1"/>
        </w:rPr>
        <w:t xml:space="preserve">… a very </w:t>
      </w:r>
      <w:proofErr w:type="spellStart"/>
      <w:r w:rsidR="00392330" w:rsidRPr="00D47DAA">
        <w:rPr>
          <w:color w:val="000000" w:themeColor="text1"/>
        </w:rPr>
        <w:t>inegalitarian</w:t>
      </w:r>
      <w:proofErr w:type="spellEnd"/>
      <w:r w:rsidR="00392330" w:rsidRPr="00D47DAA">
        <w:rPr>
          <w:color w:val="000000" w:themeColor="text1"/>
        </w:rPr>
        <w:t xml:space="preserve"> society, but one in which the peak of the income hierarchy is dominated by very high incomes from labo</w:t>
      </w:r>
      <w:r w:rsidR="0032121C" w:rsidRPr="00D47DAA">
        <w:rPr>
          <w:color w:val="000000" w:themeColor="text1"/>
        </w:rPr>
        <w:t>u</w:t>
      </w:r>
      <w:r w:rsidR="00392330" w:rsidRPr="00D47DAA">
        <w:rPr>
          <w:color w:val="000000" w:themeColor="text1"/>
        </w:rPr>
        <w:t xml:space="preserve">r </w:t>
      </w:r>
      <w:r w:rsidR="00764D13" w:rsidRPr="00D47DAA">
        <w:rPr>
          <w:color w:val="000000" w:themeColor="text1"/>
        </w:rPr>
        <w:t>rather than by inherited wealth</w:t>
      </w:r>
      <w:r w:rsidR="00392330" w:rsidRPr="00D47DAA">
        <w:rPr>
          <w:color w:val="000000" w:themeColor="text1"/>
        </w:rPr>
        <w:t>’</w:t>
      </w:r>
      <w:r w:rsidR="00764D13" w:rsidRPr="00D47DAA">
        <w:rPr>
          <w:color w:val="000000" w:themeColor="text1"/>
        </w:rPr>
        <w:t xml:space="preserve"> (pp. 264-265).</w:t>
      </w:r>
      <w:r w:rsidR="00392330" w:rsidRPr="00D47DAA">
        <w:rPr>
          <w:color w:val="000000" w:themeColor="text1"/>
        </w:rPr>
        <w:t xml:space="preserve"> </w:t>
      </w:r>
      <w:r w:rsidR="00C47235" w:rsidRPr="00D47DAA">
        <w:rPr>
          <w:color w:val="000000" w:themeColor="text1"/>
        </w:rPr>
        <w:t xml:space="preserve">The argument that wage inequality in the </w:t>
      </w:r>
      <w:r w:rsidR="0063389B" w:rsidRPr="00D47DAA">
        <w:rPr>
          <w:color w:val="000000" w:themeColor="text1"/>
        </w:rPr>
        <w:t>US</w:t>
      </w:r>
      <w:r w:rsidR="00C47235" w:rsidRPr="00D47DAA">
        <w:rPr>
          <w:color w:val="000000" w:themeColor="text1"/>
        </w:rPr>
        <w:t xml:space="preserve"> is primarily driven by technological change has fallen from favo</w:t>
      </w:r>
      <w:r w:rsidR="0063389B" w:rsidRPr="00D47DAA">
        <w:rPr>
          <w:color w:val="000000" w:themeColor="text1"/>
        </w:rPr>
        <w:t>u</w:t>
      </w:r>
      <w:r w:rsidR="00D260FA" w:rsidRPr="00D47DAA">
        <w:rPr>
          <w:color w:val="000000" w:themeColor="text1"/>
        </w:rPr>
        <w:t>r. Most industrialis</w:t>
      </w:r>
      <w:r w:rsidR="00C47235" w:rsidRPr="00D47DAA">
        <w:rPr>
          <w:color w:val="000000" w:themeColor="text1"/>
        </w:rPr>
        <w:t>ed countries have similar technological change but divergent income patterns</w:t>
      </w:r>
      <w:r w:rsidR="00764D13" w:rsidRPr="00D47DAA">
        <w:rPr>
          <w:color w:val="000000" w:themeColor="text1"/>
        </w:rPr>
        <w:t xml:space="preserve"> (</w:t>
      </w:r>
      <w:proofErr w:type="spellStart"/>
      <w:r w:rsidR="00764D13" w:rsidRPr="00D47DAA">
        <w:rPr>
          <w:color w:val="000000" w:themeColor="text1"/>
        </w:rPr>
        <w:t>Milanovic</w:t>
      </w:r>
      <w:proofErr w:type="spellEnd"/>
      <w:r w:rsidR="00764D13" w:rsidRPr="00D47DAA">
        <w:rPr>
          <w:color w:val="000000" w:themeColor="text1"/>
        </w:rPr>
        <w:t>, 2011, p. 8; Piketty, 2014, p. 304 and p. 321; Stiglitz,</w:t>
      </w:r>
      <w:r w:rsidR="0023102B" w:rsidRPr="00D47DAA">
        <w:rPr>
          <w:color w:val="000000" w:themeColor="text1"/>
        </w:rPr>
        <w:t xml:space="preserve"> 2013</w:t>
      </w:r>
      <w:r w:rsidR="00764D13" w:rsidRPr="00D47DAA">
        <w:rPr>
          <w:color w:val="000000" w:themeColor="text1"/>
        </w:rPr>
        <w:t>, p. 243)</w:t>
      </w:r>
      <w:r w:rsidR="00C47235" w:rsidRPr="00D47DAA">
        <w:rPr>
          <w:color w:val="000000" w:themeColor="text1"/>
        </w:rPr>
        <w:t xml:space="preserve">. </w:t>
      </w:r>
      <w:r w:rsidRPr="00D47DAA">
        <w:rPr>
          <w:color w:val="000000" w:themeColor="text1"/>
        </w:rPr>
        <w:t>American</w:t>
      </w:r>
      <w:r w:rsidR="00C47235" w:rsidRPr="00D47DAA">
        <w:rPr>
          <w:color w:val="000000" w:themeColor="text1"/>
        </w:rPr>
        <w:t xml:space="preserve"> inequality is </w:t>
      </w:r>
      <w:proofErr w:type="spellStart"/>
      <w:r w:rsidR="00C47235" w:rsidRPr="00D47DAA">
        <w:rPr>
          <w:color w:val="000000" w:themeColor="text1"/>
        </w:rPr>
        <w:t>centered</w:t>
      </w:r>
      <w:proofErr w:type="spellEnd"/>
      <w:r w:rsidR="00C47235" w:rsidRPr="00D47DAA">
        <w:rPr>
          <w:color w:val="000000" w:themeColor="text1"/>
        </w:rPr>
        <w:t xml:space="preserve"> on </w:t>
      </w:r>
      <w:r w:rsidR="00F34D3B" w:rsidRPr="00D47DAA">
        <w:rPr>
          <w:color w:val="000000" w:themeColor="text1"/>
        </w:rPr>
        <w:t xml:space="preserve">top end </w:t>
      </w:r>
      <w:r w:rsidR="00C47235" w:rsidRPr="00D47DAA">
        <w:rPr>
          <w:color w:val="000000" w:themeColor="text1"/>
        </w:rPr>
        <w:t xml:space="preserve">managers, especially in </w:t>
      </w:r>
      <w:r w:rsidRPr="00D47DAA">
        <w:rPr>
          <w:color w:val="000000" w:themeColor="text1"/>
        </w:rPr>
        <w:t>finance and business services</w:t>
      </w:r>
      <w:r w:rsidR="00764D13" w:rsidRPr="00D47DAA">
        <w:rPr>
          <w:color w:val="000000" w:themeColor="text1"/>
        </w:rPr>
        <w:t xml:space="preserve"> (</w:t>
      </w:r>
      <w:proofErr w:type="spellStart"/>
      <w:r w:rsidR="00764D13" w:rsidRPr="00D47DAA">
        <w:rPr>
          <w:color w:val="000000" w:themeColor="text1"/>
        </w:rPr>
        <w:t>Autor</w:t>
      </w:r>
      <w:proofErr w:type="spellEnd"/>
      <w:r w:rsidR="00764D13" w:rsidRPr="00D47DAA">
        <w:rPr>
          <w:color w:val="000000" w:themeColor="text1"/>
        </w:rPr>
        <w:t xml:space="preserve"> at al., 2008, e.g. p. 318; </w:t>
      </w:r>
      <w:proofErr w:type="spellStart"/>
      <w:r w:rsidR="00764D13" w:rsidRPr="00D47DAA">
        <w:rPr>
          <w:color w:val="000000" w:themeColor="text1"/>
        </w:rPr>
        <w:t>Mouw</w:t>
      </w:r>
      <w:proofErr w:type="spellEnd"/>
      <w:r w:rsidR="00764D13" w:rsidRPr="00D47DAA">
        <w:rPr>
          <w:color w:val="000000" w:themeColor="text1"/>
        </w:rPr>
        <w:t xml:space="preserve"> and </w:t>
      </w:r>
      <w:proofErr w:type="spellStart"/>
      <w:r w:rsidR="00764D13" w:rsidRPr="00D47DAA">
        <w:rPr>
          <w:color w:val="000000" w:themeColor="text1"/>
        </w:rPr>
        <w:t>Kallenberg</w:t>
      </w:r>
      <w:proofErr w:type="spellEnd"/>
      <w:r w:rsidR="00764D13" w:rsidRPr="00D47DAA">
        <w:rPr>
          <w:color w:val="000000" w:themeColor="text1"/>
        </w:rPr>
        <w:t>, 2010)</w:t>
      </w:r>
      <w:r w:rsidR="00C47235" w:rsidRPr="00D47DAA">
        <w:rPr>
          <w:color w:val="000000" w:themeColor="text1"/>
        </w:rPr>
        <w:t xml:space="preserve">. </w:t>
      </w:r>
      <w:r w:rsidR="00392330" w:rsidRPr="00D47DAA">
        <w:rPr>
          <w:color w:val="000000" w:themeColor="text1"/>
        </w:rPr>
        <w:t>T</w:t>
      </w:r>
      <w:r w:rsidR="00C47235" w:rsidRPr="00D47DAA">
        <w:rPr>
          <w:color w:val="000000" w:themeColor="text1"/>
        </w:rPr>
        <w:t>wo thirds of the top 0.1 per cent are managers</w:t>
      </w:r>
      <w:r w:rsidR="00764D13" w:rsidRPr="00D47DAA">
        <w:rPr>
          <w:color w:val="000000" w:themeColor="text1"/>
        </w:rPr>
        <w:t xml:space="preserve"> (Piketty, 2014, pp. 300-301)</w:t>
      </w:r>
      <w:r w:rsidR="00C47235" w:rsidRPr="00D47DAA">
        <w:rPr>
          <w:color w:val="000000" w:themeColor="text1"/>
        </w:rPr>
        <w:t xml:space="preserve">. </w:t>
      </w:r>
    </w:p>
    <w:p w14:paraId="7003A143" w14:textId="77777777" w:rsidR="00764D13" w:rsidRPr="00D47DAA" w:rsidRDefault="00764D13" w:rsidP="00DF6211">
      <w:pPr>
        <w:rPr>
          <w:color w:val="000000" w:themeColor="text1"/>
        </w:rPr>
      </w:pPr>
    </w:p>
    <w:p w14:paraId="564E8119" w14:textId="7124E7D2" w:rsidR="00764D13" w:rsidRPr="00D47DAA" w:rsidRDefault="00271D81" w:rsidP="00DF6211">
      <w:pPr>
        <w:rPr>
          <w:b/>
          <w:color w:val="000000" w:themeColor="text1"/>
        </w:rPr>
      </w:pPr>
      <w:r w:rsidRPr="00D47DAA">
        <w:rPr>
          <w:b/>
          <w:color w:val="000000" w:themeColor="text1"/>
        </w:rPr>
        <w:t>I</w:t>
      </w:r>
      <w:r w:rsidR="00545D2F" w:rsidRPr="00D47DAA">
        <w:rPr>
          <w:b/>
          <w:color w:val="000000" w:themeColor="text1"/>
        </w:rPr>
        <w:t>n</w:t>
      </w:r>
      <w:r w:rsidR="00764D13" w:rsidRPr="00D47DAA">
        <w:rPr>
          <w:b/>
          <w:color w:val="000000" w:themeColor="text1"/>
        </w:rPr>
        <w:t xml:space="preserve">equality and higher education </w:t>
      </w:r>
    </w:p>
    <w:p w14:paraId="5F9EE548" w14:textId="77777777" w:rsidR="00764D13" w:rsidRPr="00D47DAA" w:rsidRDefault="00764D13" w:rsidP="00DF6211">
      <w:pPr>
        <w:rPr>
          <w:color w:val="000000" w:themeColor="text1"/>
        </w:rPr>
      </w:pPr>
    </w:p>
    <w:p w14:paraId="78FFF7F5" w14:textId="284184C1" w:rsidR="00F34D3B" w:rsidRPr="00D47DAA" w:rsidRDefault="00F34D3B" w:rsidP="00DF6211">
      <w:pPr>
        <w:rPr>
          <w:color w:val="000000" w:themeColor="text1"/>
        </w:rPr>
      </w:pPr>
      <w:r w:rsidRPr="00D47DAA">
        <w:rPr>
          <w:color w:val="000000" w:themeColor="text1"/>
        </w:rPr>
        <w:t xml:space="preserve">In the United States, as in the </w:t>
      </w:r>
      <w:r w:rsidR="008C75DC" w:rsidRPr="00D47DAA">
        <w:rPr>
          <w:color w:val="000000" w:themeColor="text1"/>
        </w:rPr>
        <w:t>United Kingdom</w:t>
      </w:r>
      <w:r w:rsidRPr="00D47DAA">
        <w:rPr>
          <w:color w:val="000000" w:themeColor="text1"/>
        </w:rPr>
        <w:t xml:space="preserve">, the rapid growth of economic and social inequality is occurring in </w:t>
      </w:r>
      <w:r w:rsidR="00DD4D3D" w:rsidRPr="00D47DAA">
        <w:rPr>
          <w:color w:val="000000" w:themeColor="text1"/>
        </w:rPr>
        <w:t xml:space="preserve">a </w:t>
      </w:r>
      <w:r w:rsidRPr="00D47DAA">
        <w:rPr>
          <w:color w:val="000000" w:themeColor="text1"/>
        </w:rPr>
        <w:t>societ</w:t>
      </w:r>
      <w:r w:rsidR="00DD4D3D" w:rsidRPr="00D47DAA">
        <w:rPr>
          <w:color w:val="000000" w:themeColor="text1"/>
        </w:rPr>
        <w:t>y</w:t>
      </w:r>
      <w:r w:rsidRPr="00D47DAA">
        <w:rPr>
          <w:color w:val="000000" w:themeColor="text1"/>
        </w:rPr>
        <w:t xml:space="preserve"> in which formal participation in higher education is at or near an historic high. According to UNESCO data, in 2013 the Gross Tertiary Enrolment Ratio in the United States was 89.1 per cent</w:t>
      </w:r>
      <w:r w:rsidR="00545D2F" w:rsidRPr="00D47DAA">
        <w:rPr>
          <w:color w:val="000000" w:themeColor="text1"/>
        </w:rPr>
        <w:t xml:space="preserve"> (UNESCO, 201</w:t>
      </w:r>
      <w:r w:rsidR="00DD4D3D" w:rsidRPr="00D47DAA">
        <w:rPr>
          <w:color w:val="000000" w:themeColor="text1"/>
        </w:rPr>
        <w:t>7</w:t>
      </w:r>
      <w:r w:rsidR="00545D2F" w:rsidRPr="00D47DAA">
        <w:rPr>
          <w:color w:val="000000" w:themeColor="text1"/>
        </w:rPr>
        <w:t>)</w:t>
      </w:r>
      <w:r w:rsidRPr="00D47DAA">
        <w:rPr>
          <w:color w:val="000000" w:themeColor="text1"/>
        </w:rPr>
        <w:t xml:space="preserve">. </w:t>
      </w:r>
      <w:r w:rsidR="00DD4D3D" w:rsidRPr="00D47DAA">
        <w:rPr>
          <w:color w:val="000000" w:themeColor="text1"/>
        </w:rPr>
        <w:t>Human capital theory states that</w:t>
      </w:r>
      <w:r w:rsidRPr="00D47DAA">
        <w:rPr>
          <w:color w:val="000000" w:themeColor="text1"/>
        </w:rPr>
        <w:t xml:space="preserve"> education produces human capital, which determines marginal productivity, and marginal productivity determines rates of return to graduates. This </w:t>
      </w:r>
      <w:r w:rsidR="00A94F25" w:rsidRPr="00D47DAA">
        <w:rPr>
          <w:color w:val="000000" w:themeColor="text1"/>
        </w:rPr>
        <w:t>suggests</w:t>
      </w:r>
      <w:r w:rsidRPr="00D47DAA">
        <w:rPr>
          <w:color w:val="000000" w:themeColor="text1"/>
        </w:rPr>
        <w:t xml:space="preserve"> that </w:t>
      </w:r>
      <w:r w:rsidR="00DE47B8" w:rsidRPr="00D47DAA">
        <w:rPr>
          <w:color w:val="000000" w:themeColor="text1"/>
        </w:rPr>
        <w:t xml:space="preserve">growing </w:t>
      </w:r>
      <w:r w:rsidRPr="00D47DAA">
        <w:rPr>
          <w:color w:val="000000" w:themeColor="text1"/>
        </w:rPr>
        <w:t xml:space="preserve">income inequality </w:t>
      </w:r>
      <w:r w:rsidR="00DE47B8" w:rsidRPr="00D47DAA">
        <w:rPr>
          <w:color w:val="000000" w:themeColor="text1"/>
        </w:rPr>
        <w:t>is</w:t>
      </w:r>
      <w:r w:rsidRPr="00D47DAA">
        <w:rPr>
          <w:color w:val="000000" w:themeColor="text1"/>
        </w:rPr>
        <w:t xml:space="preserve"> grounded in a corresponding growing inequality of skills and productivity. Yet </w:t>
      </w:r>
      <w:r w:rsidR="00DE47B8" w:rsidRPr="00D47DAA">
        <w:rPr>
          <w:color w:val="000000" w:themeColor="text1"/>
        </w:rPr>
        <w:t xml:space="preserve">US </w:t>
      </w:r>
      <w:r w:rsidRPr="00D47DAA">
        <w:rPr>
          <w:color w:val="000000" w:themeColor="text1"/>
        </w:rPr>
        <w:t>higher education</w:t>
      </w:r>
      <w:r w:rsidR="00DE47B8" w:rsidRPr="00D47DAA">
        <w:rPr>
          <w:color w:val="000000" w:themeColor="text1"/>
        </w:rPr>
        <w:t xml:space="preserve">, while highly stratified, with the leading private universities dominated by affluent families, </w:t>
      </w:r>
      <w:r w:rsidRPr="00D47DAA">
        <w:rPr>
          <w:color w:val="000000" w:themeColor="text1"/>
        </w:rPr>
        <w:t xml:space="preserve">seems </w:t>
      </w:r>
      <w:r w:rsidR="00A95EE8" w:rsidRPr="00D47DAA">
        <w:rPr>
          <w:color w:val="000000" w:themeColor="text1"/>
        </w:rPr>
        <w:t xml:space="preserve">to be </w:t>
      </w:r>
      <w:r w:rsidRPr="00D47DAA">
        <w:rPr>
          <w:color w:val="000000" w:themeColor="text1"/>
        </w:rPr>
        <w:t xml:space="preserve">largely </w:t>
      </w:r>
      <w:r w:rsidR="00DE47B8" w:rsidRPr="00D47DAA">
        <w:rPr>
          <w:color w:val="000000" w:themeColor="text1"/>
        </w:rPr>
        <w:t>decoupl</w:t>
      </w:r>
      <w:r w:rsidRPr="00D47DAA">
        <w:rPr>
          <w:color w:val="000000" w:themeColor="text1"/>
        </w:rPr>
        <w:t>ed from the surge in top incomes</w:t>
      </w:r>
      <w:r w:rsidR="00DE47B8" w:rsidRPr="00D47DAA">
        <w:rPr>
          <w:color w:val="000000" w:themeColor="text1"/>
        </w:rPr>
        <w:t xml:space="preserve"> since 1980, which </w:t>
      </w:r>
      <w:r w:rsidR="00D63C71" w:rsidRPr="00D47DAA">
        <w:rPr>
          <w:color w:val="000000" w:themeColor="text1"/>
        </w:rPr>
        <w:t xml:space="preserve">is </w:t>
      </w:r>
      <w:r w:rsidR="00144525" w:rsidRPr="00D47DAA">
        <w:rPr>
          <w:color w:val="000000" w:themeColor="text1"/>
        </w:rPr>
        <w:t>shaped</w:t>
      </w:r>
      <w:r w:rsidR="00D63C71" w:rsidRPr="00D47DAA">
        <w:rPr>
          <w:color w:val="000000" w:themeColor="text1"/>
        </w:rPr>
        <w:t xml:space="preserve"> </w:t>
      </w:r>
      <w:r w:rsidR="00DD4D3D" w:rsidRPr="00D47DAA">
        <w:rPr>
          <w:color w:val="000000" w:themeColor="text1"/>
        </w:rPr>
        <w:t xml:space="preserve">more </w:t>
      </w:r>
      <w:r w:rsidR="00DE47B8" w:rsidRPr="00D47DAA">
        <w:rPr>
          <w:color w:val="000000" w:themeColor="text1"/>
        </w:rPr>
        <w:t xml:space="preserve">by tax policy and </w:t>
      </w:r>
      <w:r w:rsidR="00144525" w:rsidRPr="00D47DAA">
        <w:rPr>
          <w:color w:val="000000" w:themeColor="text1"/>
        </w:rPr>
        <w:t xml:space="preserve">by </w:t>
      </w:r>
      <w:proofErr w:type="spellStart"/>
      <w:r w:rsidR="00DD4D3D" w:rsidRPr="00D47DAA">
        <w:rPr>
          <w:color w:val="000000" w:themeColor="text1"/>
        </w:rPr>
        <w:t>uequal</w:t>
      </w:r>
      <w:proofErr w:type="spellEnd"/>
      <w:r w:rsidR="00DD4D3D" w:rsidRPr="00D47DAA">
        <w:rPr>
          <w:color w:val="000000" w:themeColor="text1"/>
        </w:rPr>
        <w:t xml:space="preserve"> </w:t>
      </w:r>
      <w:r w:rsidR="00144525" w:rsidRPr="00D47DAA">
        <w:rPr>
          <w:color w:val="000000" w:themeColor="text1"/>
        </w:rPr>
        <w:t>salary</w:t>
      </w:r>
      <w:r w:rsidR="00DE47B8" w:rsidRPr="00D47DAA">
        <w:rPr>
          <w:color w:val="000000" w:themeColor="text1"/>
        </w:rPr>
        <w:t xml:space="preserve"> determination</w:t>
      </w:r>
      <w:r w:rsidR="00A94F25" w:rsidRPr="00D47DAA">
        <w:rPr>
          <w:color w:val="000000" w:themeColor="text1"/>
        </w:rPr>
        <w:t xml:space="preserve"> at work</w:t>
      </w:r>
      <w:r w:rsidR="00545D2F" w:rsidRPr="00D47DAA">
        <w:rPr>
          <w:color w:val="000000" w:themeColor="text1"/>
        </w:rPr>
        <w:t xml:space="preserve"> (Piketty, 2014, p. 315)</w:t>
      </w:r>
      <w:r w:rsidRPr="00D47DAA">
        <w:rPr>
          <w:color w:val="000000" w:themeColor="text1"/>
        </w:rPr>
        <w:t xml:space="preserve">. </w:t>
      </w:r>
    </w:p>
    <w:p w14:paraId="0EE423B5" w14:textId="503D8431" w:rsidR="00F34D3B" w:rsidRPr="00D47DAA" w:rsidRDefault="00D63C71" w:rsidP="00DD4D3D">
      <w:pPr>
        <w:ind w:firstLine="454"/>
        <w:rPr>
          <w:color w:val="000000" w:themeColor="text1"/>
        </w:rPr>
      </w:pPr>
      <w:r w:rsidRPr="00D47DAA">
        <w:rPr>
          <w:color w:val="000000" w:themeColor="text1"/>
        </w:rPr>
        <w:t xml:space="preserve">The intrinsic limit to equality of opportunity, in any era, is </w:t>
      </w:r>
      <w:r w:rsidR="00DD4D3D" w:rsidRPr="00D47DAA">
        <w:rPr>
          <w:color w:val="000000" w:themeColor="text1"/>
        </w:rPr>
        <w:t xml:space="preserve">not unequal human capital but </w:t>
      </w:r>
      <w:r w:rsidRPr="00D47DAA">
        <w:rPr>
          <w:color w:val="000000" w:themeColor="text1"/>
        </w:rPr>
        <w:t xml:space="preserve">the persistence of differences between families in their economic, social and cultural resources. The growing inequality of incomes and wealth </w:t>
      </w:r>
      <w:r w:rsidR="00647969" w:rsidRPr="00D47DAA">
        <w:rPr>
          <w:color w:val="000000" w:themeColor="text1"/>
        </w:rPr>
        <w:t xml:space="preserve">in the United States </w:t>
      </w:r>
      <w:r w:rsidRPr="00D47DAA">
        <w:rPr>
          <w:color w:val="000000" w:themeColor="text1"/>
        </w:rPr>
        <w:t xml:space="preserve">magnifies the effects of </w:t>
      </w:r>
      <w:r w:rsidR="00647969" w:rsidRPr="00D47DAA">
        <w:rPr>
          <w:color w:val="000000" w:themeColor="text1"/>
        </w:rPr>
        <w:t xml:space="preserve">unequal </w:t>
      </w:r>
      <w:r w:rsidRPr="00D47DAA">
        <w:rPr>
          <w:color w:val="000000" w:themeColor="text1"/>
        </w:rPr>
        <w:t>social background</w:t>
      </w:r>
      <w:r w:rsidR="00647969" w:rsidRPr="00D47DAA">
        <w:rPr>
          <w:color w:val="000000" w:themeColor="text1"/>
        </w:rPr>
        <w:t>s</w:t>
      </w:r>
      <w:r w:rsidRPr="00D47DAA">
        <w:rPr>
          <w:color w:val="000000" w:themeColor="text1"/>
        </w:rPr>
        <w:t xml:space="preserve"> on educational outcomes</w:t>
      </w:r>
      <w:r w:rsidR="00647969" w:rsidRPr="00D47DAA">
        <w:rPr>
          <w:color w:val="000000" w:themeColor="text1"/>
        </w:rPr>
        <w:t xml:space="preserve">. </w:t>
      </w:r>
      <w:r w:rsidR="001D6AD3" w:rsidRPr="00D47DAA">
        <w:rPr>
          <w:color w:val="000000" w:themeColor="text1"/>
        </w:rPr>
        <w:t>In turn educational inequality</w:t>
      </w:r>
      <w:r w:rsidR="00647969" w:rsidRPr="00D47DAA">
        <w:rPr>
          <w:color w:val="000000" w:themeColor="text1"/>
        </w:rPr>
        <w:t xml:space="preserve"> </w:t>
      </w:r>
      <w:r w:rsidR="001D6AD3" w:rsidRPr="00D47DAA">
        <w:rPr>
          <w:color w:val="000000" w:themeColor="text1"/>
        </w:rPr>
        <w:t>tends to reproduce</w:t>
      </w:r>
      <w:r w:rsidR="00647969" w:rsidRPr="00D47DAA">
        <w:rPr>
          <w:color w:val="000000" w:themeColor="text1"/>
        </w:rPr>
        <w:t xml:space="preserve"> and enh</w:t>
      </w:r>
      <w:r w:rsidR="001D6AD3" w:rsidRPr="00D47DAA">
        <w:rPr>
          <w:color w:val="000000" w:themeColor="text1"/>
        </w:rPr>
        <w:t>ance</w:t>
      </w:r>
      <w:r w:rsidR="00647969" w:rsidRPr="00D47DAA">
        <w:rPr>
          <w:color w:val="000000" w:themeColor="text1"/>
        </w:rPr>
        <w:t xml:space="preserve"> prior social and economic inequalities</w:t>
      </w:r>
      <w:r w:rsidR="00DD4D3D" w:rsidRPr="00D47DAA">
        <w:rPr>
          <w:color w:val="000000" w:themeColor="text1"/>
        </w:rPr>
        <w:t xml:space="preserve">, especially in the </w:t>
      </w:r>
      <w:r w:rsidR="00647969" w:rsidRPr="00D47DAA">
        <w:rPr>
          <w:color w:val="000000" w:themeColor="text1"/>
        </w:rPr>
        <w:t xml:space="preserve">highly stratified American higher education system. </w:t>
      </w:r>
      <w:r w:rsidR="00A94F25" w:rsidRPr="00D47DAA">
        <w:rPr>
          <w:color w:val="000000" w:themeColor="text1"/>
        </w:rPr>
        <w:t xml:space="preserve">At the </w:t>
      </w:r>
      <w:r w:rsidR="00647969" w:rsidRPr="00D47DAA">
        <w:rPr>
          <w:color w:val="000000" w:themeColor="text1"/>
        </w:rPr>
        <w:t>bottom</w:t>
      </w:r>
      <w:r w:rsidR="00A94F25" w:rsidRPr="00D47DAA">
        <w:rPr>
          <w:color w:val="000000" w:themeColor="text1"/>
        </w:rPr>
        <w:t xml:space="preserve"> end, </w:t>
      </w:r>
      <w:r w:rsidR="00A94F25" w:rsidRPr="00D47DAA">
        <w:rPr>
          <w:color w:val="000000" w:themeColor="text1"/>
        </w:rPr>
        <w:lastRenderedPageBreak/>
        <w:t xml:space="preserve">low income recipients, accessing </w:t>
      </w:r>
      <w:r w:rsidR="00647969" w:rsidRPr="00D47DAA">
        <w:rPr>
          <w:color w:val="000000" w:themeColor="text1"/>
        </w:rPr>
        <w:t>low value colleges</w:t>
      </w:r>
      <w:r w:rsidR="00A94F25" w:rsidRPr="00D47DAA">
        <w:rPr>
          <w:color w:val="000000" w:themeColor="text1"/>
        </w:rPr>
        <w:t xml:space="preserve">, find </w:t>
      </w:r>
      <w:r w:rsidR="00647969" w:rsidRPr="00D47DAA">
        <w:rPr>
          <w:color w:val="000000" w:themeColor="text1"/>
        </w:rPr>
        <w:t xml:space="preserve">that as inequality </w:t>
      </w:r>
      <w:r w:rsidR="00DD4D3D" w:rsidRPr="00D47DAA">
        <w:rPr>
          <w:color w:val="000000" w:themeColor="text1"/>
        </w:rPr>
        <w:t>grows,</w:t>
      </w:r>
      <w:r w:rsidR="00647969" w:rsidRPr="00D47DAA">
        <w:rPr>
          <w:color w:val="000000" w:themeColor="text1"/>
        </w:rPr>
        <w:t xml:space="preserve"> higher education becomes</w:t>
      </w:r>
      <w:r w:rsidR="00A94F25" w:rsidRPr="00D47DAA">
        <w:rPr>
          <w:color w:val="000000" w:themeColor="text1"/>
        </w:rPr>
        <w:t xml:space="preserve"> both more expensive and less useful as a means of occupational and social mobility. </w:t>
      </w:r>
      <w:r w:rsidR="00175C20" w:rsidRPr="00D47DAA">
        <w:rPr>
          <w:color w:val="000000" w:themeColor="text1"/>
        </w:rPr>
        <w:t xml:space="preserve">Both the social and economic value of mass public higher education, and the capacity and motivation of its users </w:t>
      </w:r>
      <w:r w:rsidR="001D6AD3" w:rsidRPr="00D47DAA">
        <w:rPr>
          <w:color w:val="000000" w:themeColor="text1"/>
        </w:rPr>
        <w:t xml:space="preserve">both </w:t>
      </w:r>
      <w:r w:rsidR="00175C20" w:rsidRPr="00D47DAA">
        <w:rPr>
          <w:color w:val="000000" w:themeColor="text1"/>
        </w:rPr>
        <w:t>tend to become emptied out. The participation rate in US higher education</w:t>
      </w:r>
      <w:r w:rsidR="00DD4D3D" w:rsidRPr="00D47DAA">
        <w:rPr>
          <w:color w:val="000000" w:themeColor="text1"/>
        </w:rPr>
        <w:t>,</w:t>
      </w:r>
      <w:r w:rsidR="001D6AD3" w:rsidRPr="00D47DAA">
        <w:rPr>
          <w:color w:val="000000" w:themeColor="text1"/>
        </w:rPr>
        <w:t xml:space="preserve"> </w:t>
      </w:r>
      <w:r w:rsidR="00DD4D3D" w:rsidRPr="00D47DAA">
        <w:rPr>
          <w:color w:val="000000" w:themeColor="text1"/>
        </w:rPr>
        <w:t>onc</w:t>
      </w:r>
      <w:r w:rsidR="00175C20" w:rsidRPr="00D47DAA">
        <w:rPr>
          <w:color w:val="000000" w:themeColor="text1"/>
        </w:rPr>
        <w:t>e highest in the world</w:t>
      </w:r>
      <w:r w:rsidR="00DD4D3D" w:rsidRPr="00D47DAA">
        <w:rPr>
          <w:color w:val="000000" w:themeColor="text1"/>
        </w:rPr>
        <w:t>,</w:t>
      </w:r>
      <w:r w:rsidR="00175C20" w:rsidRPr="00D47DAA">
        <w:rPr>
          <w:color w:val="000000" w:themeColor="text1"/>
        </w:rPr>
        <w:t xml:space="preserve"> is now falling</w:t>
      </w:r>
      <w:r w:rsidR="00DD4D3D" w:rsidRPr="00D47DAA">
        <w:rPr>
          <w:color w:val="000000" w:themeColor="text1"/>
        </w:rPr>
        <w:t xml:space="preserve"> (UNECSO, 2017)</w:t>
      </w:r>
      <w:r w:rsidR="00175C20" w:rsidRPr="00D47DAA">
        <w:rPr>
          <w:color w:val="000000" w:themeColor="text1"/>
        </w:rPr>
        <w:t xml:space="preserve">. </w:t>
      </w:r>
    </w:p>
    <w:p w14:paraId="736B096E" w14:textId="2A46AE83" w:rsidR="00F34D3B" w:rsidRPr="00D47DAA" w:rsidRDefault="00DD4D3D" w:rsidP="00DF6211">
      <w:pPr>
        <w:ind w:firstLine="454"/>
        <w:rPr>
          <w:color w:val="000000" w:themeColor="text1"/>
        </w:rPr>
      </w:pPr>
      <w:r w:rsidRPr="00D47DAA">
        <w:rPr>
          <w:color w:val="000000" w:themeColor="text1"/>
        </w:rPr>
        <w:t xml:space="preserve">Within the high participation American higher education system, educational outcomes are steeply stratified by family income. </w:t>
      </w:r>
      <w:r w:rsidR="00F34D3B" w:rsidRPr="00D47DAA">
        <w:rPr>
          <w:color w:val="000000" w:themeColor="text1"/>
        </w:rPr>
        <w:t xml:space="preserve">In 2013, a near-universal 77 per cent of persons in the top family income quartile in the United States had completed a Bachelor degree by age 24 years. In this </w:t>
      </w:r>
      <w:proofErr w:type="gramStart"/>
      <w:r w:rsidR="00F34D3B" w:rsidRPr="00D47DAA">
        <w:rPr>
          <w:color w:val="000000" w:themeColor="text1"/>
        </w:rPr>
        <w:t>quartile</w:t>
      </w:r>
      <w:proofErr w:type="gramEnd"/>
      <w:r w:rsidR="00F34D3B" w:rsidRPr="00D47DAA">
        <w:rPr>
          <w:color w:val="000000" w:themeColor="text1"/>
        </w:rPr>
        <w:t xml:space="preserve"> the graduation rate had </w:t>
      </w:r>
      <w:r w:rsidRPr="00D47DAA">
        <w:rPr>
          <w:color w:val="000000" w:themeColor="text1"/>
        </w:rPr>
        <w:t>increased</w:t>
      </w:r>
      <w:r w:rsidR="00F34D3B" w:rsidRPr="00D47DAA">
        <w:rPr>
          <w:color w:val="000000" w:themeColor="text1"/>
        </w:rPr>
        <w:t xml:space="preserve"> from 40 </w:t>
      </w:r>
      <w:r w:rsidRPr="00D47DAA">
        <w:rPr>
          <w:color w:val="000000" w:themeColor="text1"/>
        </w:rPr>
        <w:t xml:space="preserve">in 1970 </w:t>
      </w:r>
      <w:r w:rsidR="00F34D3B" w:rsidRPr="00D47DAA">
        <w:rPr>
          <w:color w:val="000000" w:themeColor="text1"/>
        </w:rPr>
        <w:t xml:space="preserve">to 77 per cent in </w:t>
      </w:r>
      <w:r w:rsidRPr="00D47DAA">
        <w:rPr>
          <w:color w:val="000000" w:themeColor="text1"/>
        </w:rPr>
        <w:t>2013</w:t>
      </w:r>
      <w:r w:rsidR="00F34D3B" w:rsidRPr="00D47DAA">
        <w:rPr>
          <w:color w:val="000000" w:themeColor="text1"/>
        </w:rPr>
        <w:t xml:space="preserve">. In the bottom family income quartile, the graduation rate had </w:t>
      </w:r>
      <w:r w:rsidRPr="00D47DAA">
        <w:rPr>
          <w:color w:val="000000" w:themeColor="text1"/>
        </w:rPr>
        <w:t>also risen over the 43 years,</w:t>
      </w:r>
      <w:r w:rsidR="00F34D3B" w:rsidRPr="00D47DAA">
        <w:rPr>
          <w:color w:val="000000" w:themeColor="text1"/>
        </w:rPr>
        <w:t xml:space="preserve"> but </w:t>
      </w:r>
      <w:r w:rsidRPr="00D47DAA">
        <w:rPr>
          <w:color w:val="000000" w:themeColor="text1"/>
        </w:rPr>
        <w:t xml:space="preserve">only </w:t>
      </w:r>
      <w:r w:rsidR="00F34D3B" w:rsidRPr="00D47DAA">
        <w:rPr>
          <w:color w:val="000000" w:themeColor="text1"/>
        </w:rPr>
        <w:t xml:space="preserve">from 6 </w:t>
      </w:r>
      <w:r w:rsidRPr="00D47DAA">
        <w:rPr>
          <w:color w:val="000000" w:themeColor="text1"/>
        </w:rPr>
        <w:t>to</w:t>
      </w:r>
      <w:r w:rsidR="00F34D3B" w:rsidRPr="00D47DAA">
        <w:rPr>
          <w:color w:val="000000" w:themeColor="text1"/>
        </w:rPr>
        <w:t xml:space="preserve"> 9 per cent. In the second bottom </w:t>
      </w:r>
      <w:proofErr w:type="gramStart"/>
      <w:r w:rsidR="00F34D3B" w:rsidRPr="00D47DAA">
        <w:rPr>
          <w:color w:val="000000" w:themeColor="text1"/>
        </w:rPr>
        <w:t>quartile</w:t>
      </w:r>
      <w:proofErr w:type="gramEnd"/>
      <w:r w:rsidR="00F34D3B" w:rsidRPr="00D47DAA">
        <w:rPr>
          <w:color w:val="000000" w:themeColor="text1"/>
        </w:rPr>
        <w:t xml:space="preserve"> the graduation rate was 17 per cent in 2013</w:t>
      </w:r>
      <w:r w:rsidR="00545D2F" w:rsidRPr="00D47DAA">
        <w:rPr>
          <w:color w:val="000000" w:themeColor="text1"/>
        </w:rPr>
        <w:t xml:space="preserve"> (The PELL Institute, 2015, p. 31)</w:t>
      </w:r>
      <w:r w:rsidR="00F34D3B" w:rsidRPr="00D47DAA">
        <w:rPr>
          <w:color w:val="000000" w:themeColor="text1"/>
        </w:rPr>
        <w:t xml:space="preserve">. </w:t>
      </w:r>
      <w:r w:rsidRPr="00D47DAA">
        <w:rPr>
          <w:color w:val="000000" w:themeColor="text1"/>
        </w:rPr>
        <w:t xml:space="preserve">Less than one quarter </w:t>
      </w:r>
      <w:r w:rsidR="00F34D3B" w:rsidRPr="00D47DAA">
        <w:rPr>
          <w:color w:val="000000" w:themeColor="text1"/>
        </w:rPr>
        <w:t>of the bottom half of the population</w:t>
      </w:r>
      <w:r w:rsidRPr="00D47DAA">
        <w:rPr>
          <w:color w:val="000000" w:themeColor="text1"/>
        </w:rPr>
        <w:t>,</w:t>
      </w:r>
      <w:r w:rsidR="00F34D3B" w:rsidRPr="00D47DAA">
        <w:rPr>
          <w:color w:val="000000" w:themeColor="text1"/>
        </w:rPr>
        <w:t xml:space="preserve"> in income terms</w:t>
      </w:r>
      <w:r w:rsidRPr="00D47DAA">
        <w:rPr>
          <w:color w:val="000000" w:themeColor="text1"/>
        </w:rPr>
        <w:t>,</w:t>
      </w:r>
      <w:r w:rsidR="00F34D3B" w:rsidRPr="00D47DAA">
        <w:rPr>
          <w:color w:val="000000" w:themeColor="text1"/>
        </w:rPr>
        <w:t xml:space="preserve"> had graduat</w:t>
      </w:r>
      <w:r w:rsidRPr="00D47DAA">
        <w:rPr>
          <w:color w:val="000000" w:themeColor="text1"/>
        </w:rPr>
        <w:t>ed</w:t>
      </w:r>
      <w:r w:rsidR="00F34D3B" w:rsidRPr="00D47DAA">
        <w:rPr>
          <w:color w:val="000000" w:themeColor="text1"/>
        </w:rPr>
        <w:t xml:space="preserve"> by age 24 years</w:t>
      </w:r>
      <w:r w:rsidR="00175C20" w:rsidRPr="00D47DAA">
        <w:rPr>
          <w:color w:val="000000" w:themeColor="text1"/>
        </w:rPr>
        <w:t xml:space="preserve">. However, </w:t>
      </w:r>
      <w:r w:rsidRPr="00D47DAA">
        <w:rPr>
          <w:color w:val="000000" w:themeColor="text1"/>
        </w:rPr>
        <w:t>more than three quarters</w:t>
      </w:r>
      <w:r w:rsidR="00175C20" w:rsidRPr="00D47DAA">
        <w:rPr>
          <w:color w:val="000000" w:themeColor="text1"/>
        </w:rPr>
        <w:t xml:space="preserve"> of</w:t>
      </w:r>
      <w:r w:rsidR="00F34D3B" w:rsidRPr="00D47DAA">
        <w:rPr>
          <w:color w:val="000000" w:themeColor="text1"/>
        </w:rPr>
        <w:t xml:space="preserve"> top </w:t>
      </w:r>
      <w:r w:rsidRPr="00D47DAA">
        <w:rPr>
          <w:color w:val="000000" w:themeColor="text1"/>
        </w:rPr>
        <w:t xml:space="preserve">income </w:t>
      </w:r>
      <w:r w:rsidR="00F34D3B" w:rsidRPr="00D47DAA">
        <w:rPr>
          <w:color w:val="000000" w:themeColor="text1"/>
        </w:rPr>
        <w:t xml:space="preserve">quartile </w:t>
      </w:r>
      <w:r w:rsidRPr="00D47DAA">
        <w:rPr>
          <w:color w:val="000000" w:themeColor="text1"/>
        </w:rPr>
        <w:t>group</w:t>
      </w:r>
      <w:r w:rsidR="00F34D3B" w:rsidRPr="00D47DAA">
        <w:rPr>
          <w:color w:val="000000" w:themeColor="text1"/>
        </w:rPr>
        <w:t xml:space="preserve"> had done so. </w:t>
      </w:r>
    </w:p>
    <w:p w14:paraId="08F5C1F2" w14:textId="2AF2DA4D" w:rsidR="00F34D3B" w:rsidRPr="00D47DAA" w:rsidRDefault="00175C20" w:rsidP="00DF6211">
      <w:pPr>
        <w:ind w:firstLine="454"/>
        <w:rPr>
          <w:color w:val="000000" w:themeColor="text1"/>
        </w:rPr>
      </w:pPr>
      <w:r w:rsidRPr="00D47DAA">
        <w:rPr>
          <w:color w:val="000000" w:themeColor="text1"/>
        </w:rPr>
        <w:t>The</w:t>
      </w:r>
      <w:r w:rsidR="00144525" w:rsidRPr="00D47DAA">
        <w:rPr>
          <w:color w:val="000000" w:themeColor="text1"/>
        </w:rPr>
        <w:t>se</w:t>
      </w:r>
      <w:r w:rsidRPr="00D47DAA">
        <w:rPr>
          <w:color w:val="000000" w:themeColor="text1"/>
        </w:rPr>
        <w:t xml:space="preserve"> national patterns better explain the faltering of institutional</w:t>
      </w:r>
      <w:r w:rsidR="001D6AD3" w:rsidRPr="00D47DAA">
        <w:rPr>
          <w:color w:val="000000" w:themeColor="text1"/>
        </w:rPr>
        <w:t xml:space="preserve"> funding and</w:t>
      </w:r>
      <w:r w:rsidRPr="00D47DAA">
        <w:rPr>
          <w:color w:val="000000" w:themeColor="text1"/>
        </w:rPr>
        <w:t xml:space="preserve"> quality in California since </w:t>
      </w:r>
      <w:r w:rsidR="001D6AD3" w:rsidRPr="00D47DAA">
        <w:rPr>
          <w:color w:val="000000" w:themeColor="text1"/>
        </w:rPr>
        <w:t>the 1980s, and the attenuated</w:t>
      </w:r>
      <w:r w:rsidRPr="00D47DAA">
        <w:rPr>
          <w:color w:val="000000" w:themeColor="text1"/>
        </w:rPr>
        <w:t xml:space="preserve"> completion and transfer rates</w:t>
      </w:r>
      <w:r w:rsidR="001D6AD3" w:rsidRPr="00D47DAA">
        <w:rPr>
          <w:color w:val="000000" w:themeColor="text1"/>
        </w:rPr>
        <w:t xml:space="preserve"> in the community colleges and the California State University</w:t>
      </w:r>
      <w:r w:rsidRPr="00D47DAA">
        <w:rPr>
          <w:color w:val="000000" w:themeColor="text1"/>
        </w:rPr>
        <w:t xml:space="preserve">. </w:t>
      </w:r>
      <w:r w:rsidR="00F34D3B" w:rsidRPr="00D47DAA">
        <w:rPr>
          <w:color w:val="000000" w:themeColor="text1"/>
        </w:rPr>
        <w:t xml:space="preserve">In </w:t>
      </w:r>
      <w:r w:rsidR="00F34D3B" w:rsidRPr="00D47DAA">
        <w:rPr>
          <w:i/>
          <w:color w:val="000000" w:themeColor="text1"/>
        </w:rPr>
        <w:t>Degrees of Inequality</w:t>
      </w:r>
      <w:r w:rsidR="00F34D3B" w:rsidRPr="00D47DAA">
        <w:rPr>
          <w:color w:val="000000" w:themeColor="text1"/>
        </w:rPr>
        <w:t xml:space="preserve"> (2014), </w:t>
      </w:r>
      <w:r w:rsidR="001D6AD3" w:rsidRPr="00D47DAA">
        <w:rPr>
          <w:color w:val="000000" w:themeColor="text1"/>
        </w:rPr>
        <w:t xml:space="preserve">political scientist </w:t>
      </w:r>
      <w:r w:rsidR="00F34D3B" w:rsidRPr="00D47DAA">
        <w:rPr>
          <w:color w:val="000000" w:themeColor="text1"/>
        </w:rPr>
        <w:t xml:space="preserve">Suzanne </w:t>
      </w:r>
      <w:proofErr w:type="spellStart"/>
      <w:r w:rsidR="00F34D3B" w:rsidRPr="00D47DAA">
        <w:rPr>
          <w:color w:val="000000" w:themeColor="text1"/>
        </w:rPr>
        <w:t>Mettler</w:t>
      </w:r>
      <w:proofErr w:type="spellEnd"/>
      <w:r w:rsidR="00F34D3B" w:rsidRPr="00D47DAA">
        <w:rPr>
          <w:color w:val="000000" w:themeColor="text1"/>
        </w:rPr>
        <w:t xml:space="preserve"> </w:t>
      </w:r>
      <w:r w:rsidR="001D6AD3" w:rsidRPr="00D47DAA">
        <w:rPr>
          <w:color w:val="000000" w:themeColor="text1"/>
        </w:rPr>
        <w:t>find</w:t>
      </w:r>
      <w:r w:rsidR="00F34D3B" w:rsidRPr="00D47DAA">
        <w:rPr>
          <w:color w:val="000000" w:themeColor="text1"/>
        </w:rPr>
        <w:t>: ‘Over the past thirty years … our system of higher education has gone from facilitating upward mobility to exacerbating social inequality.’ Higher education</w:t>
      </w:r>
      <w:r w:rsidR="001D6AD3" w:rsidRPr="00D47DAA">
        <w:rPr>
          <w:color w:val="000000" w:themeColor="text1"/>
        </w:rPr>
        <w:t xml:space="preserve"> fosters a society that</w:t>
      </w:r>
      <w:r w:rsidR="00F34D3B" w:rsidRPr="00D47DAA">
        <w:rPr>
          <w:color w:val="000000" w:themeColor="text1"/>
        </w:rPr>
        <w:t xml:space="preserve"> ‘increasingly resembles a caste system: it takes Americans who grew up in different social strata and it widens the divisions between them and makes them more rigid’. </w:t>
      </w:r>
      <w:r w:rsidR="001D6AD3" w:rsidRPr="00D47DAA">
        <w:rPr>
          <w:color w:val="000000" w:themeColor="text1"/>
        </w:rPr>
        <w:t xml:space="preserve">Higher education </w:t>
      </w:r>
      <w:r w:rsidR="00F34D3B" w:rsidRPr="00D47DAA">
        <w:rPr>
          <w:color w:val="000000" w:themeColor="text1"/>
        </w:rPr>
        <w:t>‘stratifies Americans by income group rather than providing them with ladders of opportunity</w:t>
      </w:r>
      <w:r w:rsidR="00545D2F" w:rsidRPr="00D47DAA">
        <w:rPr>
          <w:color w:val="000000" w:themeColor="text1"/>
        </w:rPr>
        <w:t xml:space="preserve"> (</w:t>
      </w:r>
      <w:proofErr w:type="spellStart"/>
      <w:r w:rsidR="00545D2F" w:rsidRPr="00D47DAA">
        <w:rPr>
          <w:color w:val="000000" w:themeColor="text1"/>
        </w:rPr>
        <w:t>Mettler</w:t>
      </w:r>
      <w:proofErr w:type="spellEnd"/>
      <w:r w:rsidR="00545D2F" w:rsidRPr="00D47DAA">
        <w:rPr>
          <w:color w:val="000000" w:themeColor="text1"/>
        </w:rPr>
        <w:t>, 2014, pp. 4-5, p. 8)</w:t>
      </w:r>
      <w:r w:rsidR="00F34D3B" w:rsidRPr="00D47DAA">
        <w:rPr>
          <w:color w:val="000000" w:themeColor="text1"/>
        </w:rPr>
        <w:t xml:space="preserve">. </w:t>
      </w:r>
      <w:r w:rsidR="001D6AD3" w:rsidRPr="00D47DAA">
        <w:rPr>
          <w:color w:val="000000" w:themeColor="text1"/>
        </w:rPr>
        <w:t xml:space="preserve">In this </w:t>
      </w:r>
      <w:r w:rsidR="00545D2F" w:rsidRPr="00D47DAA">
        <w:rPr>
          <w:color w:val="000000" w:themeColor="text1"/>
        </w:rPr>
        <w:t xml:space="preserve">external </w:t>
      </w:r>
      <w:r w:rsidR="001D6AD3" w:rsidRPr="00D47DAA">
        <w:rPr>
          <w:color w:val="000000" w:themeColor="text1"/>
        </w:rPr>
        <w:t>setting</w:t>
      </w:r>
      <w:r w:rsidR="00545D2F" w:rsidRPr="00D47DAA">
        <w:rPr>
          <w:color w:val="000000" w:themeColor="text1"/>
        </w:rPr>
        <w:t>, it was inevitable that</w:t>
      </w:r>
      <w:r w:rsidR="001D6AD3" w:rsidRPr="00D47DAA">
        <w:rPr>
          <w:color w:val="000000" w:themeColor="text1"/>
        </w:rPr>
        <w:t xml:space="preserve"> the Master Plan’s access mission </w:t>
      </w:r>
      <w:r w:rsidR="00545D2F" w:rsidRPr="00D47DAA">
        <w:rPr>
          <w:color w:val="000000" w:themeColor="text1"/>
        </w:rPr>
        <w:t>would</w:t>
      </w:r>
      <w:r w:rsidR="001D6AD3" w:rsidRPr="00D47DAA">
        <w:rPr>
          <w:color w:val="000000" w:themeColor="text1"/>
        </w:rPr>
        <w:t xml:space="preserve"> </w:t>
      </w:r>
      <w:r w:rsidR="000A5443" w:rsidRPr="00D47DAA">
        <w:rPr>
          <w:color w:val="000000" w:themeColor="text1"/>
        </w:rPr>
        <w:t>falter</w:t>
      </w:r>
      <w:r w:rsidR="001D6AD3" w:rsidRPr="00D47DAA">
        <w:rPr>
          <w:color w:val="000000" w:themeColor="text1"/>
        </w:rPr>
        <w:t xml:space="preserve">. </w:t>
      </w:r>
      <w:r w:rsidR="00144525" w:rsidRPr="00D47DAA">
        <w:rPr>
          <w:color w:val="000000" w:themeColor="text1"/>
        </w:rPr>
        <w:t xml:space="preserve">At the same time, the failure of the Plan was accentuated by its </w:t>
      </w:r>
      <w:r w:rsidR="00545D2F" w:rsidRPr="00D47DAA">
        <w:rPr>
          <w:color w:val="000000" w:themeColor="text1"/>
        </w:rPr>
        <w:t xml:space="preserve">internal </w:t>
      </w:r>
      <w:r w:rsidR="00144525" w:rsidRPr="00D47DAA">
        <w:rPr>
          <w:color w:val="000000" w:themeColor="text1"/>
        </w:rPr>
        <w:t>structural limitations.</w:t>
      </w:r>
    </w:p>
    <w:p w14:paraId="571E1776" w14:textId="77777777" w:rsidR="00F34D3B" w:rsidRPr="00D47DAA" w:rsidRDefault="00F34D3B" w:rsidP="00DF6211">
      <w:pPr>
        <w:rPr>
          <w:color w:val="000000" w:themeColor="text1"/>
        </w:rPr>
      </w:pPr>
    </w:p>
    <w:p w14:paraId="74A192A1" w14:textId="77777777" w:rsidR="00DD4D3D" w:rsidRPr="00D47DAA" w:rsidRDefault="00DD4D3D" w:rsidP="00DF6211">
      <w:pPr>
        <w:rPr>
          <w:color w:val="000000" w:themeColor="text1"/>
        </w:rPr>
      </w:pPr>
    </w:p>
    <w:p w14:paraId="08104C54" w14:textId="45853BAA" w:rsidR="00C668E3" w:rsidRPr="00D47DAA" w:rsidRDefault="00545D2F" w:rsidP="00DF6211">
      <w:pPr>
        <w:rPr>
          <w:b/>
          <w:iCs/>
          <w:color w:val="000000" w:themeColor="text1"/>
          <w:sz w:val="28"/>
          <w:szCs w:val="28"/>
        </w:rPr>
      </w:pPr>
      <w:r w:rsidRPr="00D47DAA">
        <w:rPr>
          <w:b/>
          <w:iCs/>
          <w:color w:val="000000" w:themeColor="text1"/>
          <w:sz w:val="28"/>
          <w:szCs w:val="28"/>
        </w:rPr>
        <w:t xml:space="preserve">California </w:t>
      </w:r>
      <w:r w:rsidR="0006106F" w:rsidRPr="00D47DAA">
        <w:rPr>
          <w:b/>
          <w:iCs/>
          <w:color w:val="000000" w:themeColor="text1"/>
          <w:sz w:val="28"/>
          <w:szCs w:val="28"/>
        </w:rPr>
        <w:t>dreaming</w:t>
      </w:r>
    </w:p>
    <w:p w14:paraId="2D7B0310" w14:textId="496FD060" w:rsidR="00875469" w:rsidRPr="00D47DAA" w:rsidRDefault="00875469" w:rsidP="00DF6211">
      <w:pPr>
        <w:rPr>
          <w:color w:val="000000" w:themeColor="text1"/>
        </w:rPr>
      </w:pPr>
    </w:p>
    <w:p w14:paraId="7BA710B5" w14:textId="3D502CAC" w:rsidR="000A5443" w:rsidRPr="00D47DAA" w:rsidRDefault="000A5443" w:rsidP="000A5443">
      <w:pPr>
        <w:rPr>
          <w:color w:val="000000" w:themeColor="text1"/>
        </w:rPr>
      </w:pPr>
      <w:r w:rsidRPr="00D47DAA">
        <w:rPr>
          <w:color w:val="000000" w:themeColor="text1"/>
        </w:rPr>
        <w:t xml:space="preserve">In the end the execution of the Master Plan foundered where the 1960 Plan was strong—in the big picture, in the economics, politics and social values. California, and the United States, lost the public values that sustained the 1960s belief in universal social advance through higher education, and understood taxation as a shared asset that is used for the common good of each and all, rather than as a reduction in individual freedoms. </w:t>
      </w:r>
    </w:p>
    <w:p w14:paraId="4C37CA4B" w14:textId="6F902A2B" w:rsidR="0006106F" w:rsidRPr="00D47DAA" w:rsidRDefault="007911E3" w:rsidP="000A5443">
      <w:pPr>
        <w:ind w:firstLine="454"/>
        <w:rPr>
          <w:color w:val="000000" w:themeColor="text1"/>
        </w:rPr>
      </w:pPr>
      <w:r w:rsidRPr="00D47DAA">
        <w:rPr>
          <w:color w:val="000000" w:themeColor="text1"/>
        </w:rPr>
        <w:t>Political cultures and state strategies vary greatly across the world. In the United States, they have varied between the generations</w:t>
      </w:r>
      <w:r w:rsidR="0006106F" w:rsidRPr="00D47DAA">
        <w:rPr>
          <w:color w:val="000000" w:themeColor="text1"/>
        </w:rPr>
        <w:t>, with California</w:t>
      </w:r>
      <w:r w:rsidR="00DD4D3D" w:rsidRPr="00D47DAA">
        <w:rPr>
          <w:color w:val="000000" w:themeColor="text1"/>
        </w:rPr>
        <w:t>’s</w:t>
      </w:r>
      <w:r w:rsidR="0006106F" w:rsidRPr="00D47DAA">
        <w:rPr>
          <w:color w:val="000000" w:themeColor="text1"/>
        </w:rPr>
        <w:t xml:space="preserve"> </w:t>
      </w:r>
      <w:r w:rsidR="00DD4D3D" w:rsidRPr="00D47DAA">
        <w:rPr>
          <w:color w:val="000000" w:themeColor="text1"/>
        </w:rPr>
        <w:t xml:space="preserve">President </w:t>
      </w:r>
      <w:r w:rsidR="0006106F" w:rsidRPr="00D47DAA">
        <w:rPr>
          <w:color w:val="000000" w:themeColor="text1"/>
        </w:rPr>
        <w:t>Reagan the turning point</w:t>
      </w:r>
      <w:r w:rsidRPr="00D47DAA">
        <w:rPr>
          <w:color w:val="000000" w:themeColor="text1"/>
        </w:rPr>
        <w:t>. The tragedy of American public higher education, once a shining example</w:t>
      </w:r>
      <w:r w:rsidR="00541490" w:rsidRPr="00D47DAA">
        <w:rPr>
          <w:color w:val="000000" w:themeColor="text1"/>
        </w:rPr>
        <w:t xml:space="preserve"> </w:t>
      </w:r>
      <w:r w:rsidR="00DD4D3D" w:rsidRPr="00D47DAA">
        <w:rPr>
          <w:color w:val="000000" w:themeColor="text1"/>
        </w:rPr>
        <w:t>to the world</w:t>
      </w:r>
      <w:r w:rsidRPr="00D47DAA">
        <w:rPr>
          <w:color w:val="000000" w:themeColor="text1"/>
        </w:rPr>
        <w:t>,</w:t>
      </w:r>
      <w:r w:rsidR="00541490" w:rsidRPr="00D47DAA">
        <w:rPr>
          <w:color w:val="000000" w:themeColor="text1"/>
        </w:rPr>
        <w:t xml:space="preserve"> is that its </w:t>
      </w:r>
      <w:r w:rsidR="0006106F" w:rsidRPr="00D47DAA">
        <w:rPr>
          <w:color w:val="000000" w:themeColor="text1"/>
        </w:rPr>
        <w:t xml:space="preserve">original </w:t>
      </w:r>
      <w:r w:rsidR="00541490" w:rsidRPr="00D47DAA">
        <w:rPr>
          <w:color w:val="000000" w:themeColor="text1"/>
        </w:rPr>
        <w:t xml:space="preserve">democratic promise, </w:t>
      </w:r>
      <w:r w:rsidRPr="00D47DAA">
        <w:rPr>
          <w:color w:val="000000" w:themeColor="text1"/>
        </w:rPr>
        <w:t xml:space="preserve">its contribution to self-determining individual freedom and fulfilment—which is the philosophical centrepiece of both the American political right and the political left—has been so far reduced. The American paradox is that the nation in its normal business of life regularly overturns its own ideals. In a sense, the hyper inequality of the last generation is typical of the United States—yet so was the </w:t>
      </w:r>
      <w:r w:rsidR="00541490" w:rsidRPr="00D47DAA">
        <w:rPr>
          <w:color w:val="000000" w:themeColor="text1"/>
        </w:rPr>
        <w:t xml:space="preserve">real </w:t>
      </w:r>
      <w:r w:rsidRPr="00D47DAA">
        <w:rPr>
          <w:color w:val="000000" w:themeColor="text1"/>
        </w:rPr>
        <w:t xml:space="preserve">commitment to equality of opportunity that went before it. </w:t>
      </w:r>
      <w:r w:rsidR="00541490" w:rsidRPr="00D47DAA">
        <w:rPr>
          <w:color w:val="000000" w:themeColor="text1"/>
        </w:rPr>
        <w:t>In that sense</w:t>
      </w:r>
      <w:r w:rsidR="00875469" w:rsidRPr="00D47DAA">
        <w:rPr>
          <w:color w:val="000000" w:themeColor="text1"/>
        </w:rPr>
        <w:t>,</w:t>
      </w:r>
      <w:r w:rsidR="00541490" w:rsidRPr="00D47DAA">
        <w:rPr>
          <w:color w:val="000000" w:themeColor="text1"/>
        </w:rPr>
        <w:t xml:space="preserve"> t</w:t>
      </w:r>
      <w:r w:rsidRPr="00D47DAA">
        <w:rPr>
          <w:color w:val="000000" w:themeColor="text1"/>
        </w:rPr>
        <w:t xml:space="preserve">he faltering of the Master Plan both negated the national character, and fulfilled it. </w:t>
      </w:r>
    </w:p>
    <w:p w14:paraId="1500A3A5" w14:textId="484A37E5" w:rsidR="00493894" w:rsidRPr="00D47DAA" w:rsidRDefault="007911E3" w:rsidP="00DD4D3D">
      <w:pPr>
        <w:ind w:firstLine="454"/>
        <w:rPr>
          <w:color w:val="000000" w:themeColor="text1"/>
        </w:rPr>
      </w:pPr>
      <w:r w:rsidRPr="00D47DAA">
        <w:rPr>
          <w:color w:val="000000" w:themeColor="text1"/>
        </w:rPr>
        <w:t xml:space="preserve">Yet the influence of American ideals is not confined to America or </w:t>
      </w:r>
      <w:r w:rsidR="00DD4D3D" w:rsidRPr="00D47DAA">
        <w:rPr>
          <w:color w:val="000000" w:themeColor="text1"/>
        </w:rPr>
        <w:t xml:space="preserve">even </w:t>
      </w:r>
      <w:r w:rsidRPr="00D47DAA">
        <w:rPr>
          <w:color w:val="000000" w:themeColor="text1"/>
        </w:rPr>
        <w:t xml:space="preserve">stymied by </w:t>
      </w:r>
      <w:r w:rsidR="00541490" w:rsidRPr="00D47DAA">
        <w:rPr>
          <w:color w:val="000000" w:themeColor="text1"/>
        </w:rPr>
        <w:t xml:space="preserve">their </w:t>
      </w:r>
      <w:r w:rsidRPr="00D47DAA">
        <w:rPr>
          <w:color w:val="000000" w:themeColor="text1"/>
        </w:rPr>
        <w:t>domestic failure</w:t>
      </w:r>
      <w:r w:rsidR="0006106F" w:rsidRPr="00D47DAA">
        <w:rPr>
          <w:color w:val="000000" w:themeColor="text1"/>
        </w:rPr>
        <w:t>s</w:t>
      </w:r>
      <w:r w:rsidRPr="00D47DAA">
        <w:rPr>
          <w:color w:val="000000" w:themeColor="text1"/>
        </w:rPr>
        <w:t xml:space="preserve">. </w:t>
      </w:r>
      <w:r w:rsidR="0006106F" w:rsidRPr="00D47DAA">
        <w:rPr>
          <w:color w:val="000000" w:themeColor="text1"/>
        </w:rPr>
        <w:t xml:space="preserve">Though the Master Plan ran into sand in California, since 1960 its influence has never ceased to spread </w:t>
      </w:r>
      <w:r w:rsidR="00DD4D3D" w:rsidRPr="00D47DAA">
        <w:rPr>
          <w:color w:val="000000" w:themeColor="text1"/>
        </w:rPr>
        <w:t>everywhere else</w:t>
      </w:r>
      <w:r w:rsidR="0006106F" w:rsidRPr="00D47DAA">
        <w:rPr>
          <w:color w:val="000000" w:themeColor="text1"/>
        </w:rPr>
        <w:t xml:space="preserve">. </w:t>
      </w:r>
      <w:r w:rsidR="006E1C93" w:rsidRPr="00D47DAA">
        <w:rPr>
          <w:color w:val="000000" w:themeColor="text1"/>
        </w:rPr>
        <w:t>The core structure of the Plan, the coupling of access with excellence within a three-tiered higher education system, continue to be imitated in many systems across Europe, East Asia and beyond.</w:t>
      </w:r>
      <w:r w:rsidR="00DD4D3D" w:rsidRPr="00D47DAA">
        <w:rPr>
          <w:color w:val="000000" w:themeColor="text1"/>
        </w:rPr>
        <w:t xml:space="preserve"> </w:t>
      </w:r>
      <w:r w:rsidR="00E86B0B" w:rsidRPr="00D47DAA">
        <w:rPr>
          <w:color w:val="000000" w:themeColor="text1"/>
        </w:rPr>
        <w:t>California’s</w:t>
      </w:r>
      <w:r w:rsidR="009B41A8" w:rsidRPr="00D47DAA">
        <w:rPr>
          <w:color w:val="000000" w:themeColor="text1"/>
        </w:rPr>
        <w:t xml:space="preserve"> model of institution </w:t>
      </w:r>
      <w:r w:rsidR="00DD4D3D" w:rsidRPr="00D47DAA">
        <w:rPr>
          <w:color w:val="000000" w:themeColor="text1"/>
        </w:rPr>
        <w:t>is</w:t>
      </w:r>
      <w:r w:rsidR="009B41A8" w:rsidRPr="00D47DAA">
        <w:rPr>
          <w:color w:val="000000" w:themeColor="text1"/>
        </w:rPr>
        <w:t xml:space="preserve"> </w:t>
      </w:r>
      <w:r w:rsidR="00E86B0B" w:rsidRPr="00D47DAA">
        <w:rPr>
          <w:color w:val="000000" w:themeColor="text1"/>
        </w:rPr>
        <w:t xml:space="preserve">even </w:t>
      </w:r>
      <w:r w:rsidR="009B41A8" w:rsidRPr="00D47DAA">
        <w:rPr>
          <w:color w:val="000000" w:themeColor="text1"/>
        </w:rPr>
        <w:t xml:space="preserve">more widely imitated than </w:t>
      </w:r>
      <w:r w:rsidR="00E86B0B" w:rsidRPr="00D47DAA">
        <w:rPr>
          <w:color w:val="000000" w:themeColor="text1"/>
        </w:rPr>
        <w:t>its</w:t>
      </w:r>
      <w:r w:rsidR="009B41A8" w:rsidRPr="00D47DAA">
        <w:rPr>
          <w:color w:val="000000" w:themeColor="text1"/>
        </w:rPr>
        <w:t xml:space="preserve"> model of system. </w:t>
      </w:r>
      <w:r w:rsidR="00875469" w:rsidRPr="00D47DAA">
        <w:rPr>
          <w:color w:val="000000" w:themeColor="text1"/>
        </w:rPr>
        <w:t>A</w:t>
      </w:r>
      <w:r w:rsidR="00144525" w:rsidRPr="00D47DAA">
        <w:rPr>
          <w:color w:val="000000" w:themeColor="text1"/>
        </w:rPr>
        <w:t xml:space="preserve">mid rising </w:t>
      </w:r>
      <w:r w:rsidR="00144525" w:rsidRPr="00D47DAA">
        <w:rPr>
          <w:color w:val="000000" w:themeColor="text1"/>
        </w:rPr>
        <w:lastRenderedPageBreak/>
        <w:t xml:space="preserve">participation </w:t>
      </w:r>
      <w:r w:rsidR="00875469" w:rsidRPr="00D47DAA">
        <w:rPr>
          <w:color w:val="000000" w:themeColor="text1"/>
        </w:rPr>
        <w:t xml:space="preserve">across the world (Marginson, 2016a), </w:t>
      </w:r>
      <w:r w:rsidR="00144525" w:rsidRPr="00D47DAA">
        <w:rPr>
          <w:color w:val="000000" w:themeColor="text1"/>
        </w:rPr>
        <w:t xml:space="preserve">and policy </w:t>
      </w:r>
      <w:r w:rsidR="00EF5C79" w:rsidRPr="00D47DAA">
        <w:rPr>
          <w:color w:val="000000" w:themeColor="text1"/>
        </w:rPr>
        <w:t>focuses</w:t>
      </w:r>
      <w:r w:rsidR="00B63617" w:rsidRPr="00D47DAA">
        <w:rPr>
          <w:color w:val="000000" w:themeColor="text1"/>
        </w:rPr>
        <w:t xml:space="preserve"> on basic science </w:t>
      </w:r>
      <w:r w:rsidR="00601273" w:rsidRPr="00D47DAA">
        <w:rPr>
          <w:color w:val="000000" w:themeColor="text1"/>
        </w:rPr>
        <w:t>and research-led innovation</w:t>
      </w:r>
      <w:r w:rsidR="00144525" w:rsidRPr="00D47DAA">
        <w:rPr>
          <w:color w:val="000000" w:themeColor="text1"/>
        </w:rPr>
        <w:t xml:space="preserve">, </w:t>
      </w:r>
      <w:r w:rsidR="00916300" w:rsidRPr="00D47DAA">
        <w:rPr>
          <w:color w:val="000000" w:themeColor="text1"/>
        </w:rPr>
        <w:t xml:space="preserve">the </w:t>
      </w:r>
      <w:r w:rsidR="00144525" w:rsidRPr="00D47DAA">
        <w:rPr>
          <w:color w:val="000000" w:themeColor="text1"/>
        </w:rPr>
        <w:t xml:space="preserve">comprehensive </w:t>
      </w:r>
      <w:r w:rsidR="00193FB0" w:rsidRPr="00D47DAA">
        <w:rPr>
          <w:color w:val="000000" w:themeColor="text1"/>
        </w:rPr>
        <w:t xml:space="preserve">research </w:t>
      </w:r>
      <w:r w:rsidR="00B369C0" w:rsidRPr="00D47DAA">
        <w:rPr>
          <w:color w:val="000000" w:themeColor="text1"/>
        </w:rPr>
        <w:t>multiversity</w:t>
      </w:r>
      <w:r w:rsidR="00DA2F1E" w:rsidRPr="00D47DAA">
        <w:rPr>
          <w:color w:val="000000" w:themeColor="text1"/>
        </w:rPr>
        <w:t xml:space="preserve"> that </w:t>
      </w:r>
      <w:r w:rsidR="00601273" w:rsidRPr="00D47DAA">
        <w:rPr>
          <w:color w:val="000000" w:themeColor="text1"/>
        </w:rPr>
        <w:t>Clark Kerr</w:t>
      </w:r>
      <w:r w:rsidR="00DA2F1E" w:rsidRPr="00D47DAA">
        <w:rPr>
          <w:color w:val="000000" w:themeColor="text1"/>
        </w:rPr>
        <w:t xml:space="preserve"> described</w:t>
      </w:r>
      <w:r w:rsidR="00601273" w:rsidRPr="00D47DAA">
        <w:rPr>
          <w:color w:val="000000" w:themeColor="text1"/>
        </w:rPr>
        <w:t xml:space="preserve"> in </w:t>
      </w:r>
      <w:r w:rsidR="00601273" w:rsidRPr="00D47DAA">
        <w:rPr>
          <w:i/>
          <w:color w:val="000000" w:themeColor="text1"/>
        </w:rPr>
        <w:t>The Uses of the University</w:t>
      </w:r>
      <w:r w:rsidR="00601273" w:rsidRPr="00D47DAA">
        <w:rPr>
          <w:color w:val="000000" w:themeColor="text1"/>
        </w:rPr>
        <w:t xml:space="preserve"> </w:t>
      </w:r>
      <w:r w:rsidR="00EF5C79" w:rsidRPr="00D47DAA">
        <w:rPr>
          <w:color w:val="000000" w:themeColor="text1"/>
        </w:rPr>
        <w:t>is now</w:t>
      </w:r>
      <w:r w:rsidR="00E86B0B" w:rsidRPr="00D47DAA">
        <w:rPr>
          <w:color w:val="000000" w:themeColor="text1"/>
        </w:rPr>
        <w:t xml:space="preserve"> the near universal template.</w:t>
      </w:r>
      <w:r w:rsidR="00601273" w:rsidRPr="00D47DAA">
        <w:rPr>
          <w:color w:val="000000" w:themeColor="text1"/>
        </w:rPr>
        <w:t xml:space="preserve"> </w:t>
      </w:r>
      <w:r w:rsidR="0006106F" w:rsidRPr="00D47DAA">
        <w:rPr>
          <w:color w:val="000000" w:themeColor="text1"/>
        </w:rPr>
        <w:t>A</w:t>
      </w:r>
      <w:r w:rsidR="00A31D1D" w:rsidRPr="00D47DAA">
        <w:rPr>
          <w:color w:val="000000" w:themeColor="text1"/>
        </w:rPr>
        <w:t xml:space="preserve"> growing</w:t>
      </w:r>
      <w:r w:rsidR="00A57962" w:rsidRPr="00D47DAA">
        <w:rPr>
          <w:color w:val="000000" w:themeColor="text1"/>
        </w:rPr>
        <w:t xml:space="preserve"> proportion of science </w:t>
      </w:r>
      <w:r w:rsidR="00545D2F" w:rsidRPr="00D47DAA">
        <w:rPr>
          <w:color w:val="000000" w:themeColor="text1"/>
        </w:rPr>
        <w:t xml:space="preserve">is </w:t>
      </w:r>
      <w:r w:rsidR="00EF5C79" w:rsidRPr="00D47DAA">
        <w:rPr>
          <w:color w:val="000000" w:themeColor="text1"/>
        </w:rPr>
        <w:t xml:space="preserve">now </w:t>
      </w:r>
      <w:r w:rsidR="0006106F" w:rsidRPr="00D47DAA">
        <w:rPr>
          <w:color w:val="000000" w:themeColor="text1"/>
        </w:rPr>
        <w:t>located</w:t>
      </w:r>
      <w:r w:rsidR="00545D2F" w:rsidRPr="00D47DAA">
        <w:rPr>
          <w:color w:val="000000" w:themeColor="text1"/>
        </w:rPr>
        <w:t xml:space="preserve"> in</w:t>
      </w:r>
      <w:r w:rsidR="003F3021" w:rsidRPr="00D47DAA">
        <w:rPr>
          <w:color w:val="000000" w:themeColor="text1"/>
        </w:rPr>
        <w:t xml:space="preserve"> </w:t>
      </w:r>
      <w:r w:rsidR="00EF5C79" w:rsidRPr="00D47DAA">
        <w:rPr>
          <w:color w:val="000000" w:themeColor="text1"/>
        </w:rPr>
        <w:t>these institutions,</w:t>
      </w:r>
      <w:r w:rsidR="00144525" w:rsidRPr="00D47DAA">
        <w:rPr>
          <w:color w:val="000000" w:themeColor="text1"/>
        </w:rPr>
        <w:t xml:space="preserve"> </w:t>
      </w:r>
      <w:r w:rsidR="00EF5C79" w:rsidRPr="00D47DAA">
        <w:rPr>
          <w:color w:val="000000" w:themeColor="text1"/>
        </w:rPr>
        <w:t>not</w:t>
      </w:r>
      <w:r w:rsidR="0006106F" w:rsidRPr="00D47DAA">
        <w:rPr>
          <w:color w:val="000000" w:themeColor="text1"/>
        </w:rPr>
        <w:t xml:space="preserve"> </w:t>
      </w:r>
      <w:r w:rsidR="00144525" w:rsidRPr="00D47DAA">
        <w:rPr>
          <w:color w:val="000000" w:themeColor="text1"/>
        </w:rPr>
        <w:t xml:space="preserve">separated </w:t>
      </w:r>
      <w:r w:rsidR="0006106F" w:rsidRPr="00D47DAA">
        <w:rPr>
          <w:color w:val="000000" w:themeColor="text1"/>
        </w:rPr>
        <w:t xml:space="preserve">research </w:t>
      </w:r>
      <w:r w:rsidR="00144525" w:rsidRPr="00D47DAA">
        <w:rPr>
          <w:color w:val="000000" w:themeColor="text1"/>
        </w:rPr>
        <w:t>academies</w:t>
      </w:r>
      <w:r w:rsidR="00E86B0B" w:rsidRPr="00D47DAA">
        <w:rPr>
          <w:color w:val="000000" w:themeColor="text1"/>
        </w:rPr>
        <w:t xml:space="preserve"> and specialist laboratories</w:t>
      </w:r>
      <w:r w:rsidR="00144525" w:rsidRPr="00D47DAA">
        <w:rPr>
          <w:color w:val="000000" w:themeColor="text1"/>
        </w:rPr>
        <w:t xml:space="preserve">. </w:t>
      </w:r>
      <w:r w:rsidR="0006106F" w:rsidRPr="00D47DAA">
        <w:rPr>
          <w:color w:val="000000" w:themeColor="text1"/>
        </w:rPr>
        <w:t>I</w:t>
      </w:r>
      <w:r w:rsidR="00144525" w:rsidRPr="00D47DAA">
        <w:rPr>
          <w:color w:val="000000" w:themeColor="text1"/>
        </w:rPr>
        <w:t xml:space="preserve">n </w:t>
      </w:r>
      <w:r w:rsidR="0006106F" w:rsidRPr="00D47DAA">
        <w:rPr>
          <w:color w:val="000000" w:themeColor="text1"/>
        </w:rPr>
        <w:t>an increasing proportion of</w:t>
      </w:r>
      <w:r w:rsidR="00144525" w:rsidRPr="00D47DAA">
        <w:rPr>
          <w:color w:val="000000" w:themeColor="text1"/>
        </w:rPr>
        <w:t xml:space="preserve"> countries, non-university second sectors</w:t>
      </w:r>
      <w:r w:rsidR="00BD3F4A" w:rsidRPr="00D47DAA">
        <w:rPr>
          <w:color w:val="000000" w:themeColor="text1"/>
        </w:rPr>
        <w:t xml:space="preserve">, </w:t>
      </w:r>
      <w:r w:rsidR="00E86B0B" w:rsidRPr="00D47DAA">
        <w:rPr>
          <w:color w:val="000000" w:themeColor="text1"/>
        </w:rPr>
        <w:t xml:space="preserve">and </w:t>
      </w:r>
      <w:r w:rsidR="00403ABA" w:rsidRPr="00D47DAA">
        <w:rPr>
          <w:color w:val="000000" w:themeColor="text1"/>
        </w:rPr>
        <w:t>institutions that specialis</w:t>
      </w:r>
      <w:r w:rsidR="00A31D1D" w:rsidRPr="00D47DAA">
        <w:rPr>
          <w:color w:val="000000" w:themeColor="text1"/>
        </w:rPr>
        <w:t>e i</w:t>
      </w:r>
      <w:r w:rsidR="00545D2F" w:rsidRPr="00D47DAA">
        <w:rPr>
          <w:color w:val="000000" w:themeColor="text1"/>
        </w:rPr>
        <w:t xml:space="preserve">n </w:t>
      </w:r>
      <w:r w:rsidR="00E86B0B" w:rsidRPr="00D47DAA">
        <w:rPr>
          <w:color w:val="000000" w:themeColor="text1"/>
        </w:rPr>
        <w:t>a single</w:t>
      </w:r>
      <w:r w:rsidR="00545D2F" w:rsidRPr="00D47DAA">
        <w:rPr>
          <w:color w:val="000000" w:themeColor="text1"/>
        </w:rPr>
        <w:t xml:space="preserve"> discipline</w:t>
      </w:r>
      <w:r w:rsidR="00E86B0B" w:rsidRPr="00D47DAA">
        <w:rPr>
          <w:color w:val="000000" w:themeColor="text1"/>
        </w:rPr>
        <w:t xml:space="preserve"> or small cluster of discipline</w:t>
      </w:r>
      <w:r w:rsidR="00545D2F" w:rsidRPr="00D47DAA">
        <w:rPr>
          <w:color w:val="000000" w:themeColor="text1"/>
        </w:rPr>
        <w:t>s</w:t>
      </w:r>
      <w:r w:rsidR="00A31D1D" w:rsidRPr="00D47DAA">
        <w:rPr>
          <w:color w:val="000000" w:themeColor="text1"/>
        </w:rPr>
        <w:t>, and institutions offering elite teaching and professional training without research, have be</w:t>
      </w:r>
      <w:r w:rsidR="00E86B0B" w:rsidRPr="00D47DAA">
        <w:rPr>
          <w:color w:val="000000" w:themeColor="text1"/>
        </w:rPr>
        <w:t xml:space="preserve">come </w:t>
      </w:r>
      <w:r w:rsidR="00A31D1D" w:rsidRPr="00D47DAA">
        <w:rPr>
          <w:color w:val="000000" w:themeColor="text1"/>
        </w:rPr>
        <w:t>folded into</w:t>
      </w:r>
      <w:r w:rsidR="001477C3" w:rsidRPr="00D47DAA">
        <w:rPr>
          <w:color w:val="000000" w:themeColor="text1"/>
        </w:rPr>
        <w:t xml:space="preserve"> </w:t>
      </w:r>
      <w:r w:rsidR="00E86B0B" w:rsidRPr="00D47DAA">
        <w:rPr>
          <w:color w:val="000000" w:themeColor="text1"/>
        </w:rPr>
        <w:t xml:space="preserve">the </w:t>
      </w:r>
      <w:r w:rsidR="007A347E" w:rsidRPr="00D47DAA">
        <w:rPr>
          <w:color w:val="000000" w:themeColor="text1"/>
        </w:rPr>
        <w:t xml:space="preserve">research </w:t>
      </w:r>
      <w:r w:rsidR="00E86B0B" w:rsidRPr="00D47DAA">
        <w:rPr>
          <w:color w:val="000000" w:themeColor="text1"/>
        </w:rPr>
        <w:t>multiversities</w:t>
      </w:r>
      <w:r w:rsidR="00545D2F" w:rsidRPr="00D47DAA">
        <w:rPr>
          <w:color w:val="000000" w:themeColor="text1"/>
        </w:rPr>
        <w:t xml:space="preserve"> (</w:t>
      </w:r>
      <w:proofErr w:type="spellStart"/>
      <w:r w:rsidR="00545D2F" w:rsidRPr="00D47DAA">
        <w:rPr>
          <w:color w:val="000000" w:themeColor="text1"/>
        </w:rPr>
        <w:t>Salmi</w:t>
      </w:r>
      <w:proofErr w:type="spellEnd"/>
      <w:r w:rsidR="00545D2F" w:rsidRPr="00D47DAA">
        <w:rPr>
          <w:color w:val="000000" w:themeColor="text1"/>
        </w:rPr>
        <w:t xml:space="preserve">, 2009). </w:t>
      </w:r>
      <w:r w:rsidR="0006106F" w:rsidRPr="00D47DAA">
        <w:rPr>
          <w:color w:val="000000" w:themeColor="text1"/>
        </w:rPr>
        <w:t>M</w:t>
      </w:r>
      <w:r w:rsidR="00366B18" w:rsidRPr="00D47DAA">
        <w:rPr>
          <w:color w:val="000000" w:themeColor="text1"/>
        </w:rPr>
        <w:t xml:space="preserve">any </w:t>
      </w:r>
      <w:r w:rsidR="001477C3" w:rsidRPr="00D47DAA">
        <w:rPr>
          <w:color w:val="000000" w:themeColor="text1"/>
        </w:rPr>
        <w:t xml:space="preserve">governments have implemented funding and performance management policies designed to elevate the globally-referenced research </w:t>
      </w:r>
      <w:r w:rsidR="00DA2F1E" w:rsidRPr="00D47DAA">
        <w:rPr>
          <w:color w:val="000000" w:themeColor="text1"/>
        </w:rPr>
        <w:t>outcomes</w:t>
      </w:r>
      <w:r w:rsidR="00A31D1D" w:rsidRPr="00D47DAA">
        <w:rPr>
          <w:color w:val="000000" w:themeColor="text1"/>
        </w:rPr>
        <w:t xml:space="preserve"> of </w:t>
      </w:r>
      <w:r w:rsidR="001477C3" w:rsidRPr="00D47DAA">
        <w:rPr>
          <w:color w:val="000000" w:themeColor="text1"/>
        </w:rPr>
        <w:t xml:space="preserve">designated elite institutions </w:t>
      </w:r>
      <w:r w:rsidR="006E2B22" w:rsidRPr="00D47DAA">
        <w:rPr>
          <w:color w:val="000000" w:themeColor="text1"/>
        </w:rPr>
        <w:t>(‘World-Class Universities’)</w:t>
      </w:r>
      <w:r w:rsidR="00545D2F" w:rsidRPr="00D47DAA">
        <w:rPr>
          <w:color w:val="000000" w:themeColor="text1"/>
        </w:rPr>
        <w:t>.</w:t>
      </w:r>
      <w:r w:rsidR="008C109F" w:rsidRPr="00D47DAA">
        <w:rPr>
          <w:color w:val="000000" w:themeColor="text1"/>
        </w:rPr>
        <w:t xml:space="preserve"> </w:t>
      </w:r>
      <w:r w:rsidR="00E86B0B" w:rsidRPr="00D47DAA">
        <w:rPr>
          <w:color w:val="000000" w:themeColor="text1"/>
        </w:rPr>
        <w:t>Rankings have further entrenched Kerr’s model</w:t>
      </w:r>
      <w:r w:rsidR="0006106F" w:rsidRPr="00D47DAA">
        <w:rPr>
          <w:color w:val="000000" w:themeColor="text1"/>
        </w:rPr>
        <w:t xml:space="preserve"> as the global standard</w:t>
      </w:r>
      <w:r w:rsidR="00E86B0B" w:rsidRPr="00D47DAA">
        <w:rPr>
          <w:color w:val="000000" w:themeColor="text1"/>
        </w:rPr>
        <w:t>.</w:t>
      </w:r>
    </w:p>
    <w:p w14:paraId="1059206B" w14:textId="51C55CDA" w:rsidR="0006106F" w:rsidRPr="00D47DAA" w:rsidRDefault="0006106F" w:rsidP="00DF6211">
      <w:pPr>
        <w:ind w:firstLine="454"/>
        <w:rPr>
          <w:color w:val="000000" w:themeColor="text1"/>
        </w:rPr>
      </w:pPr>
      <w:r w:rsidRPr="00D47DAA">
        <w:rPr>
          <w:color w:val="000000" w:themeColor="text1"/>
        </w:rPr>
        <w:t xml:space="preserve">All the leaves have turned brown, as one California song states, and the sky is grey. But everybody in higher education, across the world, still lives in the Hotel California that another California song memorably invokes, the hotel that you can never leave. In the last half century, since the work of Clark Kerr and his fellow builders was done, no other model of higher education system or institution has proved so compelling. </w:t>
      </w:r>
    </w:p>
    <w:p w14:paraId="74D5AC44" w14:textId="77777777" w:rsidR="0006106F" w:rsidRPr="00D47DAA" w:rsidRDefault="0006106F" w:rsidP="00DF6211">
      <w:pPr>
        <w:rPr>
          <w:color w:val="000000" w:themeColor="text1"/>
        </w:rPr>
      </w:pPr>
    </w:p>
    <w:p w14:paraId="08475040" w14:textId="77777777" w:rsidR="00EF5C79" w:rsidRPr="00D47DAA" w:rsidRDefault="00EF5C79" w:rsidP="00DF6211">
      <w:pPr>
        <w:rPr>
          <w:color w:val="000000" w:themeColor="text1"/>
        </w:rPr>
      </w:pPr>
    </w:p>
    <w:p w14:paraId="443EAC88" w14:textId="77777777" w:rsidR="0006106F" w:rsidRPr="00D47DAA" w:rsidRDefault="0006106F" w:rsidP="00DF6211">
      <w:pPr>
        <w:rPr>
          <w:b/>
          <w:color w:val="000000" w:themeColor="text1"/>
          <w:sz w:val="28"/>
          <w:szCs w:val="28"/>
        </w:rPr>
      </w:pPr>
      <w:r w:rsidRPr="00D47DAA">
        <w:rPr>
          <w:b/>
          <w:color w:val="000000" w:themeColor="text1"/>
          <w:sz w:val="28"/>
          <w:szCs w:val="28"/>
        </w:rPr>
        <w:t>Lessons from California</w:t>
      </w:r>
    </w:p>
    <w:p w14:paraId="126F4552" w14:textId="77777777" w:rsidR="0006106F" w:rsidRPr="00D47DAA" w:rsidRDefault="0006106F" w:rsidP="00DF6211">
      <w:pPr>
        <w:rPr>
          <w:color w:val="000000" w:themeColor="text1"/>
        </w:rPr>
      </w:pPr>
    </w:p>
    <w:p w14:paraId="1B87E8CB" w14:textId="5B578B7F" w:rsidR="0006106F" w:rsidRPr="00D47DAA" w:rsidRDefault="007E314D" w:rsidP="00DF6211">
      <w:pPr>
        <w:rPr>
          <w:color w:val="000000" w:themeColor="text1"/>
        </w:rPr>
      </w:pPr>
      <w:r w:rsidRPr="00D47DAA">
        <w:rPr>
          <w:color w:val="000000" w:themeColor="text1"/>
        </w:rPr>
        <w:t xml:space="preserve">What </w:t>
      </w:r>
      <w:r w:rsidR="002421B5" w:rsidRPr="00D47DAA">
        <w:rPr>
          <w:color w:val="000000" w:themeColor="text1"/>
        </w:rPr>
        <w:t xml:space="preserve">general conclusions can be drawn? What </w:t>
      </w:r>
      <w:r w:rsidRPr="00D47DAA">
        <w:rPr>
          <w:color w:val="000000" w:themeColor="text1"/>
        </w:rPr>
        <w:t xml:space="preserve">are the </w:t>
      </w:r>
      <w:r w:rsidR="00BE679D" w:rsidRPr="00D47DAA">
        <w:rPr>
          <w:color w:val="000000" w:themeColor="text1"/>
        </w:rPr>
        <w:t xml:space="preserve">larger </w:t>
      </w:r>
      <w:r w:rsidRPr="00D47DAA">
        <w:rPr>
          <w:color w:val="000000" w:themeColor="text1"/>
        </w:rPr>
        <w:t>lessons</w:t>
      </w:r>
      <w:r w:rsidR="002421B5" w:rsidRPr="00D47DAA">
        <w:rPr>
          <w:color w:val="000000" w:themeColor="text1"/>
        </w:rPr>
        <w:t xml:space="preserve"> </w:t>
      </w:r>
      <w:r w:rsidRPr="00D47DAA">
        <w:rPr>
          <w:color w:val="000000" w:themeColor="text1"/>
        </w:rPr>
        <w:t>of the Master Plan for Higher Education</w:t>
      </w:r>
      <w:r w:rsidR="002421B5" w:rsidRPr="00D47DAA">
        <w:rPr>
          <w:color w:val="000000" w:themeColor="text1"/>
        </w:rPr>
        <w:t>, beyond</w:t>
      </w:r>
      <w:r w:rsidRPr="00D47DAA">
        <w:rPr>
          <w:color w:val="000000" w:themeColor="text1"/>
        </w:rPr>
        <w:t xml:space="preserve"> California</w:t>
      </w:r>
      <w:r w:rsidR="002421B5" w:rsidRPr="00D47DAA">
        <w:rPr>
          <w:color w:val="000000" w:themeColor="text1"/>
        </w:rPr>
        <w:t>, for contemporary higher education</w:t>
      </w:r>
      <w:r w:rsidRPr="00D47DAA">
        <w:rPr>
          <w:color w:val="000000" w:themeColor="text1"/>
        </w:rPr>
        <w:t>?</w:t>
      </w:r>
      <w:r w:rsidR="00545D2F" w:rsidRPr="00D47DAA">
        <w:rPr>
          <w:color w:val="000000" w:themeColor="text1"/>
        </w:rPr>
        <w:t xml:space="preserve"> </w:t>
      </w:r>
    </w:p>
    <w:p w14:paraId="28C5B5C2" w14:textId="6BBFA606" w:rsidR="00A23B94" w:rsidRPr="00D47DAA" w:rsidRDefault="00D22BD2" w:rsidP="00A23B94">
      <w:pPr>
        <w:ind w:firstLine="454"/>
        <w:rPr>
          <w:color w:val="000000" w:themeColor="text1"/>
        </w:rPr>
      </w:pPr>
      <w:r w:rsidRPr="00D47DAA">
        <w:rPr>
          <w:color w:val="000000" w:themeColor="text1"/>
        </w:rPr>
        <w:t>A</w:t>
      </w:r>
      <w:r w:rsidR="002421B5" w:rsidRPr="00D47DAA">
        <w:rPr>
          <w:color w:val="000000" w:themeColor="text1"/>
        </w:rPr>
        <w:t xml:space="preserve">ccess and excellence are not </w:t>
      </w:r>
      <w:r w:rsidR="00DC41F9" w:rsidRPr="00D47DAA">
        <w:rPr>
          <w:color w:val="000000" w:themeColor="text1"/>
        </w:rPr>
        <w:t>always</w:t>
      </w:r>
      <w:r w:rsidR="002421B5" w:rsidRPr="00D47DAA">
        <w:rPr>
          <w:color w:val="000000" w:themeColor="text1"/>
        </w:rPr>
        <w:t xml:space="preserve"> in conflict</w:t>
      </w:r>
      <w:r w:rsidR="00DC41F9" w:rsidRPr="00D47DAA">
        <w:rPr>
          <w:color w:val="000000" w:themeColor="text1"/>
        </w:rPr>
        <w:t>. However, the</w:t>
      </w:r>
      <w:r w:rsidRPr="00D47DAA">
        <w:rPr>
          <w:color w:val="000000" w:themeColor="text1"/>
        </w:rPr>
        <w:t xml:space="preserve"> </w:t>
      </w:r>
      <w:r w:rsidR="008A74FA" w:rsidRPr="00D47DAA">
        <w:rPr>
          <w:color w:val="000000" w:themeColor="text1"/>
        </w:rPr>
        <w:t xml:space="preserve">twin goals of the </w:t>
      </w:r>
      <w:r w:rsidRPr="00D47DAA">
        <w:rPr>
          <w:color w:val="000000" w:themeColor="text1"/>
        </w:rPr>
        <w:t>Master Plan goals</w:t>
      </w:r>
      <w:r w:rsidR="00DC41F9" w:rsidRPr="00D47DAA">
        <w:rPr>
          <w:color w:val="000000" w:themeColor="text1"/>
        </w:rPr>
        <w:t xml:space="preserve"> </w:t>
      </w:r>
      <w:r w:rsidR="008A74FA" w:rsidRPr="00D47DAA">
        <w:rPr>
          <w:color w:val="000000" w:themeColor="text1"/>
        </w:rPr>
        <w:t xml:space="preserve">can be </w:t>
      </w:r>
      <w:r w:rsidR="00DC41F9" w:rsidRPr="00D47DAA">
        <w:rPr>
          <w:color w:val="000000" w:themeColor="text1"/>
        </w:rPr>
        <w:t xml:space="preserve">reconciled </w:t>
      </w:r>
      <w:r w:rsidR="002421B5" w:rsidRPr="00D47DAA">
        <w:rPr>
          <w:color w:val="000000" w:themeColor="text1"/>
        </w:rPr>
        <w:t xml:space="preserve">only under specific conditions. </w:t>
      </w:r>
      <w:r w:rsidR="00A23B94" w:rsidRPr="00D47DAA">
        <w:rPr>
          <w:color w:val="000000" w:themeColor="text1"/>
        </w:rPr>
        <w:t>Every nation is different and every time is different</w:t>
      </w:r>
      <w:r w:rsidR="008A74FA" w:rsidRPr="00D47DAA">
        <w:rPr>
          <w:color w:val="000000" w:themeColor="text1"/>
        </w:rPr>
        <w:t>. F</w:t>
      </w:r>
      <w:r w:rsidR="00A23B94" w:rsidRPr="00D47DAA">
        <w:rPr>
          <w:color w:val="000000" w:themeColor="text1"/>
        </w:rPr>
        <w:t xml:space="preserve">avourable conditions are not always present. </w:t>
      </w:r>
    </w:p>
    <w:p w14:paraId="3149C6E5" w14:textId="78956028" w:rsidR="00A23B94" w:rsidRPr="00D47DAA" w:rsidRDefault="00A23B94" w:rsidP="00A23B94">
      <w:pPr>
        <w:ind w:firstLine="454"/>
        <w:rPr>
          <w:color w:val="000000" w:themeColor="text1"/>
        </w:rPr>
      </w:pPr>
      <w:r w:rsidRPr="00D47DAA">
        <w:rPr>
          <w:color w:val="000000" w:themeColor="text1"/>
        </w:rPr>
        <w:t xml:space="preserve">One </w:t>
      </w:r>
      <w:r w:rsidR="008A74FA" w:rsidRPr="00D47DAA">
        <w:rPr>
          <w:color w:val="000000" w:themeColor="text1"/>
        </w:rPr>
        <w:t xml:space="preserve">such </w:t>
      </w:r>
      <w:r w:rsidRPr="00D47DAA">
        <w:rPr>
          <w:color w:val="000000" w:themeColor="text1"/>
        </w:rPr>
        <w:t>set of conditions</w:t>
      </w:r>
      <w:r w:rsidR="00D22BD2" w:rsidRPr="00D47DAA">
        <w:rPr>
          <w:color w:val="000000" w:themeColor="text1"/>
        </w:rPr>
        <w:t xml:space="preserve"> is </w:t>
      </w:r>
      <w:r w:rsidRPr="00D47DAA">
        <w:rPr>
          <w:color w:val="000000" w:themeColor="text1"/>
        </w:rPr>
        <w:t>a</w:t>
      </w:r>
      <w:r w:rsidR="00D22BD2" w:rsidRPr="00D47DAA">
        <w:rPr>
          <w:color w:val="000000" w:themeColor="text1"/>
        </w:rPr>
        <w:t xml:space="preserve"> combination of modest social inequality with </w:t>
      </w:r>
      <w:r w:rsidRPr="00D47DAA">
        <w:rPr>
          <w:color w:val="000000" w:themeColor="text1"/>
        </w:rPr>
        <w:t>low</w:t>
      </w:r>
      <w:r w:rsidR="00D22BD2" w:rsidRPr="00D47DAA">
        <w:rPr>
          <w:color w:val="000000" w:themeColor="text1"/>
        </w:rPr>
        <w:t xml:space="preserve"> structural inequality in education. </w:t>
      </w:r>
      <w:r w:rsidR="002421B5" w:rsidRPr="00D47DAA">
        <w:rPr>
          <w:color w:val="000000" w:themeColor="text1"/>
        </w:rPr>
        <w:t>Higher education in the Nordic countries</w:t>
      </w:r>
      <w:r w:rsidR="00A31A3F" w:rsidRPr="00D47DAA">
        <w:rPr>
          <w:color w:val="000000" w:themeColor="text1"/>
        </w:rPr>
        <w:t xml:space="preserve">, </w:t>
      </w:r>
      <w:r w:rsidR="008A74FA" w:rsidRPr="00D47DAA">
        <w:rPr>
          <w:color w:val="000000" w:themeColor="text1"/>
        </w:rPr>
        <w:t xml:space="preserve">Germany and </w:t>
      </w:r>
      <w:r w:rsidR="002421B5" w:rsidRPr="00D47DAA">
        <w:rPr>
          <w:color w:val="000000" w:themeColor="text1"/>
        </w:rPr>
        <w:t>the</w:t>
      </w:r>
      <w:r w:rsidRPr="00D47DAA">
        <w:rPr>
          <w:color w:val="000000" w:themeColor="text1"/>
        </w:rPr>
        <w:t xml:space="preserve"> Netherlands</w:t>
      </w:r>
      <w:r w:rsidR="00A31A3F" w:rsidRPr="00D47DAA">
        <w:rPr>
          <w:color w:val="000000" w:themeColor="text1"/>
        </w:rPr>
        <w:t xml:space="preserve"> </w:t>
      </w:r>
      <w:r w:rsidR="002421B5" w:rsidRPr="00D47DAA">
        <w:rPr>
          <w:color w:val="000000" w:themeColor="text1"/>
        </w:rPr>
        <w:t>combine</w:t>
      </w:r>
      <w:r w:rsidR="00BC352F" w:rsidRPr="00D47DAA">
        <w:rPr>
          <w:color w:val="000000" w:themeColor="text1"/>
        </w:rPr>
        <w:t>s</w:t>
      </w:r>
      <w:r w:rsidR="002421B5" w:rsidRPr="00D47DAA">
        <w:rPr>
          <w:color w:val="000000" w:themeColor="text1"/>
        </w:rPr>
        <w:t xml:space="preserve"> </w:t>
      </w:r>
      <w:r w:rsidR="00DC41F9" w:rsidRPr="00D47DAA">
        <w:rPr>
          <w:color w:val="000000" w:themeColor="text1"/>
        </w:rPr>
        <w:t>strong</w:t>
      </w:r>
      <w:r w:rsidR="002421B5" w:rsidRPr="00D47DAA">
        <w:rPr>
          <w:color w:val="000000" w:themeColor="text1"/>
        </w:rPr>
        <w:t xml:space="preserve"> research universities with high participation, </w:t>
      </w:r>
      <w:r w:rsidR="00D22BD2" w:rsidRPr="00D47DAA">
        <w:rPr>
          <w:color w:val="000000" w:themeColor="text1"/>
        </w:rPr>
        <w:t>free or modest</w:t>
      </w:r>
      <w:r w:rsidR="002421B5" w:rsidRPr="00D47DAA">
        <w:rPr>
          <w:color w:val="000000" w:themeColor="text1"/>
        </w:rPr>
        <w:t xml:space="preserve"> tuition and good mass institutions. The </w:t>
      </w:r>
      <w:r w:rsidR="008A74FA" w:rsidRPr="00D47DAA">
        <w:rPr>
          <w:color w:val="000000" w:themeColor="text1"/>
        </w:rPr>
        <w:t xml:space="preserve">per capita </w:t>
      </w:r>
      <w:r w:rsidR="002421B5" w:rsidRPr="00D47DAA">
        <w:rPr>
          <w:color w:val="000000" w:themeColor="text1"/>
        </w:rPr>
        <w:t xml:space="preserve">output of high citation research in the Netherlands and Sweden </w:t>
      </w:r>
      <w:r w:rsidR="00BC352F" w:rsidRPr="00D47DAA">
        <w:rPr>
          <w:color w:val="000000" w:themeColor="text1"/>
        </w:rPr>
        <w:t xml:space="preserve">exceeds </w:t>
      </w:r>
      <w:r w:rsidR="002421B5" w:rsidRPr="00D47DAA">
        <w:rPr>
          <w:color w:val="000000" w:themeColor="text1"/>
        </w:rPr>
        <w:t xml:space="preserve">the United States and United Kingdom (UK). </w:t>
      </w:r>
      <w:r w:rsidR="008A74FA" w:rsidRPr="00D47DAA">
        <w:rPr>
          <w:color w:val="000000" w:themeColor="text1"/>
        </w:rPr>
        <w:t>T</w:t>
      </w:r>
      <w:r w:rsidR="002421B5" w:rsidRPr="00D47DAA">
        <w:rPr>
          <w:color w:val="000000" w:themeColor="text1"/>
        </w:rPr>
        <w:t xml:space="preserve">hese countries spend more public money on education than </w:t>
      </w:r>
      <w:r w:rsidR="00A31A3F" w:rsidRPr="00D47DAA">
        <w:rPr>
          <w:color w:val="000000" w:themeColor="text1"/>
        </w:rPr>
        <w:t xml:space="preserve">the </w:t>
      </w:r>
      <w:r w:rsidR="008A74FA" w:rsidRPr="00D47DAA">
        <w:rPr>
          <w:color w:val="000000" w:themeColor="text1"/>
        </w:rPr>
        <w:t>English-speaking nations,</w:t>
      </w:r>
      <w:r w:rsidR="00DC41F9" w:rsidRPr="00D47DAA">
        <w:rPr>
          <w:color w:val="000000" w:themeColor="text1"/>
        </w:rPr>
        <w:t xml:space="preserve"> </w:t>
      </w:r>
      <w:r w:rsidR="00D22BD2" w:rsidRPr="00D47DAA">
        <w:rPr>
          <w:color w:val="000000" w:themeColor="text1"/>
        </w:rPr>
        <w:t xml:space="preserve">and </w:t>
      </w:r>
      <w:r w:rsidR="00BC352F" w:rsidRPr="00D47DAA">
        <w:rPr>
          <w:color w:val="000000" w:themeColor="text1"/>
        </w:rPr>
        <w:t>un</w:t>
      </w:r>
      <w:r w:rsidR="002421B5" w:rsidRPr="00D47DAA">
        <w:rPr>
          <w:color w:val="000000" w:themeColor="text1"/>
        </w:rPr>
        <w:t xml:space="preserve"> systems less vertically stratified than the American</w:t>
      </w:r>
      <w:r w:rsidR="00A31A3F" w:rsidRPr="00D47DAA">
        <w:rPr>
          <w:color w:val="000000" w:themeColor="text1"/>
        </w:rPr>
        <w:t xml:space="preserve">, with </w:t>
      </w:r>
      <w:r w:rsidR="00D22BD2" w:rsidRPr="00D47DAA">
        <w:rPr>
          <w:color w:val="000000" w:themeColor="text1"/>
        </w:rPr>
        <w:t xml:space="preserve">no </w:t>
      </w:r>
      <w:r w:rsidR="002421B5" w:rsidRPr="00D47DAA">
        <w:rPr>
          <w:color w:val="000000" w:themeColor="text1"/>
        </w:rPr>
        <w:t xml:space="preserve">top </w:t>
      </w:r>
      <w:r w:rsidR="00BC352F" w:rsidRPr="00D47DAA">
        <w:rPr>
          <w:color w:val="000000" w:themeColor="text1"/>
        </w:rPr>
        <w:t>4</w:t>
      </w:r>
      <w:r w:rsidR="002421B5" w:rsidRPr="00D47DAA">
        <w:rPr>
          <w:color w:val="000000" w:themeColor="text1"/>
        </w:rPr>
        <w:t>0 universities (</w:t>
      </w:r>
      <w:r w:rsidR="00BC352F" w:rsidRPr="00D47DAA">
        <w:rPr>
          <w:color w:val="000000" w:themeColor="text1"/>
        </w:rPr>
        <w:t xml:space="preserve">ARWU, 2016; </w:t>
      </w:r>
      <w:r w:rsidR="002421B5" w:rsidRPr="00D47DAA">
        <w:rPr>
          <w:color w:val="000000" w:themeColor="text1"/>
        </w:rPr>
        <w:t>Leiden University, 2017</w:t>
      </w:r>
      <w:r w:rsidR="00A36626" w:rsidRPr="00D47DAA">
        <w:rPr>
          <w:color w:val="000000" w:themeColor="text1"/>
        </w:rPr>
        <w:t xml:space="preserve">). </w:t>
      </w:r>
      <w:r w:rsidR="008A74FA" w:rsidRPr="00D47DAA">
        <w:rPr>
          <w:color w:val="000000" w:themeColor="text1"/>
        </w:rPr>
        <w:t>I</w:t>
      </w:r>
      <w:r w:rsidR="00B72E22" w:rsidRPr="00D47DAA">
        <w:rPr>
          <w:color w:val="000000" w:themeColor="text1"/>
        </w:rPr>
        <w:t>ncome distribution</w:t>
      </w:r>
      <w:r w:rsidR="00D22BD2" w:rsidRPr="00D47DAA">
        <w:rPr>
          <w:color w:val="000000" w:themeColor="text1"/>
        </w:rPr>
        <w:t xml:space="preserve"> is</w:t>
      </w:r>
      <w:r w:rsidR="00B72E22" w:rsidRPr="00D47DAA">
        <w:rPr>
          <w:color w:val="000000" w:themeColor="text1"/>
        </w:rPr>
        <w:t xml:space="preserve"> less unequal </w:t>
      </w:r>
      <w:r w:rsidR="002C073F" w:rsidRPr="00D47DAA">
        <w:rPr>
          <w:color w:val="000000" w:themeColor="text1"/>
        </w:rPr>
        <w:t>(OECD, 2015</w:t>
      </w:r>
      <w:r w:rsidR="00B72E22" w:rsidRPr="00D47DAA">
        <w:rPr>
          <w:color w:val="000000" w:themeColor="text1"/>
        </w:rPr>
        <w:t>)</w:t>
      </w:r>
      <w:r w:rsidR="00A36626" w:rsidRPr="00D47DAA">
        <w:rPr>
          <w:color w:val="000000" w:themeColor="text1"/>
        </w:rPr>
        <w:t>, social mobility is higher (</w:t>
      </w:r>
      <w:proofErr w:type="spellStart"/>
      <w:r w:rsidR="00A36626" w:rsidRPr="00D47DAA">
        <w:rPr>
          <w:color w:val="000000" w:themeColor="text1"/>
        </w:rPr>
        <w:t>Corak</w:t>
      </w:r>
      <w:proofErr w:type="spellEnd"/>
      <w:r w:rsidR="00A36626" w:rsidRPr="00D47DAA">
        <w:rPr>
          <w:color w:val="000000" w:themeColor="text1"/>
        </w:rPr>
        <w:t xml:space="preserve">, 2012), and </w:t>
      </w:r>
      <w:r w:rsidR="00623D00" w:rsidRPr="00D47DAA">
        <w:rPr>
          <w:color w:val="000000" w:themeColor="text1"/>
        </w:rPr>
        <w:t>economic inequality is more restrained by government taxes and transfers.</w:t>
      </w:r>
      <w:r w:rsidR="002421B5" w:rsidRPr="00D47DAA">
        <w:rPr>
          <w:color w:val="000000" w:themeColor="text1"/>
        </w:rPr>
        <w:t xml:space="preserve"> </w:t>
      </w:r>
    </w:p>
    <w:p w14:paraId="111571B8" w14:textId="476B36E6" w:rsidR="00B72E22" w:rsidRPr="00D47DAA" w:rsidRDefault="00A23B94" w:rsidP="00DF6211">
      <w:pPr>
        <w:ind w:firstLine="454"/>
        <w:rPr>
          <w:color w:val="000000" w:themeColor="text1"/>
        </w:rPr>
      </w:pPr>
      <w:r w:rsidRPr="00D47DAA">
        <w:rPr>
          <w:color w:val="000000" w:themeColor="text1"/>
        </w:rPr>
        <w:t xml:space="preserve">Another set of conditions </w:t>
      </w:r>
      <w:r w:rsidR="00A31A3F" w:rsidRPr="00D47DAA">
        <w:rPr>
          <w:color w:val="000000" w:themeColor="text1"/>
        </w:rPr>
        <w:t xml:space="preserve">was present on a more unstable basis in the American 1960s. </w:t>
      </w:r>
      <w:r w:rsidR="00BC352F" w:rsidRPr="00D47DAA">
        <w:rPr>
          <w:color w:val="000000" w:themeColor="text1"/>
        </w:rPr>
        <w:t xml:space="preserve">Historically, stratified systems of the American type foster relatively high equality of opportunity only under </w:t>
      </w:r>
      <w:r w:rsidR="00A31A3F" w:rsidRPr="00D47DAA">
        <w:rPr>
          <w:color w:val="000000" w:themeColor="text1"/>
        </w:rPr>
        <w:t>unusual</w:t>
      </w:r>
      <w:r w:rsidR="00BC352F" w:rsidRPr="00D47DAA">
        <w:rPr>
          <w:color w:val="000000" w:themeColor="text1"/>
        </w:rPr>
        <w:t xml:space="preserve"> circumstances, as </w:t>
      </w:r>
      <w:r w:rsidR="008A74FA" w:rsidRPr="00D47DAA">
        <w:rPr>
          <w:color w:val="000000" w:themeColor="text1"/>
        </w:rPr>
        <w:t>when</w:t>
      </w:r>
      <w:r w:rsidR="00BC352F" w:rsidRPr="00D47DAA">
        <w:rPr>
          <w:color w:val="000000" w:themeColor="text1"/>
        </w:rPr>
        <w:t xml:space="preserve"> the </w:t>
      </w:r>
      <w:r w:rsidR="00B72E22" w:rsidRPr="00D47DAA">
        <w:rPr>
          <w:color w:val="000000" w:themeColor="text1"/>
        </w:rPr>
        <w:t xml:space="preserve">broad and </w:t>
      </w:r>
      <w:r w:rsidR="00BC352F" w:rsidRPr="00D47DAA">
        <w:rPr>
          <w:color w:val="000000" w:themeColor="text1"/>
        </w:rPr>
        <w:t xml:space="preserve">open scope for middle class growth and upward </w:t>
      </w:r>
      <w:r w:rsidR="00B72E22" w:rsidRPr="00D47DAA">
        <w:rPr>
          <w:color w:val="000000" w:themeColor="text1"/>
        </w:rPr>
        <w:t xml:space="preserve">social </w:t>
      </w:r>
      <w:r w:rsidR="00BC352F" w:rsidRPr="00D47DAA">
        <w:rPr>
          <w:color w:val="000000" w:themeColor="text1"/>
        </w:rPr>
        <w:t xml:space="preserve">mobility </w:t>
      </w:r>
      <w:r w:rsidR="00A31A3F" w:rsidRPr="00D47DAA">
        <w:rPr>
          <w:color w:val="000000" w:themeColor="text1"/>
        </w:rPr>
        <w:t xml:space="preserve">in Clark Kerr’s era </w:t>
      </w:r>
      <w:r w:rsidR="008A74FA" w:rsidRPr="00D47DAA">
        <w:rPr>
          <w:color w:val="000000" w:themeColor="text1"/>
        </w:rPr>
        <w:t xml:space="preserve">coincided with strong political support for inclusive and egalitarian public education. </w:t>
      </w:r>
      <w:r w:rsidR="007631AE" w:rsidRPr="00D47DAA">
        <w:rPr>
          <w:color w:val="000000" w:themeColor="text1"/>
        </w:rPr>
        <w:t xml:space="preserve">At other times, </w:t>
      </w:r>
      <w:r w:rsidR="00A36626" w:rsidRPr="00D47DAA">
        <w:rPr>
          <w:color w:val="000000" w:themeColor="text1"/>
        </w:rPr>
        <w:t xml:space="preserve">steep structural stratification in education continually undermines the potential for educational advance by families at the base of the social pyramid. Stratification tends to empty out the social value of mass education and blocks access from below into elite tracks. Arguably, stratification is a larger barrier than tuition fees (Marginson, 2016b). In addition, </w:t>
      </w:r>
      <w:r w:rsidR="00B72E22" w:rsidRPr="00D47DAA">
        <w:rPr>
          <w:color w:val="000000" w:themeColor="text1"/>
        </w:rPr>
        <w:t xml:space="preserve">social and economic inequality weakens the </w:t>
      </w:r>
      <w:r w:rsidR="00CB3818" w:rsidRPr="00D47DAA">
        <w:rPr>
          <w:color w:val="000000" w:themeColor="text1"/>
        </w:rPr>
        <w:t xml:space="preserve">funding </w:t>
      </w:r>
      <w:r w:rsidR="00B72E22" w:rsidRPr="00D47DAA">
        <w:rPr>
          <w:color w:val="000000" w:themeColor="text1"/>
        </w:rPr>
        <w:t xml:space="preserve">scope and </w:t>
      </w:r>
      <w:r w:rsidR="00CB3818" w:rsidRPr="00D47DAA">
        <w:rPr>
          <w:color w:val="000000" w:themeColor="text1"/>
        </w:rPr>
        <w:t xml:space="preserve">political </w:t>
      </w:r>
      <w:r w:rsidR="00B72E22" w:rsidRPr="00D47DAA">
        <w:rPr>
          <w:color w:val="000000" w:themeColor="text1"/>
        </w:rPr>
        <w:t>support for equalisation policies in education</w:t>
      </w:r>
      <w:r w:rsidR="00D22BD2" w:rsidRPr="00D47DAA">
        <w:rPr>
          <w:color w:val="000000" w:themeColor="text1"/>
        </w:rPr>
        <w:t xml:space="preserve">. It is hard to imagine the United States achieving a marked change in educational equality while </w:t>
      </w:r>
      <w:r w:rsidR="00CB3818" w:rsidRPr="00D47DAA">
        <w:rPr>
          <w:color w:val="000000" w:themeColor="text1"/>
        </w:rPr>
        <w:t>income inequality continues to worsen as at present</w:t>
      </w:r>
      <w:r w:rsidR="003159C2" w:rsidRPr="00D47DAA">
        <w:rPr>
          <w:color w:val="000000" w:themeColor="text1"/>
        </w:rPr>
        <w:t xml:space="preserve">, and while </w:t>
      </w:r>
      <w:r w:rsidR="006A4FCE" w:rsidRPr="00D47DAA">
        <w:rPr>
          <w:color w:val="000000" w:themeColor="text1"/>
        </w:rPr>
        <w:t xml:space="preserve">high income earners </w:t>
      </w:r>
      <w:r w:rsidR="00A31A3F" w:rsidRPr="00D47DAA">
        <w:rPr>
          <w:color w:val="000000" w:themeColor="text1"/>
        </w:rPr>
        <w:t xml:space="preserve">continue to </w:t>
      </w:r>
      <w:r w:rsidR="006A4FCE" w:rsidRPr="00D47DAA">
        <w:rPr>
          <w:color w:val="000000" w:themeColor="text1"/>
        </w:rPr>
        <w:t xml:space="preserve">pay tax at </w:t>
      </w:r>
      <w:r w:rsidR="00A31A3F" w:rsidRPr="00D47DAA">
        <w:rPr>
          <w:color w:val="000000" w:themeColor="text1"/>
        </w:rPr>
        <w:t>a top rate of</w:t>
      </w:r>
      <w:r w:rsidR="006A4FCE" w:rsidRPr="00D47DAA">
        <w:rPr>
          <w:color w:val="000000" w:themeColor="text1"/>
        </w:rPr>
        <w:t xml:space="preserve"> 39 per cent</w:t>
      </w:r>
      <w:r w:rsidR="00A31A3F" w:rsidRPr="00D47DAA">
        <w:rPr>
          <w:color w:val="000000" w:themeColor="text1"/>
        </w:rPr>
        <w:t xml:space="preserve">, </w:t>
      </w:r>
      <w:r w:rsidR="006A4FCE" w:rsidRPr="00D47DAA">
        <w:rPr>
          <w:color w:val="000000" w:themeColor="text1"/>
        </w:rPr>
        <w:t>or evade it altogether.</w:t>
      </w:r>
      <w:r w:rsidR="003159C2" w:rsidRPr="00D47DAA">
        <w:rPr>
          <w:color w:val="000000" w:themeColor="text1"/>
        </w:rPr>
        <w:t xml:space="preserve"> </w:t>
      </w:r>
    </w:p>
    <w:p w14:paraId="345E8ED0" w14:textId="036F5D9D" w:rsidR="00B331E4" w:rsidRPr="00D47DAA" w:rsidRDefault="00A36626" w:rsidP="00DF6211">
      <w:pPr>
        <w:ind w:firstLine="454"/>
        <w:rPr>
          <w:color w:val="000000" w:themeColor="text1"/>
        </w:rPr>
      </w:pPr>
      <w:r w:rsidRPr="00D47DAA">
        <w:rPr>
          <w:color w:val="000000" w:themeColor="text1"/>
        </w:rPr>
        <w:t xml:space="preserve">But income inequality and educational hierarchy are not </w:t>
      </w:r>
      <w:r w:rsidR="00B331E4" w:rsidRPr="00D47DAA">
        <w:rPr>
          <w:color w:val="000000" w:themeColor="text1"/>
        </w:rPr>
        <w:t xml:space="preserve">routinely </w:t>
      </w:r>
      <w:proofErr w:type="spellStart"/>
      <w:r w:rsidRPr="00D47DAA">
        <w:rPr>
          <w:color w:val="000000" w:themeColor="text1"/>
        </w:rPr>
        <w:t>pathologised</w:t>
      </w:r>
      <w:proofErr w:type="spellEnd"/>
      <w:r w:rsidRPr="00D47DAA">
        <w:rPr>
          <w:color w:val="000000" w:themeColor="text1"/>
        </w:rPr>
        <w:t xml:space="preserve"> in the United States. </w:t>
      </w:r>
      <w:r w:rsidR="00B331E4" w:rsidRPr="00D47DAA">
        <w:rPr>
          <w:color w:val="000000" w:themeColor="text1"/>
        </w:rPr>
        <w:t>T</w:t>
      </w:r>
      <w:r w:rsidR="00545D2F" w:rsidRPr="00D47DAA">
        <w:rPr>
          <w:color w:val="000000" w:themeColor="text1"/>
        </w:rPr>
        <w:t>he American revolution predated the French revolution</w:t>
      </w:r>
      <w:r w:rsidR="00B331E4" w:rsidRPr="00D47DAA">
        <w:rPr>
          <w:color w:val="000000" w:themeColor="text1"/>
        </w:rPr>
        <w:t xml:space="preserve"> and</w:t>
      </w:r>
      <w:r w:rsidR="007911E3" w:rsidRPr="00D47DAA">
        <w:rPr>
          <w:color w:val="000000" w:themeColor="text1"/>
        </w:rPr>
        <w:t xml:space="preserve"> </w:t>
      </w:r>
      <w:r w:rsidR="00545D2F" w:rsidRPr="00D47DAA">
        <w:rPr>
          <w:color w:val="000000" w:themeColor="text1"/>
        </w:rPr>
        <w:t xml:space="preserve">the United </w:t>
      </w:r>
      <w:r w:rsidR="00545D2F" w:rsidRPr="00D47DAA">
        <w:rPr>
          <w:color w:val="000000" w:themeColor="text1"/>
        </w:rPr>
        <w:lastRenderedPageBreak/>
        <w:t>States never completely broke</w:t>
      </w:r>
      <w:r w:rsidRPr="00D47DAA">
        <w:rPr>
          <w:color w:val="000000" w:themeColor="text1"/>
        </w:rPr>
        <w:t xml:space="preserve"> </w:t>
      </w:r>
      <w:r w:rsidR="00545D2F" w:rsidRPr="00D47DAA">
        <w:rPr>
          <w:color w:val="000000" w:themeColor="text1"/>
        </w:rPr>
        <w:t>with the idea of aristocracy</w:t>
      </w:r>
      <w:r w:rsidR="009C20CF" w:rsidRPr="00D47DAA">
        <w:rPr>
          <w:color w:val="000000" w:themeColor="text1"/>
        </w:rPr>
        <w:t xml:space="preserve"> inherited from Britain</w:t>
      </w:r>
      <w:r w:rsidR="00B331E4" w:rsidRPr="00D47DAA">
        <w:rPr>
          <w:color w:val="000000" w:themeColor="text1"/>
        </w:rPr>
        <w:t>. Instead</w:t>
      </w:r>
      <w:r w:rsidR="007631AE" w:rsidRPr="00D47DAA">
        <w:rPr>
          <w:color w:val="000000" w:themeColor="text1"/>
        </w:rPr>
        <w:t xml:space="preserve"> </w:t>
      </w:r>
      <w:r w:rsidR="00B331E4" w:rsidRPr="00D47DAA">
        <w:rPr>
          <w:color w:val="000000" w:themeColor="text1"/>
        </w:rPr>
        <w:t>the</w:t>
      </w:r>
      <w:r w:rsidR="0006106F" w:rsidRPr="00D47DAA">
        <w:rPr>
          <w:color w:val="000000" w:themeColor="text1"/>
        </w:rPr>
        <w:t xml:space="preserve"> ideal </w:t>
      </w:r>
      <w:r w:rsidRPr="00D47DAA">
        <w:rPr>
          <w:color w:val="000000" w:themeColor="text1"/>
        </w:rPr>
        <w:t>became a</w:t>
      </w:r>
      <w:r w:rsidR="0006106F" w:rsidRPr="00D47DAA">
        <w:rPr>
          <w:color w:val="000000" w:themeColor="text1"/>
        </w:rPr>
        <w:t xml:space="preserve"> </w:t>
      </w:r>
      <w:proofErr w:type="spellStart"/>
      <w:r w:rsidR="0006106F" w:rsidRPr="00D47DAA">
        <w:rPr>
          <w:color w:val="000000" w:themeColor="text1"/>
        </w:rPr>
        <w:t>Jeffersonian</w:t>
      </w:r>
      <w:proofErr w:type="spellEnd"/>
      <w:r w:rsidR="0006106F" w:rsidRPr="00D47DAA">
        <w:rPr>
          <w:color w:val="000000" w:themeColor="text1"/>
        </w:rPr>
        <w:t xml:space="preserve"> aristocracy, an aristocracy of merit. </w:t>
      </w:r>
      <w:r w:rsidR="00B331E4" w:rsidRPr="00D47DAA">
        <w:rPr>
          <w:color w:val="000000" w:themeColor="text1"/>
        </w:rPr>
        <w:t xml:space="preserve">In the period between the 1930s New Deal and the 1970s </w:t>
      </w:r>
      <w:proofErr w:type="gramStart"/>
      <w:r w:rsidR="00B331E4" w:rsidRPr="00D47DAA">
        <w:rPr>
          <w:color w:val="000000" w:themeColor="text1"/>
        </w:rPr>
        <w:t>aftermath</w:t>
      </w:r>
      <w:proofErr w:type="gramEnd"/>
      <w:r w:rsidR="00B331E4" w:rsidRPr="00D47DAA">
        <w:rPr>
          <w:color w:val="000000" w:themeColor="text1"/>
        </w:rPr>
        <w:t xml:space="preserve"> of the civil rights movement and the Great Society</w:t>
      </w:r>
      <w:r w:rsidR="00A23B94" w:rsidRPr="00D47DAA">
        <w:rPr>
          <w:color w:val="000000" w:themeColor="text1"/>
        </w:rPr>
        <w:t>,</w:t>
      </w:r>
      <w:r w:rsidR="00B331E4" w:rsidRPr="00D47DAA">
        <w:rPr>
          <w:color w:val="000000" w:themeColor="text1"/>
        </w:rPr>
        <w:t xml:space="preserve"> that aristocracy of merit was modified by solidarity. For the hyper-meritocratic</w:t>
      </w:r>
      <w:r w:rsidR="007911E3" w:rsidRPr="00D47DAA">
        <w:rPr>
          <w:color w:val="000000" w:themeColor="text1"/>
        </w:rPr>
        <w:t xml:space="preserve"> </w:t>
      </w:r>
      <w:r w:rsidRPr="00D47DAA">
        <w:rPr>
          <w:color w:val="000000" w:themeColor="text1"/>
        </w:rPr>
        <w:t>super-managers</w:t>
      </w:r>
      <w:r w:rsidR="00B331E4" w:rsidRPr="00D47DAA">
        <w:rPr>
          <w:color w:val="000000" w:themeColor="text1"/>
        </w:rPr>
        <w:t xml:space="preserve"> of today</w:t>
      </w:r>
      <w:r w:rsidR="007911E3" w:rsidRPr="00D47DAA">
        <w:rPr>
          <w:color w:val="000000" w:themeColor="text1"/>
        </w:rPr>
        <w:t xml:space="preserve">, </w:t>
      </w:r>
      <w:r w:rsidR="00B331E4" w:rsidRPr="00D47DAA">
        <w:rPr>
          <w:color w:val="000000" w:themeColor="text1"/>
        </w:rPr>
        <w:t xml:space="preserve">the modernised aristocrats, </w:t>
      </w:r>
      <w:r w:rsidRPr="00D47DAA">
        <w:rPr>
          <w:color w:val="000000" w:themeColor="text1"/>
        </w:rPr>
        <w:t xml:space="preserve">with </w:t>
      </w:r>
      <w:r w:rsidR="00DF05FE" w:rsidRPr="00D47DAA">
        <w:rPr>
          <w:color w:val="000000" w:themeColor="text1"/>
        </w:rPr>
        <w:t>their</w:t>
      </w:r>
      <w:r w:rsidR="007911E3" w:rsidRPr="00D47DAA">
        <w:rPr>
          <w:color w:val="000000" w:themeColor="text1"/>
        </w:rPr>
        <w:t xml:space="preserve"> Ivy league </w:t>
      </w:r>
      <w:r w:rsidRPr="00D47DAA">
        <w:rPr>
          <w:color w:val="000000" w:themeColor="text1"/>
        </w:rPr>
        <w:t xml:space="preserve">law </w:t>
      </w:r>
      <w:r w:rsidR="00B331E4" w:rsidRPr="00D47DAA">
        <w:rPr>
          <w:color w:val="000000" w:themeColor="text1"/>
        </w:rPr>
        <w:t xml:space="preserve">schools </w:t>
      </w:r>
      <w:r w:rsidRPr="00D47DAA">
        <w:rPr>
          <w:color w:val="000000" w:themeColor="text1"/>
        </w:rPr>
        <w:t>and</w:t>
      </w:r>
      <w:r w:rsidR="007911E3" w:rsidRPr="00D47DAA">
        <w:rPr>
          <w:color w:val="000000" w:themeColor="text1"/>
        </w:rPr>
        <w:t xml:space="preserve"> </w:t>
      </w:r>
      <w:r w:rsidRPr="00D47DAA">
        <w:rPr>
          <w:color w:val="000000" w:themeColor="text1"/>
        </w:rPr>
        <w:t xml:space="preserve">postgraduate </w:t>
      </w:r>
      <w:r w:rsidR="007911E3" w:rsidRPr="00D47DAA">
        <w:rPr>
          <w:color w:val="000000" w:themeColor="text1"/>
        </w:rPr>
        <w:t xml:space="preserve">business degrees, </w:t>
      </w:r>
      <w:r w:rsidR="00B331E4" w:rsidRPr="00D47DAA">
        <w:rPr>
          <w:color w:val="000000" w:themeColor="text1"/>
        </w:rPr>
        <w:t>there is no such thing as solidarity</w:t>
      </w:r>
      <w:r w:rsidR="00A23B94" w:rsidRPr="00D47DAA">
        <w:rPr>
          <w:color w:val="000000" w:themeColor="text1"/>
        </w:rPr>
        <w:t>; and</w:t>
      </w:r>
      <w:r w:rsidR="007911E3" w:rsidRPr="00D47DAA">
        <w:rPr>
          <w:color w:val="000000" w:themeColor="text1"/>
        </w:rPr>
        <w:t xml:space="preserve"> American tax laws </w:t>
      </w:r>
      <w:r w:rsidR="0006106F" w:rsidRPr="00D47DAA">
        <w:rPr>
          <w:color w:val="000000" w:themeColor="text1"/>
        </w:rPr>
        <w:t xml:space="preserve">now </w:t>
      </w:r>
      <w:r w:rsidR="007911E3" w:rsidRPr="00D47DAA">
        <w:rPr>
          <w:color w:val="000000" w:themeColor="text1"/>
        </w:rPr>
        <w:t>permit the transmission of family wealth down the generations</w:t>
      </w:r>
      <w:r w:rsidRPr="00D47DAA">
        <w:rPr>
          <w:color w:val="000000" w:themeColor="text1"/>
        </w:rPr>
        <w:t xml:space="preserve">, suggesting regression to </w:t>
      </w:r>
      <w:r w:rsidR="008A74FA" w:rsidRPr="00D47DAA">
        <w:rPr>
          <w:color w:val="000000" w:themeColor="text1"/>
        </w:rPr>
        <w:t xml:space="preserve">a </w:t>
      </w:r>
      <w:r w:rsidRPr="00D47DAA">
        <w:rPr>
          <w:color w:val="000000" w:themeColor="text1"/>
        </w:rPr>
        <w:t xml:space="preserve">more traditional </w:t>
      </w:r>
      <w:r w:rsidR="00A23B94" w:rsidRPr="00D47DAA">
        <w:rPr>
          <w:color w:val="000000" w:themeColor="text1"/>
        </w:rPr>
        <w:t>power</w:t>
      </w:r>
      <w:r w:rsidRPr="00D47DAA">
        <w:rPr>
          <w:color w:val="000000" w:themeColor="text1"/>
        </w:rPr>
        <w:t xml:space="preserve">. Meanwhile, </w:t>
      </w:r>
      <w:r w:rsidR="007911E3" w:rsidRPr="00D47DAA">
        <w:rPr>
          <w:color w:val="000000" w:themeColor="text1"/>
        </w:rPr>
        <w:t xml:space="preserve">Ivy League </w:t>
      </w:r>
      <w:r w:rsidRPr="00D47DAA">
        <w:rPr>
          <w:color w:val="000000" w:themeColor="text1"/>
        </w:rPr>
        <w:t>colleges</w:t>
      </w:r>
      <w:r w:rsidR="007911E3" w:rsidRPr="00D47DAA">
        <w:rPr>
          <w:color w:val="000000" w:themeColor="text1"/>
        </w:rPr>
        <w:t xml:space="preserve"> </w:t>
      </w:r>
      <w:r w:rsidRPr="00D47DAA">
        <w:rPr>
          <w:color w:val="000000" w:themeColor="text1"/>
        </w:rPr>
        <w:t>legitimate</w:t>
      </w:r>
      <w:r w:rsidR="00545D2F" w:rsidRPr="00D47DAA">
        <w:rPr>
          <w:color w:val="000000" w:themeColor="text1"/>
        </w:rPr>
        <w:t xml:space="preserve"> not only unequal educational outcomes but the underlying social and economic inequalities as well.</w:t>
      </w:r>
      <w:r w:rsidR="003159C2" w:rsidRPr="00D47DAA">
        <w:rPr>
          <w:color w:val="000000" w:themeColor="text1"/>
        </w:rPr>
        <w:t xml:space="preserve"> </w:t>
      </w:r>
    </w:p>
    <w:p w14:paraId="10AD23C0" w14:textId="40EE6206" w:rsidR="007E314D" w:rsidRPr="00D47DAA" w:rsidRDefault="003159C2" w:rsidP="00B331E4">
      <w:pPr>
        <w:ind w:firstLine="454"/>
        <w:rPr>
          <w:color w:val="000000" w:themeColor="text1"/>
        </w:rPr>
      </w:pPr>
      <w:r w:rsidRPr="00D47DAA">
        <w:rPr>
          <w:color w:val="000000" w:themeColor="text1"/>
        </w:rPr>
        <w:t>The University of Cali</w:t>
      </w:r>
      <w:r w:rsidR="00B331E4" w:rsidRPr="00D47DAA">
        <w:rPr>
          <w:color w:val="000000" w:themeColor="text1"/>
        </w:rPr>
        <w:t>fornia does something different</w:t>
      </w:r>
      <w:r w:rsidRPr="00D47DAA">
        <w:rPr>
          <w:color w:val="000000" w:themeColor="text1"/>
        </w:rPr>
        <w:t xml:space="preserve"> but alone it is not enough. </w:t>
      </w:r>
      <w:r w:rsidR="00DC54D5" w:rsidRPr="00D47DAA">
        <w:rPr>
          <w:color w:val="000000" w:themeColor="text1"/>
        </w:rPr>
        <w:t>In any case</w:t>
      </w:r>
      <w:r w:rsidR="00A23B94" w:rsidRPr="00D47DAA">
        <w:rPr>
          <w:color w:val="000000" w:themeColor="text1"/>
        </w:rPr>
        <w:t>,</w:t>
      </w:r>
      <w:r w:rsidR="00B331E4" w:rsidRPr="00D47DAA">
        <w:rPr>
          <w:color w:val="000000" w:themeColor="text1"/>
        </w:rPr>
        <w:t xml:space="preserve"> </w:t>
      </w:r>
      <w:r w:rsidR="00545D2F" w:rsidRPr="00D47DAA">
        <w:rPr>
          <w:color w:val="000000" w:themeColor="text1"/>
        </w:rPr>
        <w:t>i</w:t>
      </w:r>
      <w:r w:rsidR="007E314D" w:rsidRPr="00D47DAA">
        <w:rPr>
          <w:color w:val="000000" w:themeColor="text1"/>
        </w:rPr>
        <w:t xml:space="preserve">t is </w:t>
      </w:r>
      <w:r w:rsidR="006A24F4" w:rsidRPr="00D47DAA">
        <w:rPr>
          <w:color w:val="000000" w:themeColor="text1"/>
        </w:rPr>
        <w:t xml:space="preserve">now clear that it is </w:t>
      </w:r>
      <w:r w:rsidR="007E314D" w:rsidRPr="00D47DAA">
        <w:rPr>
          <w:color w:val="000000" w:themeColor="text1"/>
        </w:rPr>
        <w:t xml:space="preserve">easier to sustain </w:t>
      </w:r>
      <w:r w:rsidR="00DC54D5" w:rsidRPr="00D47DAA">
        <w:rPr>
          <w:color w:val="000000" w:themeColor="text1"/>
        </w:rPr>
        <w:t>agreement</w:t>
      </w:r>
      <w:r w:rsidR="007E314D" w:rsidRPr="00D47DAA">
        <w:rPr>
          <w:color w:val="000000" w:themeColor="text1"/>
        </w:rPr>
        <w:t xml:space="preserve"> about the public good mission of research universities than about universal high quality mass education</w:t>
      </w:r>
      <w:r w:rsidR="00B331E4" w:rsidRPr="00D47DAA">
        <w:rPr>
          <w:color w:val="000000" w:themeColor="text1"/>
        </w:rPr>
        <w:t>. Above all, it was the abandonment of social solidarity in California and elsewhere in the United States that pushed the Master Plan out of reach. The crucial condition</w:t>
      </w:r>
      <w:r w:rsidR="00A948F9" w:rsidRPr="00D47DAA">
        <w:rPr>
          <w:color w:val="000000" w:themeColor="text1"/>
        </w:rPr>
        <w:t xml:space="preserve"> for the realisation of the twin goals of 1960 is a new consensus, based on</w:t>
      </w:r>
      <w:r w:rsidR="007E314D" w:rsidRPr="00D47DAA">
        <w:rPr>
          <w:color w:val="000000" w:themeColor="text1"/>
        </w:rPr>
        <w:t xml:space="preserve"> </w:t>
      </w:r>
      <w:r w:rsidR="00A948F9" w:rsidRPr="00D47DAA">
        <w:rPr>
          <w:color w:val="000000" w:themeColor="text1"/>
        </w:rPr>
        <w:t>long-t</w:t>
      </w:r>
      <w:r w:rsidR="00BA08A6" w:rsidRPr="00D47DAA">
        <w:rPr>
          <w:color w:val="000000" w:themeColor="text1"/>
        </w:rPr>
        <w:t xml:space="preserve">erm </w:t>
      </w:r>
      <w:r w:rsidR="007E314D" w:rsidRPr="00D47DAA">
        <w:rPr>
          <w:color w:val="000000" w:themeColor="text1"/>
        </w:rPr>
        <w:t xml:space="preserve">commitment to the common good. </w:t>
      </w:r>
    </w:p>
    <w:p w14:paraId="44CD2C18" w14:textId="77777777" w:rsidR="003D6098" w:rsidRPr="00D47DAA" w:rsidRDefault="003D6098" w:rsidP="00DF6211">
      <w:pPr>
        <w:rPr>
          <w:color w:val="000000" w:themeColor="text1"/>
        </w:rPr>
      </w:pPr>
    </w:p>
    <w:p w14:paraId="4410908D" w14:textId="77777777" w:rsidR="00C668E3" w:rsidRPr="00D47DAA" w:rsidRDefault="00C668E3" w:rsidP="00DF6211">
      <w:pPr>
        <w:rPr>
          <w:color w:val="000000" w:themeColor="text1"/>
        </w:rPr>
      </w:pPr>
    </w:p>
    <w:p w14:paraId="0F2B70F9" w14:textId="77777777" w:rsidR="00106F46" w:rsidRPr="00D47DAA" w:rsidRDefault="00106F46" w:rsidP="00DF6211">
      <w:pPr>
        <w:rPr>
          <w:b/>
          <w:color w:val="000000" w:themeColor="text1"/>
          <w:sz w:val="28"/>
          <w:szCs w:val="28"/>
        </w:rPr>
      </w:pPr>
      <w:r w:rsidRPr="00D47DAA">
        <w:rPr>
          <w:b/>
          <w:color w:val="000000" w:themeColor="text1"/>
          <w:sz w:val="28"/>
          <w:szCs w:val="28"/>
        </w:rPr>
        <w:t>Acknowledgements</w:t>
      </w:r>
    </w:p>
    <w:p w14:paraId="7661896C" w14:textId="77777777" w:rsidR="00106F46" w:rsidRPr="00D47DAA" w:rsidRDefault="00106F46" w:rsidP="00DF6211">
      <w:pPr>
        <w:rPr>
          <w:color w:val="000000" w:themeColor="text1"/>
        </w:rPr>
      </w:pPr>
    </w:p>
    <w:p w14:paraId="2F42A854" w14:textId="538E05E7" w:rsidR="00BA08A6" w:rsidRPr="00D47DAA" w:rsidRDefault="00EF5C79" w:rsidP="00DF6211">
      <w:pPr>
        <w:rPr>
          <w:color w:val="000000" w:themeColor="text1"/>
        </w:rPr>
      </w:pPr>
      <w:r w:rsidRPr="00D47DAA">
        <w:rPr>
          <w:color w:val="000000" w:themeColor="text1"/>
        </w:rPr>
        <w:t xml:space="preserve">Much of the material used here was drawn from the author’s monograph </w:t>
      </w:r>
      <w:r w:rsidRPr="00D47DAA">
        <w:rPr>
          <w:i/>
          <w:color w:val="000000" w:themeColor="text1"/>
        </w:rPr>
        <w:t>The Dream is Over: The crisis of Clark Kerr’s California idea of higher education</w:t>
      </w:r>
      <w:r w:rsidRPr="00D47DAA">
        <w:rPr>
          <w:color w:val="000000" w:themeColor="text1"/>
        </w:rPr>
        <w:t xml:space="preserve"> (University of California Press, Berkeley, 2016), downloaded free at </w:t>
      </w:r>
      <w:proofErr w:type="gramStart"/>
      <w:r w:rsidRPr="00D47DAA">
        <w:rPr>
          <w:noProof/>
          <w:color w:val="000000" w:themeColor="text1"/>
        </w:rPr>
        <w:t>http://doi.org/10.1525/luminos.17</w:t>
      </w:r>
      <w:r w:rsidRPr="00D47DAA">
        <w:rPr>
          <w:color w:val="000000" w:themeColor="text1"/>
        </w:rPr>
        <w:t xml:space="preserve"> .</w:t>
      </w:r>
      <w:proofErr w:type="gramEnd"/>
      <w:r w:rsidRPr="00D47DAA">
        <w:rPr>
          <w:color w:val="000000" w:themeColor="text1"/>
        </w:rPr>
        <w:t xml:space="preserve"> The research for the monograph was conducted in the preparation of the four 2014 Clark Kerr Lectures on Higher Education at the University of California. The biennial lectures are funded by the University of California and organised by the University of California, Berkeley, </w:t>
      </w:r>
      <w:proofErr w:type="spellStart"/>
      <w:r w:rsidRPr="00D47DAA">
        <w:rPr>
          <w:color w:val="000000" w:themeColor="text1"/>
        </w:rPr>
        <w:t>Center</w:t>
      </w:r>
      <w:proofErr w:type="spellEnd"/>
      <w:r w:rsidRPr="00D47DAA">
        <w:rPr>
          <w:color w:val="000000" w:themeColor="text1"/>
        </w:rPr>
        <w:t xml:space="preserve"> for Studies in Higher Education. The article first took shape in</w:t>
      </w:r>
      <w:r w:rsidR="00106F46" w:rsidRPr="00D47DAA">
        <w:rPr>
          <w:color w:val="000000" w:themeColor="text1"/>
        </w:rPr>
        <w:t xml:space="preserve"> a lecture</w:t>
      </w:r>
      <w:r w:rsidR="00BA08A6" w:rsidRPr="00D47DAA">
        <w:rPr>
          <w:color w:val="000000" w:themeColor="text1"/>
        </w:rPr>
        <w:t xml:space="preserve"> at the Institute of Education, </w:t>
      </w:r>
      <w:r w:rsidRPr="00D47DAA">
        <w:rPr>
          <w:color w:val="000000" w:themeColor="text1"/>
        </w:rPr>
        <w:t>Tsinghua University, Beijing, on</w:t>
      </w:r>
      <w:r w:rsidR="00106F46" w:rsidRPr="00D47DAA">
        <w:rPr>
          <w:color w:val="000000" w:themeColor="text1"/>
        </w:rPr>
        <w:t xml:space="preserve"> 3 November 2016</w:t>
      </w:r>
      <w:r w:rsidR="00BA08A6" w:rsidRPr="00D47DAA">
        <w:rPr>
          <w:color w:val="000000" w:themeColor="text1"/>
        </w:rPr>
        <w:t>, and a seminar at the ESRC/HEFCE Centre for Global Higher Educat</w:t>
      </w:r>
      <w:r w:rsidRPr="00D47DAA">
        <w:rPr>
          <w:color w:val="000000" w:themeColor="text1"/>
        </w:rPr>
        <w:t>ion, UCL Institute of Education on</w:t>
      </w:r>
      <w:r w:rsidR="00BA08A6" w:rsidRPr="00D47DAA">
        <w:rPr>
          <w:color w:val="000000" w:themeColor="text1"/>
        </w:rPr>
        <w:t xml:space="preserve"> 17 November 2016</w:t>
      </w:r>
      <w:r w:rsidR="00106F46" w:rsidRPr="00D47DAA">
        <w:rPr>
          <w:color w:val="000000" w:themeColor="text1"/>
        </w:rPr>
        <w:t xml:space="preserve">. </w:t>
      </w:r>
      <w:r w:rsidR="00F2602D" w:rsidRPr="00D47DAA">
        <w:rPr>
          <w:color w:val="000000" w:themeColor="text1"/>
        </w:rPr>
        <w:t xml:space="preserve">Thank you to Professor </w:t>
      </w:r>
      <w:proofErr w:type="spellStart"/>
      <w:r w:rsidR="00F2602D" w:rsidRPr="00D47DAA">
        <w:rPr>
          <w:color w:val="000000" w:themeColor="text1"/>
        </w:rPr>
        <w:t>Jinghuan</w:t>
      </w:r>
      <w:proofErr w:type="spellEnd"/>
      <w:r w:rsidR="00F2602D" w:rsidRPr="00D47DAA">
        <w:rPr>
          <w:color w:val="000000" w:themeColor="text1"/>
        </w:rPr>
        <w:t xml:space="preserve"> Shi, Dr Wen </w:t>
      </w:r>
      <w:proofErr w:type="spellStart"/>
      <w:r w:rsidR="00F2602D" w:rsidRPr="00D47DAA">
        <w:rPr>
          <w:color w:val="000000" w:themeColor="text1"/>
        </w:rPr>
        <w:t>Wen</w:t>
      </w:r>
      <w:proofErr w:type="spellEnd"/>
      <w:r w:rsidR="00F2602D" w:rsidRPr="00D47DAA">
        <w:rPr>
          <w:color w:val="000000" w:themeColor="text1"/>
        </w:rPr>
        <w:t xml:space="preserve"> and </w:t>
      </w:r>
      <w:r w:rsidR="00EB2493" w:rsidRPr="00D47DAA">
        <w:rPr>
          <w:color w:val="000000" w:themeColor="text1"/>
        </w:rPr>
        <w:t xml:space="preserve">Ms </w:t>
      </w:r>
      <w:r w:rsidR="00F2602D" w:rsidRPr="00D47DAA">
        <w:rPr>
          <w:color w:val="000000" w:themeColor="text1"/>
        </w:rPr>
        <w:t>Lili Yang</w:t>
      </w:r>
      <w:r w:rsidR="00BA08A6" w:rsidRPr="00D47DAA">
        <w:rPr>
          <w:color w:val="000000" w:themeColor="text1"/>
        </w:rPr>
        <w:t xml:space="preserve"> at Tsinghua</w:t>
      </w:r>
      <w:r w:rsidRPr="00D47DAA">
        <w:rPr>
          <w:color w:val="000000" w:themeColor="text1"/>
        </w:rPr>
        <w:t>,</w:t>
      </w:r>
      <w:r w:rsidR="00BA08A6" w:rsidRPr="00D47DAA">
        <w:rPr>
          <w:color w:val="000000" w:themeColor="text1"/>
        </w:rPr>
        <w:t xml:space="preserve"> Professor Claire </w:t>
      </w:r>
      <w:proofErr w:type="spellStart"/>
      <w:r w:rsidR="00BA08A6" w:rsidRPr="00D47DAA">
        <w:rPr>
          <w:color w:val="000000" w:themeColor="text1"/>
        </w:rPr>
        <w:t>Callender</w:t>
      </w:r>
      <w:proofErr w:type="spellEnd"/>
      <w:r w:rsidR="00BA08A6" w:rsidRPr="00D47DAA">
        <w:rPr>
          <w:color w:val="000000" w:themeColor="text1"/>
        </w:rPr>
        <w:t xml:space="preserve"> at the UCL Institute of Education</w:t>
      </w:r>
      <w:r w:rsidRPr="00D47DAA">
        <w:rPr>
          <w:color w:val="000000" w:themeColor="text1"/>
        </w:rPr>
        <w:t xml:space="preserve">, and two anonymous reviewers for </w:t>
      </w:r>
      <w:r w:rsidRPr="00D47DAA">
        <w:rPr>
          <w:i/>
          <w:color w:val="000000" w:themeColor="text1"/>
        </w:rPr>
        <w:t>Higher Education Quarterly</w:t>
      </w:r>
      <w:r w:rsidR="00F2602D" w:rsidRPr="00D47DAA">
        <w:rPr>
          <w:color w:val="000000" w:themeColor="text1"/>
        </w:rPr>
        <w:t xml:space="preserve">. </w:t>
      </w:r>
    </w:p>
    <w:p w14:paraId="270DCD2B" w14:textId="5784C4E9" w:rsidR="0038568D" w:rsidRPr="00D47DAA" w:rsidRDefault="0038568D" w:rsidP="00DF6211">
      <w:pPr>
        <w:rPr>
          <w:color w:val="000000" w:themeColor="text1"/>
        </w:rPr>
      </w:pPr>
      <w:r w:rsidRPr="00D47DAA">
        <w:rPr>
          <w:color w:val="000000" w:themeColor="text1"/>
        </w:rPr>
        <w:br w:type="page"/>
      </w:r>
    </w:p>
    <w:p w14:paraId="1B82F3C4" w14:textId="3647465C" w:rsidR="0038568D" w:rsidRPr="00D47DAA" w:rsidRDefault="0038568D" w:rsidP="00DF6211">
      <w:pPr>
        <w:rPr>
          <w:color w:val="000000" w:themeColor="text1"/>
          <w:sz w:val="22"/>
          <w:szCs w:val="22"/>
        </w:rPr>
      </w:pPr>
      <w:r w:rsidRPr="00D47DAA">
        <w:rPr>
          <w:i/>
          <w:color w:val="000000" w:themeColor="text1"/>
          <w:sz w:val="22"/>
          <w:szCs w:val="22"/>
        </w:rPr>
        <w:lastRenderedPageBreak/>
        <w:t>Table 1</w:t>
      </w:r>
      <w:r w:rsidRPr="00D47DAA">
        <w:rPr>
          <w:color w:val="000000" w:themeColor="text1"/>
          <w:sz w:val="22"/>
          <w:szCs w:val="22"/>
        </w:rPr>
        <w:t xml:space="preserve">.  </w:t>
      </w:r>
      <w:r w:rsidRPr="00D47DAA">
        <w:rPr>
          <w:b/>
          <w:color w:val="000000" w:themeColor="text1"/>
          <w:sz w:val="22"/>
          <w:szCs w:val="22"/>
        </w:rPr>
        <w:t xml:space="preserve">Research output of </w:t>
      </w:r>
      <w:r w:rsidR="00BA08A6" w:rsidRPr="00D47DAA">
        <w:rPr>
          <w:b/>
          <w:color w:val="000000" w:themeColor="text1"/>
          <w:sz w:val="22"/>
          <w:szCs w:val="22"/>
        </w:rPr>
        <w:t xml:space="preserve">the public </w:t>
      </w:r>
      <w:r w:rsidRPr="00D47DAA">
        <w:rPr>
          <w:b/>
          <w:color w:val="000000" w:themeColor="text1"/>
          <w:sz w:val="22"/>
          <w:szCs w:val="22"/>
        </w:rPr>
        <w:t xml:space="preserve">University of California campuses </w:t>
      </w:r>
      <w:r w:rsidR="00BA08A6" w:rsidRPr="00D47DAA">
        <w:rPr>
          <w:b/>
          <w:color w:val="000000" w:themeColor="text1"/>
          <w:sz w:val="22"/>
          <w:szCs w:val="22"/>
        </w:rPr>
        <w:t>and</w:t>
      </w:r>
      <w:r w:rsidRPr="00D47DAA">
        <w:rPr>
          <w:b/>
          <w:color w:val="000000" w:themeColor="text1"/>
          <w:sz w:val="22"/>
          <w:szCs w:val="22"/>
        </w:rPr>
        <w:t xml:space="preserve"> </w:t>
      </w:r>
      <w:r w:rsidR="00BA08A6" w:rsidRPr="00D47DAA">
        <w:rPr>
          <w:b/>
          <w:color w:val="000000" w:themeColor="text1"/>
          <w:sz w:val="22"/>
          <w:szCs w:val="22"/>
        </w:rPr>
        <w:t xml:space="preserve">the three leading private </w:t>
      </w:r>
      <w:r w:rsidR="007941C8" w:rsidRPr="00D47DAA">
        <w:rPr>
          <w:b/>
          <w:color w:val="000000" w:themeColor="text1"/>
          <w:sz w:val="22"/>
          <w:szCs w:val="22"/>
        </w:rPr>
        <w:t xml:space="preserve">research </w:t>
      </w:r>
      <w:r w:rsidR="00BA08A6" w:rsidRPr="00D47DAA">
        <w:rPr>
          <w:b/>
          <w:color w:val="000000" w:themeColor="text1"/>
          <w:sz w:val="22"/>
          <w:szCs w:val="22"/>
        </w:rPr>
        <w:t>universities in California</w:t>
      </w:r>
      <w:r w:rsidR="003C4DD2" w:rsidRPr="00D47DAA">
        <w:rPr>
          <w:b/>
          <w:color w:val="000000" w:themeColor="text1"/>
          <w:sz w:val="22"/>
          <w:szCs w:val="22"/>
        </w:rPr>
        <w:t>, 2012-15</w:t>
      </w:r>
      <w:r w:rsidRPr="00D47DAA">
        <w:rPr>
          <w:b/>
          <w:color w:val="000000" w:themeColor="text1"/>
          <w:sz w:val="22"/>
          <w:szCs w:val="22"/>
        </w:rPr>
        <w:t xml:space="preserve"> compared to 2006-09</w:t>
      </w:r>
    </w:p>
    <w:p w14:paraId="33A39EBF" w14:textId="77777777" w:rsidR="0038568D" w:rsidRPr="00D47DAA" w:rsidRDefault="0038568D" w:rsidP="00DF6211">
      <w:pPr>
        <w:rPr>
          <w:color w:val="000000" w:themeColor="text1"/>
          <w:sz w:val="22"/>
          <w:szCs w:val="22"/>
        </w:rPr>
      </w:pPr>
    </w:p>
    <w:tbl>
      <w:tblPr>
        <w:tblStyle w:val="TableGrid"/>
        <w:tblW w:w="9044" w:type="dxa"/>
        <w:tblLook w:val="04A0" w:firstRow="1" w:lastRow="0" w:firstColumn="1" w:lastColumn="0" w:noHBand="0" w:noVBand="1"/>
      </w:tblPr>
      <w:tblGrid>
        <w:gridCol w:w="1994"/>
        <w:gridCol w:w="1238"/>
        <w:gridCol w:w="1276"/>
        <w:gridCol w:w="1134"/>
        <w:gridCol w:w="1171"/>
        <w:gridCol w:w="1134"/>
        <w:gridCol w:w="1097"/>
      </w:tblGrid>
      <w:tr w:rsidR="00D47DAA" w:rsidRPr="00D47DAA" w14:paraId="0CAE5E14" w14:textId="77777777" w:rsidTr="00B84A28">
        <w:tc>
          <w:tcPr>
            <w:tcW w:w="1994" w:type="dxa"/>
            <w:shd w:val="pct10" w:color="auto" w:fill="auto"/>
          </w:tcPr>
          <w:p w14:paraId="1CA0581F" w14:textId="273756C9" w:rsidR="0038568D" w:rsidRPr="00D47DAA" w:rsidRDefault="0038568D" w:rsidP="00DF6211">
            <w:pPr>
              <w:rPr>
                <w:color w:val="000000" w:themeColor="text1"/>
                <w:sz w:val="18"/>
                <w:szCs w:val="18"/>
              </w:rPr>
            </w:pPr>
            <w:r w:rsidRPr="00D47DAA">
              <w:rPr>
                <w:color w:val="000000" w:themeColor="text1"/>
                <w:sz w:val="18"/>
                <w:szCs w:val="18"/>
              </w:rPr>
              <w:t>University and campus</w:t>
            </w:r>
          </w:p>
        </w:tc>
        <w:tc>
          <w:tcPr>
            <w:tcW w:w="1238" w:type="dxa"/>
          </w:tcPr>
          <w:p w14:paraId="2DFAF819" w14:textId="77777777" w:rsidR="003C4DD2" w:rsidRPr="00D47DAA" w:rsidRDefault="0038568D" w:rsidP="00DF6211">
            <w:pPr>
              <w:rPr>
                <w:color w:val="000000" w:themeColor="text1"/>
                <w:sz w:val="18"/>
                <w:szCs w:val="18"/>
              </w:rPr>
            </w:pPr>
            <w:r w:rsidRPr="00D47DAA">
              <w:rPr>
                <w:color w:val="000000" w:themeColor="text1"/>
                <w:sz w:val="18"/>
                <w:szCs w:val="18"/>
              </w:rPr>
              <w:t xml:space="preserve">All journal papers </w:t>
            </w:r>
          </w:p>
          <w:p w14:paraId="4E6161E5" w14:textId="6B79EFC6" w:rsidR="0038568D" w:rsidRPr="00D47DAA" w:rsidRDefault="0038568D" w:rsidP="003C4DD2">
            <w:pPr>
              <w:rPr>
                <w:color w:val="000000" w:themeColor="text1"/>
                <w:sz w:val="18"/>
                <w:szCs w:val="18"/>
              </w:rPr>
            </w:pPr>
            <w:r w:rsidRPr="00D47DAA">
              <w:rPr>
                <w:color w:val="000000" w:themeColor="text1"/>
                <w:sz w:val="18"/>
                <w:szCs w:val="18"/>
              </w:rPr>
              <w:t>201</w:t>
            </w:r>
            <w:r w:rsidR="003C4DD2" w:rsidRPr="00D47DAA">
              <w:rPr>
                <w:color w:val="000000" w:themeColor="text1"/>
                <w:sz w:val="18"/>
                <w:szCs w:val="18"/>
              </w:rPr>
              <w:t>2</w:t>
            </w:r>
            <w:r w:rsidRPr="00D47DAA">
              <w:rPr>
                <w:color w:val="000000" w:themeColor="text1"/>
                <w:sz w:val="18"/>
                <w:szCs w:val="18"/>
              </w:rPr>
              <w:t>-1</w:t>
            </w:r>
            <w:r w:rsidR="003C4DD2" w:rsidRPr="00D47DAA">
              <w:rPr>
                <w:color w:val="000000" w:themeColor="text1"/>
                <w:sz w:val="18"/>
                <w:szCs w:val="18"/>
              </w:rPr>
              <w:t>5</w:t>
            </w:r>
          </w:p>
        </w:tc>
        <w:tc>
          <w:tcPr>
            <w:tcW w:w="1276" w:type="dxa"/>
          </w:tcPr>
          <w:p w14:paraId="08F576B8" w14:textId="6AE4928D" w:rsidR="0038568D" w:rsidRPr="00D47DAA" w:rsidRDefault="0038568D" w:rsidP="003A3F89">
            <w:pPr>
              <w:rPr>
                <w:color w:val="000000" w:themeColor="text1"/>
                <w:sz w:val="18"/>
                <w:szCs w:val="18"/>
              </w:rPr>
            </w:pPr>
            <w:r w:rsidRPr="00D47DAA">
              <w:rPr>
                <w:color w:val="000000" w:themeColor="text1"/>
                <w:sz w:val="18"/>
                <w:szCs w:val="18"/>
              </w:rPr>
              <w:t xml:space="preserve">Proportion of papers in top 10% by citation rate </w:t>
            </w:r>
            <w:r w:rsidR="003A3F89" w:rsidRPr="00D47DAA">
              <w:rPr>
                <w:color w:val="000000" w:themeColor="text1"/>
                <w:sz w:val="18"/>
                <w:szCs w:val="18"/>
              </w:rPr>
              <w:t>2012-15</w:t>
            </w:r>
          </w:p>
        </w:tc>
        <w:tc>
          <w:tcPr>
            <w:tcW w:w="1134" w:type="dxa"/>
            <w:shd w:val="pct10" w:color="auto" w:fill="auto"/>
          </w:tcPr>
          <w:p w14:paraId="4BD8333B" w14:textId="75AF3524" w:rsidR="0038568D" w:rsidRPr="00D47DAA" w:rsidRDefault="0038568D" w:rsidP="00DF6211">
            <w:pPr>
              <w:rPr>
                <w:color w:val="000000" w:themeColor="text1"/>
                <w:sz w:val="18"/>
                <w:szCs w:val="18"/>
              </w:rPr>
            </w:pPr>
            <w:r w:rsidRPr="00D47DAA">
              <w:rPr>
                <w:color w:val="000000" w:themeColor="text1"/>
                <w:sz w:val="18"/>
                <w:szCs w:val="18"/>
              </w:rPr>
              <w:t xml:space="preserve">Number of papers in top 10% by citation rate </w:t>
            </w:r>
            <w:r w:rsidR="003A3F89" w:rsidRPr="00D47DAA">
              <w:rPr>
                <w:color w:val="000000" w:themeColor="text1"/>
                <w:sz w:val="18"/>
                <w:szCs w:val="18"/>
              </w:rPr>
              <w:t>2012-15</w:t>
            </w:r>
          </w:p>
        </w:tc>
        <w:tc>
          <w:tcPr>
            <w:tcW w:w="1171" w:type="dxa"/>
          </w:tcPr>
          <w:p w14:paraId="403235BA" w14:textId="77B2471C" w:rsidR="0038568D" w:rsidRPr="00D47DAA" w:rsidRDefault="0038568D" w:rsidP="00DF6211">
            <w:pPr>
              <w:rPr>
                <w:color w:val="000000" w:themeColor="text1"/>
                <w:sz w:val="18"/>
                <w:szCs w:val="18"/>
              </w:rPr>
            </w:pPr>
            <w:r w:rsidRPr="00D47DAA">
              <w:rPr>
                <w:color w:val="000000" w:themeColor="text1"/>
                <w:sz w:val="18"/>
                <w:szCs w:val="18"/>
              </w:rPr>
              <w:t xml:space="preserve">World rank in papers in top 10% by citation rate </w:t>
            </w:r>
            <w:r w:rsidR="003A3F89" w:rsidRPr="00D47DAA">
              <w:rPr>
                <w:color w:val="000000" w:themeColor="text1"/>
                <w:sz w:val="18"/>
                <w:szCs w:val="18"/>
              </w:rPr>
              <w:t>2012-15</w:t>
            </w:r>
          </w:p>
        </w:tc>
        <w:tc>
          <w:tcPr>
            <w:tcW w:w="1134" w:type="dxa"/>
          </w:tcPr>
          <w:p w14:paraId="6143EB7F" w14:textId="5B1DD373" w:rsidR="0038568D" w:rsidRPr="00D47DAA" w:rsidRDefault="0038568D" w:rsidP="00DF6211">
            <w:pPr>
              <w:rPr>
                <w:color w:val="000000" w:themeColor="text1"/>
                <w:sz w:val="18"/>
                <w:szCs w:val="18"/>
              </w:rPr>
            </w:pPr>
            <w:r w:rsidRPr="00D47DAA">
              <w:rPr>
                <w:color w:val="000000" w:themeColor="text1"/>
                <w:sz w:val="18"/>
                <w:szCs w:val="18"/>
              </w:rPr>
              <w:t>Number of papers in top 10% by citation rate 2006-09</w:t>
            </w:r>
          </w:p>
        </w:tc>
        <w:tc>
          <w:tcPr>
            <w:tcW w:w="1097" w:type="dxa"/>
          </w:tcPr>
          <w:p w14:paraId="793528C3" w14:textId="0EA14F6B" w:rsidR="0038568D" w:rsidRPr="00D47DAA" w:rsidRDefault="0038568D" w:rsidP="00DF6211">
            <w:pPr>
              <w:rPr>
                <w:color w:val="000000" w:themeColor="text1"/>
                <w:sz w:val="18"/>
                <w:szCs w:val="18"/>
              </w:rPr>
            </w:pPr>
            <w:r w:rsidRPr="00D47DAA">
              <w:rPr>
                <w:color w:val="000000" w:themeColor="text1"/>
                <w:sz w:val="18"/>
                <w:szCs w:val="18"/>
              </w:rPr>
              <w:t xml:space="preserve">Change in papers in top 10% 2006-09 to </w:t>
            </w:r>
            <w:r w:rsidR="003A3F89" w:rsidRPr="00D47DAA">
              <w:rPr>
                <w:color w:val="000000" w:themeColor="text1"/>
                <w:sz w:val="18"/>
                <w:szCs w:val="18"/>
              </w:rPr>
              <w:t>2012-15</w:t>
            </w:r>
          </w:p>
          <w:p w14:paraId="05AE598E" w14:textId="471113A1" w:rsidR="0031795B" w:rsidRPr="00D47DAA" w:rsidRDefault="0031795B" w:rsidP="00DF6211">
            <w:pPr>
              <w:rPr>
                <w:color w:val="000000" w:themeColor="text1"/>
                <w:sz w:val="18"/>
                <w:szCs w:val="18"/>
              </w:rPr>
            </w:pPr>
          </w:p>
        </w:tc>
      </w:tr>
      <w:tr w:rsidR="00D47DAA" w:rsidRPr="00D47DAA" w14:paraId="7AEDC470" w14:textId="77777777" w:rsidTr="00B84A28">
        <w:trPr>
          <w:trHeight w:val="255"/>
        </w:trPr>
        <w:tc>
          <w:tcPr>
            <w:tcW w:w="1994" w:type="dxa"/>
            <w:shd w:val="pct10" w:color="auto" w:fill="auto"/>
          </w:tcPr>
          <w:p w14:paraId="185BCF4E" w14:textId="11091F1C" w:rsidR="0038568D" w:rsidRPr="00D47DAA" w:rsidRDefault="0038568D" w:rsidP="00DF6211">
            <w:pPr>
              <w:rPr>
                <w:color w:val="000000" w:themeColor="text1"/>
                <w:sz w:val="20"/>
                <w:szCs w:val="20"/>
              </w:rPr>
            </w:pPr>
            <w:r w:rsidRPr="00D47DAA">
              <w:rPr>
                <w:color w:val="000000" w:themeColor="text1"/>
                <w:sz w:val="20"/>
                <w:szCs w:val="20"/>
              </w:rPr>
              <w:t>UC Berkeley</w:t>
            </w:r>
          </w:p>
        </w:tc>
        <w:tc>
          <w:tcPr>
            <w:tcW w:w="1238" w:type="dxa"/>
          </w:tcPr>
          <w:p w14:paraId="152C92FE" w14:textId="2B6473E8" w:rsidR="0038568D" w:rsidRPr="00D47DAA" w:rsidRDefault="00E66FA4" w:rsidP="00DF6211">
            <w:pPr>
              <w:jc w:val="center"/>
              <w:rPr>
                <w:color w:val="000000" w:themeColor="text1"/>
                <w:sz w:val="20"/>
                <w:szCs w:val="20"/>
              </w:rPr>
            </w:pPr>
            <w:r w:rsidRPr="00D47DAA">
              <w:rPr>
                <w:color w:val="000000" w:themeColor="text1"/>
                <w:sz w:val="20"/>
                <w:szCs w:val="20"/>
              </w:rPr>
              <w:t>12,116</w:t>
            </w:r>
          </w:p>
        </w:tc>
        <w:tc>
          <w:tcPr>
            <w:tcW w:w="1276" w:type="dxa"/>
          </w:tcPr>
          <w:p w14:paraId="6A0FE1D4" w14:textId="7574B3AC" w:rsidR="0038568D" w:rsidRPr="00D47DAA" w:rsidRDefault="00E66FA4" w:rsidP="00DF6211">
            <w:pPr>
              <w:jc w:val="center"/>
              <w:rPr>
                <w:color w:val="000000" w:themeColor="text1"/>
                <w:sz w:val="20"/>
                <w:szCs w:val="20"/>
              </w:rPr>
            </w:pPr>
            <w:r w:rsidRPr="00D47DAA">
              <w:rPr>
                <w:color w:val="000000" w:themeColor="text1"/>
                <w:sz w:val="20"/>
                <w:szCs w:val="20"/>
              </w:rPr>
              <w:t>21.7</w:t>
            </w:r>
            <w:r w:rsidR="0031795B" w:rsidRPr="00D47DAA">
              <w:rPr>
                <w:color w:val="000000" w:themeColor="text1"/>
                <w:sz w:val="20"/>
                <w:szCs w:val="20"/>
              </w:rPr>
              <w:t>%</w:t>
            </w:r>
          </w:p>
        </w:tc>
        <w:tc>
          <w:tcPr>
            <w:tcW w:w="1134" w:type="dxa"/>
            <w:shd w:val="pct10" w:color="auto" w:fill="auto"/>
          </w:tcPr>
          <w:p w14:paraId="7E576DC2" w14:textId="14100E04" w:rsidR="0038568D" w:rsidRPr="00D47DAA" w:rsidRDefault="00CB717D" w:rsidP="00E66FA4">
            <w:pPr>
              <w:jc w:val="center"/>
              <w:rPr>
                <w:color w:val="000000" w:themeColor="text1"/>
                <w:sz w:val="20"/>
                <w:szCs w:val="20"/>
              </w:rPr>
            </w:pPr>
            <w:r w:rsidRPr="00D47DAA">
              <w:rPr>
                <w:color w:val="000000" w:themeColor="text1"/>
                <w:sz w:val="20"/>
                <w:szCs w:val="20"/>
              </w:rPr>
              <w:t>2</w:t>
            </w:r>
            <w:r w:rsidR="00E66FA4" w:rsidRPr="00D47DAA">
              <w:rPr>
                <w:color w:val="000000" w:themeColor="text1"/>
                <w:sz w:val="20"/>
                <w:szCs w:val="20"/>
              </w:rPr>
              <w:t>628</w:t>
            </w:r>
          </w:p>
        </w:tc>
        <w:tc>
          <w:tcPr>
            <w:tcW w:w="1171" w:type="dxa"/>
          </w:tcPr>
          <w:p w14:paraId="7B1AB351" w14:textId="30EA5B02" w:rsidR="0038568D" w:rsidRPr="00D47DAA" w:rsidRDefault="00CB717D" w:rsidP="00DF6211">
            <w:pPr>
              <w:jc w:val="center"/>
              <w:rPr>
                <w:color w:val="000000" w:themeColor="text1"/>
                <w:sz w:val="20"/>
                <w:szCs w:val="20"/>
              </w:rPr>
            </w:pPr>
            <w:r w:rsidRPr="00D47DAA">
              <w:rPr>
                <w:color w:val="000000" w:themeColor="text1"/>
                <w:sz w:val="20"/>
                <w:szCs w:val="20"/>
              </w:rPr>
              <w:t xml:space="preserve">    </w:t>
            </w:r>
            <w:r w:rsidR="004D61F3" w:rsidRPr="00D47DAA">
              <w:rPr>
                <w:color w:val="000000" w:themeColor="text1"/>
                <w:sz w:val="20"/>
                <w:szCs w:val="20"/>
              </w:rPr>
              <w:t>6</w:t>
            </w:r>
          </w:p>
        </w:tc>
        <w:tc>
          <w:tcPr>
            <w:tcW w:w="1134" w:type="dxa"/>
          </w:tcPr>
          <w:p w14:paraId="4A5E36C4" w14:textId="352BF380" w:rsidR="0038568D" w:rsidRPr="00D47DAA" w:rsidRDefault="00CB717D" w:rsidP="00DF6211">
            <w:pPr>
              <w:jc w:val="center"/>
              <w:rPr>
                <w:color w:val="000000" w:themeColor="text1"/>
                <w:sz w:val="20"/>
                <w:szCs w:val="20"/>
              </w:rPr>
            </w:pPr>
            <w:r w:rsidRPr="00D47DAA">
              <w:rPr>
                <w:color w:val="000000" w:themeColor="text1"/>
                <w:sz w:val="20"/>
                <w:szCs w:val="20"/>
              </w:rPr>
              <w:t>2270</w:t>
            </w:r>
          </w:p>
        </w:tc>
        <w:tc>
          <w:tcPr>
            <w:tcW w:w="1097" w:type="dxa"/>
          </w:tcPr>
          <w:p w14:paraId="1B67DF49" w14:textId="6BBD738A" w:rsidR="00DE0C7E" w:rsidRPr="00D47DAA" w:rsidRDefault="00DE0C7E" w:rsidP="003A3F89">
            <w:pPr>
              <w:jc w:val="center"/>
              <w:rPr>
                <w:color w:val="000000" w:themeColor="text1"/>
                <w:sz w:val="20"/>
                <w:szCs w:val="20"/>
              </w:rPr>
            </w:pPr>
            <w:r w:rsidRPr="00D47DAA">
              <w:rPr>
                <w:color w:val="000000" w:themeColor="text1"/>
                <w:sz w:val="20"/>
                <w:szCs w:val="20"/>
              </w:rPr>
              <w:t xml:space="preserve">+ </w:t>
            </w:r>
            <w:r w:rsidR="003A3F89" w:rsidRPr="00D47DAA">
              <w:rPr>
                <w:color w:val="000000" w:themeColor="text1"/>
                <w:sz w:val="20"/>
                <w:szCs w:val="20"/>
              </w:rPr>
              <w:t>15.8</w:t>
            </w:r>
            <w:r w:rsidRPr="00D47DAA">
              <w:rPr>
                <w:color w:val="000000" w:themeColor="text1"/>
                <w:sz w:val="20"/>
                <w:szCs w:val="20"/>
              </w:rPr>
              <w:t>%</w:t>
            </w:r>
          </w:p>
        </w:tc>
      </w:tr>
      <w:tr w:rsidR="00D47DAA" w:rsidRPr="00D47DAA" w14:paraId="13C07980" w14:textId="77777777" w:rsidTr="00B84A28">
        <w:tc>
          <w:tcPr>
            <w:tcW w:w="1994" w:type="dxa"/>
            <w:shd w:val="pct10" w:color="auto" w:fill="auto"/>
          </w:tcPr>
          <w:p w14:paraId="0E96037D" w14:textId="4ECB0E58" w:rsidR="0038568D" w:rsidRPr="00D47DAA" w:rsidRDefault="0038568D" w:rsidP="00DF6211">
            <w:pPr>
              <w:rPr>
                <w:color w:val="000000" w:themeColor="text1"/>
                <w:sz w:val="20"/>
                <w:szCs w:val="20"/>
              </w:rPr>
            </w:pPr>
            <w:r w:rsidRPr="00D47DAA">
              <w:rPr>
                <w:color w:val="000000" w:themeColor="text1"/>
                <w:sz w:val="20"/>
                <w:szCs w:val="20"/>
              </w:rPr>
              <w:t>UC Los Angeles</w:t>
            </w:r>
          </w:p>
        </w:tc>
        <w:tc>
          <w:tcPr>
            <w:tcW w:w="1238" w:type="dxa"/>
          </w:tcPr>
          <w:p w14:paraId="2C107D32" w14:textId="373AE84D" w:rsidR="0038568D" w:rsidRPr="00D47DAA" w:rsidRDefault="003A3F89" w:rsidP="00DF6211">
            <w:pPr>
              <w:jc w:val="center"/>
              <w:rPr>
                <w:color w:val="000000" w:themeColor="text1"/>
                <w:sz w:val="20"/>
                <w:szCs w:val="20"/>
              </w:rPr>
            </w:pPr>
            <w:r w:rsidRPr="00D47DAA">
              <w:rPr>
                <w:color w:val="000000" w:themeColor="text1"/>
                <w:sz w:val="20"/>
                <w:szCs w:val="20"/>
              </w:rPr>
              <w:t>13,898</w:t>
            </w:r>
          </w:p>
        </w:tc>
        <w:tc>
          <w:tcPr>
            <w:tcW w:w="1276" w:type="dxa"/>
          </w:tcPr>
          <w:p w14:paraId="0F9FB624" w14:textId="0769B4D5" w:rsidR="0038568D" w:rsidRPr="00D47DAA" w:rsidRDefault="0031795B" w:rsidP="00DF6211">
            <w:pPr>
              <w:jc w:val="center"/>
              <w:rPr>
                <w:color w:val="000000" w:themeColor="text1"/>
                <w:sz w:val="20"/>
                <w:szCs w:val="20"/>
              </w:rPr>
            </w:pPr>
            <w:r w:rsidRPr="00D47DAA">
              <w:rPr>
                <w:color w:val="000000" w:themeColor="text1"/>
                <w:sz w:val="20"/>
                <w:szCs w:val="20"/>
              </w:rPr>
              <w:t>17.3%</w:t>
            </w:r>
          </w:p>
        </w:tc>
        <w:tc>
          <w:tcPr>
            <w:tcW w:w="1134" w:type="dxa"/>
            <w:shd w:val="pct10" w:color="auto" w:fill="auto"/>
          </w:tcPr>
          <w:p w14:paraId="7D1B47C9" w14:textId="7910934F" w:rsidR="0038568D" w:rsidRPr="00D47DAA" w:rsidRDefault="006C1257" w:rsidP="00DF6211">
            <w:pPr>
              <w:jc w:val="center"/>
              <w:rPr>
                <w:color w:val="000000" w:themeColor="text1"/>
                <w:sz w:val="20"/>
                <w:szCs w:val="20"/>
              </w:rPr>
            </w:pPr>
            <w:r w:rsidRPr="00D47DAA">
              <w:rPr>
                <w:color w:val="000000" w:themeColor="text1"/>
                <w:sz w:val="20"/>
                <w:szCs w:val="20"/>
              </w:rPr>
              <w:t>2398</w:t>
            </w:r>
          </w:p>
        </w:tc>
        <w:tc>
          <w:tcPr>
            <w:tcW w:w="1171" w:type="dxa"/>
          </w:tcPr>
          <w:p w14:paraId="1A9DD984" w14:textId="193538B3" w:rsidR="0038568D" w:rsidRPr="00D47DAA" w:rsidRDefault="004D61F3" w:rsidP="00DF6211">
            <w:pPr>
              <w:jc w:val="center"/>
              <w:rPr>
                <w:color w:val="000000" w:themeColor="text1"/>
                <w:sz w:val="20"/>
                <w:szCs w:val="20"/>
              </w:rPr>
            </w:pPr>
            <w:r w:rsidRPr="00D47DAA">
              <w:rPr>
                <w:color w:val="000000" w:themeColor="text1"/>
                <w:sz w:val="20"/>
                <w:szCs w:val="20"/>
              </w:rPr>
              <w:t xml:space="preserve">  10</w:t>
            </w:r>
          </w:p>
        </w:tc>
        <w:tc>
          <w:tcPr>
            <w:tcW w:w="1134" w:type="dxa"/>
          </w:tcPr>
          <w:p w14:paraId="34AE5B38" w14:textId="72293AE2" w:rsidR="0038568D" w:rsidRPr="00D47DAA" w:rsidRDefault="00CB717D" w:rsidP="00DF6211">
            <w:pPr>
              <w:jc w:val="center"/>
              <w:rPr>
                <w:color w:val="000000" w:themeColor="text1"/>
                <w:sz w:val="20"/>
                <w:szCs w:val="20"/>
              </w:rPr>
            </w:pPr>
            <w:r w:rsidRPr="00D47DAA">
              <w:rPr>
                <w:color w:val="000000" w:themeColor="text1"/>
                <w:sz w:val="20"/>
                <w:szCs w:val="20"/>
              </w:rPr>
              <w:t>2263</w:t>
            </w:r>
          </w:p>
        </w:tc>
        <w:tc>
          <w:tcPr>
            <w:tcW w:w="1097" w:type="dxa"/>
          </w:tcPr>
          <w:p w14:paraId="1FEE4B03" w14:textId="1BF0A851" w:rsidR="0038568D" w:rsidRPr="00D47DAA" w:rsidRDefault="00DE0C7E" w:rsidP="006C1257">
            <w:pPr>
              <w:jc w:val="center"/>
              <w:rPr>
                <w:color w:val="000000" w:themeColor="text1"/>
                <w:sz w:val="20"/>
                <w:szCs w:val="20"/>
              </w:rPr>
            </w:pPr>
            <w:r w:rsidRPr="00D47DAA">
              <w:rPr>
                <w:color w:val="000000" w:themeColor="text1"/>
                <w:sz w:val="20"/>
                <w:szCs w:val="20"/>
              </w:rPr>
              <w:t xml:space="preserve">+ </w:t>
            </w:r>
            <w:r w:rsidR="00926791" w:rsidRPr="00D47DAA">
              <w:rPr>
                <w:color w:val="000000" w:themeColor="text1"/>
                <w:sz w:val="20"/>
                <w:szCs w:val="20"/>
              </w:rPr>
              <w:t xml:space="preserve"> </w:t>
            </w:r>
            <w:r w:rsidRPr="00D47DAA">
              <w:rPr>
                <w:color w:val="000000" w:themeColor="text1"/>
                <w:sz w:val="20"/>
                <w:szCs w:val="20"/>
              </w:rPr>
              <w:t xml:space="preserve"> </w:t>
            </w:r>
            <w:r w:rsidR="006C1257" w:rsidRPr="00D47DAA">
              <w:rPr>
                <w:color w:val="000000" w:themeColor="text1"/>
                <w:sz w:val="20"/>
                <w:szCs w:val="20"/>
              </w:rPr>
              <w:t>5.9</w:t>
            </w:r>
            <w:r w:rsidRPr="00D47DAA">
              <w:rPr>
                <w:color w:val="000000" w:themeColor="text1"/>
                <w:sz w:val="20"/>
                <w:szCs w:val="20"/>
              </w:rPr>
              <w:t>%</w:t>
            </w:r>
          </w:p>
        </w:tc>
      </w:tr>
      <w:tr w:rsidR="00D47DAA" w:rsidRPr="00D47DAA" w14:paraId="61F9130A" w14:textId="77777777" w:rsidTr="00B84A28">
        <w:tc>
          <w:tcPr>
            <w:tcW w:w="1994" w:type="dxa"/>
            <w:shd w:val="pct10" w:color="auto" w:fill="auto"/>
          </w:tcPr>
          <w:p w14:paraId="5A01DAF2" w14:textId="34769036" w:rsidR="0038568D" w:rsidRPr="00D47DAA" w:rsidRDefault="00622F42" w:rsidP="00DF6211">
            <w:pPr>
              <w:rPr>
                <w:color w:val="000000" w:themeColor="text1"/>
                <w:sz w:val="20"/>
                <w:szCs w:val="20"/>
              </w:rPr>
            </w:pPr>
            <w:r w:rsidRPr="00D47DAA">
              <w:rPr>
                <w:color w:val="000000" w:themeColor="text1"/>
                <w:sz w:val="20"/>
                <w:szCs w:val="20"/>
              </w:rPr>
              <w:t>UC San Diego</w:t>
            </w:r>
          </w:p>
        </w:tc>
        <w:tc>
          <w:tcPr>
            <w:tcW w:w="1238" w:type="dxa"/>
          </w:tcPr>
          <w:p w14:paraId="14395FA4" w14:textId="1B0886A6" w:rsidR="0038568D" w:rsidRPr="00D47DAA" w:rsidRDefault="006C1257" w:rsidP="00DF6211">
            <w:pPr>
              <w:jc w:val="center"/>
              <w:rPr>
                <w:color w:val="000000" w:themeColor="text1"/>
                <w:sz w:val="20"/>
                <w:szCs w:val="20"/>
              </w:rPr>
            </w:pPr>
            <w:r w:rsidRPr="00D47DAA">
              <w:rPr>
                <w:color w:val="000000" w:themeColor="text1"/>
                <w:sz w:val="20"/>
                <w:szCs w:val="20"/>
              </w:rPr>
              <w:t>12,092</w:t>
            </w:r>
          </w:p>
        </w:tc>
        <w:tc>
          <w:tcPr>
            <w:tcW w:w="1276" w:type="dxa"/>
          </w:tcPr>
          <w:p w14:paraId="7816D55D" w14:textId="0A3CA797" w:rsidR="0038568D" w:rsidRPr="00D47DAA" w:rsidRDefault="006C1257" w:rsidP="00DF6211">
            <w:pPr>
              <w:jc w:val="center"/>
              <w:rPr>
                <w:color w:val="000000" w:themeColor="text1"/>
                <w:sz w:val="20"/>
                <w:szCs w:val="20"/>
              </w:rPr>
            </w:pPr>
            <w:r w:rsidRPr="00D47DAA">
              <w:rPr>
                <w:color w:val="000000" w:themeColor="text1"/>
                <w:sz w:val="20"/>
                <w:szCs w:val="20"/>
              </w:rPr>
              <w:t>18.3</w:t>
            </w:r>
            <w:r w:rsidR="0031795B" w:rsidRPr="00D47DAA">
              <w:rPr>
                <w:color w:val="000000" w:themeColor="text1"/>
                <w:sz w:val="20"/>
                <w:szCs w:val="20"/>
              </w:rPr>
              <w:t>%</w:t>
            </w:r>
          </w:p>
        </w:tc>
        <w:tc>
          <w:tcPr>
            <w:tcW w:w="1134" w:type="dxa"/>
            <w:shd w:val="pct10" w:color="auto" w:fill="auto"/>
          </w:tcPr>
          <w:p w14:paraId="1F04593B" w14:textId="207C241A" w:rsidR="0038568D" w:rsidRPr="00D47DAA" w:rsidRDefault="006C1257" w:rsidP="00DF6211">
            <w:pPr>
              <w:jc w:val="center"/>
              <w:rPr>
                <w:color w:val="000000" w:themeColor="text1"/>
                <w:sz w:val="20"/>
                <w:szCs w:val="20"/>
              </w:rPr>
            </w:pPr>
            <w:r w:rsidRPr="00D47DAA">
              <w:rPr>
                <w:color w:val="000000" w:themeColor="text1"/>
                <w:sz w:val="20"/>
                <w:szCs w:val="20"/>
              </w:rPr>
              <w:t>2217</w:t>
            </w:r>
          </w:p>
        </w:tc>
        <w:tc>
          <w:tcPr>
            <w:tcW w:w="1171" w:type="dxa"/>
          </w:tcPr>
          <w:p w14:paraId="04DFFD6F" w14:textId="32B79597" w:rsidR="0038568D" w:rsidRPr="00D47DAA" w:rsidRDefault="00CB717D" w:rsidP="00DF6211">
            <w:pPr>
              <w:jc w:val="center"/>
              <w:rPr>
                <w:color w:val="000000" w:themeColor="text1"/>
                <w:sz w:val="20"/>
                <w:szCs w:val="20"/>
              </w:rPr>
            </w:pPr>
            <w:r w:rsidRPr="00D47DAA">
              <w:rPr>
                <w:color w:val="000000" w:themeColor="text1"/>
                <w:sz w:val="20"/>
                <w:szCs w:val="20"/>
              </w:rPr>
              <w:t xml:space="preserve">  1</w:t>
            </w:r>
            <w:r w:rsidR="004D61F3" w:rsidRPr="00D47DAA">
              <w:rPr>
                <w:color w:val="000000" w:themeColor="text1"/>
                <w:sz w:val="20"/>
                <w:szCs w:val="20"/>
              </w:rPr>
              <w:t>4</w:t>
            </w:r>
          </w:p>
        </w:tc>
        <w:tc>
          <w:tcPr>
            <w:tcW w:w="1134" w:type="dxa"/>
          </w:tcPr>
          <w:p w14:paraId="200A4C5D" w14:textId="32C4D196" w:rsidR="0038568D" w:rsidRPr="00D47DAA" w:rsidRDefault="00CB717D" w:rsidP="00DF6211">
            <w:pPr>
              <w:jc w:val="center"/>
              <w:rPr>
                <w:color w:val="000000" w:themeColor="text1"/>
                <w:sz w:val="20"/>
                <w:szCs w:val="20"/>
              </w:rPr>
            </w:pPr>
            <w:r w:rsidRPr="00D47DAA">
              <w:rPr>
                <w:color w:val="000000" w:themeColor="text1"/>
                <w:sz w:val="20"/>
                <w:szCs w:val="20"/>
              </w:rPr>
              <w:t>1813</w:t>
            </w:r>
          </w:p>
        </w:tc>
        <w:tc>
          <w:tcPr>
            <w:tcW w:w="1097" w:type="dxa"/>
          </w:tcPr>
          <w:p w14:paraId="462058BD" w14:textId="6F853558" w:rsidR="0038568D" w:rsidRPr="00D47DAA" w:rsidRDefault="00DE0C7E" w:rsidP="006C1257">
            <w:pPr>
              <w:jc w:val="center"/>
              <w:rPr>
                <w:color w:val="000000" w:themeColor="text1"/>
                <w:sz w:val="20"/>
                <w:szCs w:val="20"/>
              </w:rPr>
            </w:pPr>
            <w:r w:rsidRPr="00D47DAA">
              <w:rPr>
                <w:color w:val="000000" w:themeColor="text1"/>
                <w:sz w:val="20"/>
                <w:szCs w:val="20"/>
              </w:rPr>
              <w:t>+</w:t>
            </w:r>
            <w:r w:rsidR="00926791" w:rsidRPr="00D47DAA">
              <w:rPr>
                <w:color w:val="000000" w:themeColor="text1"/>
                <w:sz w:val="20"/>
                <w:szCs w:val="20"/>
              </w:rPr>
              <w:t xml:space="preserve"> </w:t>
            </w:r>
            <w:r w:rsidR="006C1257" w:rsidRPr="00D47DAA">
              <w:rPr>
                <w:color w:val="000000" w:themeColor="text1"/>
                <w:sz w:val="20"/>
                <w:szCs w:val="20"/>
              </w:rPr>
              <w:t>22</w:t>
            </w:r>
            <w:r w:rsidRPr="00D47DAA">
              <w:rPr>
                <w:color w:val="000000" w:themeColor="text1"/>
                <w:sz w:val="20"/>
                <w:szCs w:val="20"/>
              </w:rPr>
              <w:t>.3%</w:t>
            </w:r>
          </w:p>
        </w:tc>
      </w:tr>
      <w:tr w:rsidR="00D47DAA" w:rsidRPr="00D47DAA" w14:paraId="4D17F22D" w14:textId="77777777" w:rsidTr="00B84A28">
        <w:tc>
          <w:tcPr>
            <w:tcW w:w="1994" w:type="dxa"/>
            <w:shd w:val="pct10" w:color="auto" w:fill="auto"/>
          </w:tcPr>
          <w:p w14:paraId="2B5C524E" w14:textId="43873DEF" w:rsidR="0038568D" w:rsidRPr="00D47DAA" w:rsidRDefault="00622F42" w:rsidP="00DF6211">
            <w:pPr>
              <w:rPr>
                <w:color w:val="000000" w:themeColor="text1"/>
                <w:sz w:val="20"/>
                <w:szCs w:val="20"/>
              </w:rPr>
            </w:pPr>
            <w:r w:rsidRPr="00D47DAA">
              <w:rPr>
                <w:color w:val="000000" w:themeColor="text1"/>
                <w:sz w:val="20"/>
                <w:szCs w:val="20"/>
              </w:rPr>
              <w:t>UC San Francisco</w:t>
            </w:r>
          </w:p>
        </w:tc>
        <w:tc>
          <w:tcPr>
            <w:tcW w:w="1238" w:type="dxa"/>
          </w:tcPr>
          <w:p w14:paraId="0FCE54DA" w14:textId="7516F152" w:rsidR="0038568D" w:rsidRPr="00D47DAA" w:rsidRDefault="004B4A5F" w:rsidP="00DF6211">
            <w:pPr>
              <w:jc w:val="center"/>
              <w:rPr>
                <w:color w:val="000000" w:themeColor="text1"/>
                <w:sz w:val="20"/>
                <w:szCs w:val="20"/>
              </w:rPr>
            </w:pPr>
            <w:r w:rsidRPr="00D47DAA">
              <w:rPr>
                <w:color w:val="000000" w:themeColor="text1"/>
                <w:sz w:val="20"/>
                <w:szCs w:val="20"/>
              </w:rPr>
              <w:t xml:space="preserve">   9989</w:t>
            </w:r>
          </w:p>
        </w:tc>
        <w:tc>
          <w:tcPr>
            <w:tcW w:w="1276" w:type="dxa"/>
          </w:tcPr>
          <w:p w14:paraId="7999F2DA" w14:textId="5F629FE3" w:rsidR="0038568D" w:rsidRPr="00D47DAA" w:rsidRDefault="004B4A5F" w:rsidP="00DF6211">
            <w:pPr>
              <w:jc w:val="center"/>
              <w:rPr>
                <w:color w:val="000000" w:themeColor="text1"/>
                <w:sz w:val="20"/>
                <w:szCs w:val="20"/>
              </w:rPr>
            </w:pPr>
            <w:r w:rsidRPr="00D47DAA">
              <w:rPr>
                <w:color w:val="000000" w:themeColor="text1"/>
                <w:sz w:val="20"/>
                <w:szCs w:val="20"/>
              </w:rPr>
              <w:t>19.7</w:t>
            </w:r>
            <w:r w:rsidR="00DA7B69" w:rsidRPr="00D47DAA">
              <w:rPr>
                <w:color w:val="000000" w:themeColor="text1"/>
                <w:sz w:val="20"/>
                <w:szCs w:val="20"/>
              </w:rPr>
              <w:t>%</w:t>
            </w:r>
          </w:p>
        </w:tc>
        <w:tc>
          <w:tcPr>
            <w:tcW w:w="1134" w:type="dxa"/>
            <w:shd w:val="pct10" w:color="auto" w:fill="auto"/>
          </w:tcPr>
          <w:p w14:paraId="22069639" w14:textId="47E47C7A" w:rsidR="0038568D" w:rsidRPr="00D47DAA" w:rsidRDefault="00CB717D" w:rsidP="004B4A5F">
            <w:pPr>
              <w:jc w:val="center"/>
              <w:rPr>
                <w:color w:val="000000" w:themeColor="text1"/>
                <w:sz w:val="20"/>
                <w:szCs w:val="20"/>
              </w:rPr>
            </w:pPr>
            <w:r w:rsidRPr="00D47DAA">
              <w:rPr>
                <w:color w:val="000000" w:themeColor="text1"/>
                <w:sz w:val="20"/>
                <w:szCs w:val="20"/>
              </w:rPr>
              <w:t>19</w:t>
            </w:r>
            <w:r w:rsidR="004B4A5F" w:rsidRPr="00D47DAA">
              <w:rPr>
                <w:color w:val="000000" w:themeColor="text1"/>
                <w:sz w:val="20"/>
                <w:szCs w:val="20"/>
              </w:rPr>
              <w:t>67</w:t>
            </w:r>
          </w:p>
        </w:tc>
        <w:tc>
          <w:tcPr>
            <w:tcW w:w="1171" w:type="dxa"/>
          </w:tcPr>
          <w:p w14:paraId="71BDDA73" w14:textId="08FC8183" w:rsidR="0038568D" w:rsidRPr="00D47DAA" w:rsidRDefault="00CB717D" w:rsidP="00DF6211">
            <w:pPr>
              <w:jc w:val="center"/>
              <w:rPr>
                <w:color w:val="000000" w:themeColor="text1"/>
                <w:sz w:val="20"/>
                <w:szCs w:val="20"/>
              </w:rPr>
            </w:pPr>
            <w:r w:rsidRPr="00D47DAA">
              <w:rPr>
                <w:color w:val="000000" w:themeColor="text1"/>
                <w:sz w:val="20"/>
                <w:szCs w:val="20"/>
              </w:rPr>
              <w:t xml:space="preserve">  17</w:t>
            </w:r>
          </w:p>
        </w:tc>
        <w:tc>
          <w:tcPr>
            <w:tcW w:w="1134" w:type="dxa"/>
          </w:tcPr>
          <w:p w14:paraId="1B727480" w14:textId="43A9271B" w:rsidR="0038568D" w:rsidRPr="00D47DAA" w:rsidRDefault="00CB717D" w:rsidP="00DF6211">
            <w:pPr>
              <w:jc w:val="center"/>
              <w:rPr>
                <w:color w:val="000000" w:themeColor="text1"/>
                <w:sz w:val="20"/>
                <w:szCs w:val="20"/>
              </w:rPr>
            </w:pPr>
            <w:r w:rsidRPr="00D47DAA">
              <w:rPr>
                <w:color w:val="000000" w:themeColor="text1"/>
                <w:sz w:val="20"/>
                <w:szCs w:val="20"/>
              </w:rPr>
              <w:t>1747</w:t>
            </w:r>
          </w:p>
        </w:tc>
        <w:tc>
          <w:tcPr>
            <w:tcW w:w="1097" w:type="dxa"/>
          </w:tcPr>
          <w:p w14:paraId="10EC1CC2" w14:textId="3C22F843" w:rsidR="0038568D" w:rsidRPr="00D47DAA" w:rsidRDefault="00DE0C7E" w:rsidP="004B4A5F">
            <w:pPr>
              <w:jc w:val="center"/>
              <w:rPr>
                <w:color w:val="000000" w:themeColor="text1"/>
                <w:sz w:val="20"/>
                <w:szCs w:val="20"/>
              </w:rPr>
            </w:pPr>
            <w:r w:rsidRPr="00D47DAA">
              <w:rPr>
                <w:color w:val="000000" w:themeColor="text1"/>
                <w:sz w:val="20"/>
                <w:szCs w:val="20"/>
              </w:rPr>
              <w:t>+</w:t>
            </w:r>
            <w:r w:rsidR="00926791" w:rsidRPr="00D47DAA">
              <w:rPr>
                <w:color w:val="000000" w:themeColor="text1"/>
                <w:sz w:val="20"/>
                <w:szCs w:val="20"/>
              </w:rPr>
              <w:t xml:space="preserve"> </w:t>
            </w:r>
            <w:r w:rsidR="004B4A5F" w:rsidRPr="00D47DAA">
              <w:rPr>
                <w:color w:val="000000" w:themeColor="text1"/>
                <w:sz w:val="20"/>
                <w:szCs w:val="20"/>
              </w:rPr>
              <w:t>12.6</w:t>
            </w:r>
            <w:r w:rsidRPr="00D47DAA">
              <w:rPr>
                <w:color w:val="000000" w:themeColor="text1"/>
                <w:sz w:val="20"/>
                <w:szCs w:val="20"/>
              </w:rPr>
              <w:t>%</w:t>
            </w:r>
          </w:p>
        </w:tc>
      </w:tr>
      <w:tr w:rsidR="00D47DAA" w:rsidRPr="00D47DAA" w14:paraId="17C320AE" w14:textId="77777777" w:rsidTr="00B84A28">
        <w:tc>
          <w:tcPr>
            <w:tcW w:w="1994" w:type="dxa"/>
            <w:shd w:val="pct10" w:color="auto" w:fill="auto"/>
          </w:tcPr>
          <w:p w14:paraId="2AB28EED" w14:textId="365FDD41" w:rsidR="0038568D" w:rsidRPr="00D47DAA" w:rsidRDefault="00622F42" w:rsidP="00DF6211">
            <w:pPr>
              <w:rPr>
                <w:color w:val="000000" w:themeColor="text1"/>
                <w:sz w:val="20"/>
                <w:szCs w:val="20"/>
              </w:rPr>
            </w:pPr>
            <w:r w:rsidRPr="00D47DAA">
              <w:rPr>
                <w:color w:val="000000" w:themeColor="text1"/>
                <w:sz w:val="20"/>
                <w:szCs w:val="20"/>
              </w:rPr>
              <w:t>UC Davis</w:t>
            </w:r>
          </w:p>
        </w:tc>
        <w:tc>
          <w:tcPr>
            <w:tcW w:w="1238" w:type="dxa"/>
          </w:tcPr>
          <w:p w14:paraId="1F21E720" w14:textId="697E5A3C" w:rsidR="0038568D" w:rsidRPr="00D47DAA" w:rsidRDefault="004B4A5F" w:rsidP="00DF6211">
            <w:pPr>
              <w:jc w:val="center"/>
              <w:rPr>
                <w:color w:val="000000" w:themeColor="text1"/>
                <w:sz w:val="20"/>
                <w:szCs w:val="20"/>
              </w:rPr>
            </w:pPr>
            <w:r w:rsidRPr="00D47DAA">
              <w:rPr>
                <w:color w:val="000000" w:themeColor="text1"/>
                <w:sz w:val="20"/>
                <w:szCs w:val="20"/>
              </w:rPr>
              <w:t>10,871</w:t>
            </w:r>
          </w:p>
        </w:tc>
        <w:tc>
          <w:tcPr>
            <w:tcW w:w="1276" w:type="dxa"/>
          </w:tcPr>
          <w:p w14:paraId="72AC85F9" w14:textId="114070BA" w:rsidR="0038568D" w:rsidRPr="00D47DAA" w:rsidRDefault="00CB717D" w:rsidP="00DF6211">
            <w:pPr>
              <w:jc w:val="center"/>
              <w:rPr>
                <w:color w:val="000000" w:themeColor="text1"/>
                <w:sz w:val="20"/>
                <w:szCs w:val="20"/>
              </w:rPr>
            </w:pPr>
            <w:r w:rsidRPr="00D47DAA">
              <w:rPr>
                <w:color w:val="000000" w:themeColor="text1"/>
                <w:sz w:val="20"/>
                <w:szCs w:val="20"/>
              </w:rPr>
              <w:t>13.7%</w:t>
            </w:r>
          </w:p>
        </w:tc>
        <w:tc>
          <w:tcPr>
            <w:tcW w:w="1134" w:type="dxa"/>
            <w:shd w:val="pct10" w:color="auto" w:fill="auto"/>
          </w:tcPr>
          <w:p w14:paraId="5F9C8902" w14:textId="73E9D545" w:rsidR="0038568D" w:rsidRPr="00D47DAA" w:rsidRDefault="004B4A5F" w:rsidP="00DF6211">
            <w:pPr>
              <w:jc w:val="center"/>
              <w:rPr>
                <w:color w:val="000000" w:themeColor="text1"/>
                <w:sz w:val="20"/>
                <w:szCs w:val="20"/>
              </w:rPr>
            </w:pPr>
            <w:r w:rsidRPr="00D47DAA">
              <w:rPr>
                <w:color w:val="000000" w:themeColor="text1"/>
                <w:sz w:val="20"/>
                <w:szCs w:val="20"/>
              </w:rPr>
              <w:t>1493</w:t>
            </w:r>
          </w:p>
        </w:tc>
        <w:tc>
          <w:tcPr>
            <w:tcW w:w="1171" w:type="dxa"/>
          </w:tcPr>
          <w:p w14:paraId="1340ECC4" w14:textId="06C0F930" w:rsidR="0038568D" w:rsidRPr="00D47DAA" w:rsidRDefault="00CB717D" w:rsidP="00DF6211">
            <w:pPr>
              <w:jc w:val="center"/>
              <w:rPr>
                <w:color w:val="000000" w:themeColor="text1"/>
                <w:sz w:val="20"/>
                <w:szCs w:val="20"/>
              </w:rPr>
            </w:pPr>
            <w:r w:rsidRPr="00D47DAA">
              <w:rPr>
                <w:color w:val="000000" w:themeColor="text1"/>
                <w:sz w:val="20"/>
                <w:szCs w:val="20"/>
              </w:rPr>
              <w:t xml:space="preserve">  </w:t>
            </w:r>
            <w:r w:rsidR="004D61F3" w:rsidRPr="00D47DAA">
              <w:rPr>
                <w:color w:val="000000" w:themeColor="text1"/>
                <w:sz w:val="20"/>
                <w:szCs w:val="20"/>
              </w:rPr>
              <w:t>32</w:t>
            </w:r>
          </w:p>
        </w:tc>
        <w:tc>
          <w:tcPr>
            <w:tcW w:w="1134" w:type="dxa"/>
          </w:tcPr>
          <w:p w14:paraId="3CC7E947" w14:textId="4B4E18D0" w:rsidR="0038568D" w:rsidRPr="00D47DAA" w:rsidRDefault="00CB717D" w:rsidP="00DF6211">
            <w:pPr>
              <w:jc w:val="center"/>
              <w:rPr>
                <w:color w:val="000000" w:themeColor="text1"/>
                <w:sz w:val="20"/>
                <w:szCs w:val="20"/>
              </w:rPr>
            </w:pPr>
            <w:r w:rsidRPr="00D47DAA">
              <w:rPr>
                <w:color w:val="000000" w:themeColor="text1"/>
                <w:sz w:val="20"/>
                <w:szCs w:val="20"/>
              </w:rPr>
              <w:t>1322</w:t>
            </w:r>
          </w:p>
        </w:tc>
        <w:tc>
          <w:tcPr>
            <w:tcW w:w="1097" w:type="dxa"/>
          </w:tcPr>
          <w:p w14:paraId="5C4D2CF8" w14:textId="7877AAD8" w:rsidR="0038568D" w:rsidRPr="00D47DAA" w:rsidRDefault="001400A2" w:rsidP="00DF6211">
            <w:pPr>
              <w:jc w:val="center"/>
              <w:rPr>
                <w:color w:val="000000" w:themeColor="text1"/>
                <w:sz w:val="20"/>
                <w:szCs w:val="20"/>
              </w:rPr>
            </w:pPr>
            <w:r w:rsidRPr="00D47DAA">
              <w:rPr>
                <w:color w:val="000000" w:themeColor="text1"/>
                <w:sz w:val="20"/>
                <w:szCs w:val="20"/>
              </w:rPr>
              <w:t>+</w:t>
            </w:r>
            <w:r w:rsidR="00B42E97" w:rsidRPr="00D47DAA">
              <w:rPr>
                <w:color w:val="000000" w:themeColor="text1"/>
                <w:sz w:val="20"/>
                <w:szCs w:val="20"/>
              </w:rPr>
              <w:t xml:space="preserve"> </w:t>
            </w:r>
            <w:r w:rsidR="004B4A5F" w:rsidRPr="00D47DAA">
              <w:rPr>
                <w:color w:val="000000" w:themeColor="text1"/>
                <w:sz w:val="20"/>
                <w:szCs w:val="20"/>
              </w:rPr>
              <w:t>12</w:t>
            </w:r>
            <w:r w:rsidRPr="00D47DAA">
              <w:rPr>
                <w:color w:val="000000" w:themeColor="text1"/>
                <w:sz w:val="20"/>
                <w:szCs w:val="20"/>
              </w:rPr>
              <w:t>.9%</w:t>
            </w:r>
          </w:p>
        </w:tc>
      </w:tr>
      <w:tr w:rsidR="00D47DAA" w:rsidRPr="00D47DAA" w14:paraId="694AA775" w14:textId="77777777" w:rsidTr="00B84A28">
        <w:tc>
          <w:tcPr>
            <w:tcW w:w="1994" w:type="dxa"/>
            <w:shd w:val="pct10" w:color="auto" w:fill="auto"/>
          </w:tcPr>
          <w:p w14:paraId="33C96CFB" w14:textId="16B7E1E1" w:rsidR="0038568D" w:rsidRPr="00D47DAA" w:rsidRDefault="00622F42" w:rsidP="00DF6211">
            <w:pPr>
              <w:rPr>
                <w:color w:val="000000" w:themeColor="text1"/>
                <w:sz w:val="20"/>
                <w:szCs w:val="20"/>
              </w:rPr>
            </w:pPr>
            <w:r w:rsidRPr="00D47DAA">
              <w:rPr>
                <w:color w:val="000000" w:themeColor="text1"/>
                <w:sz w:val="20"/>
                <w:szCs w:val="20"/>
              </w:rPr>
              <w:t>UC Irvine</w:t>
            </w:r>
          </w:p>
        </w:tc>
        <w:tc>
          <w:tcPr>
            <w:tcW w:w="1238" w:type="dxa"/>
          </w:tcPr>
          <w:p w14:paraId="5166B4BF" w14:textId="78E4510F" w:rsidR="0038568D" w:rsidRPr="00D47DAA" w:rsidRDefault="0031795B" w:rsidP="004B4A5F">
            <w:pPr>
              <w:jc w:val="center"/>
              <w:rPr>
                <w:color w:val="000000" w:themeColor="text1"/>
                <w:sz w:val="20"/>
                <w:szCs w:val="20"/>
              </w:rPr>
            </w:pPr>
            <w:r w:rsidRPr="00D47DAA">
              <w:rPr>
                <w:color w:val="000000" w:themeColor="text1"/>
                <w:sz w:val="20"/>
                <w:szCs w:val="20"/>
              </w:rPr>
              <w:t xml:space="preserve">   </w:t>
            </w:r>
            <w:r w:rsidR="004B4A5F" w:rsidRPr="00D47DAA">
              <w:rPr>
                <w:color w:val="000000" w:themeColor="text1"/>
                <w:sz w:val="20"/>
                <w:szCs w:val="20"/>
              </w:rPr>
              <w:t>6264</w:t>
            </w:r>
          </w:p>
        </w:tc>
        <w:tc>
          <w:tcPr>
            <w:tcW w:w="1276" w:type="dxa"/>
          </w:tcPr>
          <w:p w14:paraId="6C30DBE0" w14:textId="1BEC8212" w:rsidR="0038568D" w:rsidRPr="00D47DAA" w:rsidRDefault="004B4A5F" w:rsidP="00DF6211">
            <w:pPr>
              <w:jc w:val="center"/>
              <w:rPr>
                <w:color w:val="000000" w:themeColor="text1"/>
                <w:sz w:val="20"/>
                <w:szCs w:val="20"/>
              </w:rPr>
            </w:pPr>
            <w:r w:rsidRPr="00D47DAA">
              <w:rPr>
                <w:color w:val="000000" w:themeColor="text1"/>
                <w:sz w:val="20"/>
                <w:szCs w:val="20"/>
              </w:rPr>
              <w:t>15.1</w:t>
            </w:r>
            <w:r w:rsidR="00CB717D" w:rsidRPr="00D47DAA">
              <w:rPr>
                <w:color w:val="000000" w:themeColor="text1"/>
                <w:sz w:val="20"/>
                <w:szCs w:val="20"/>
              </w:rPr>
              <w:t>%</w:t>
            </w:r>
          </w:p>
        </w:tc>
        <w:tc>
          <w:tcPr>
            <w:tcW w:w="1134" w:type="dxa"/>
            <w:shd w:val="pct10" w:color="auto" w:fill="auto"/>
          </w:tcPr>
          <w:p w14:paraId="29700E12" w14:textId="4316015A" w:rsidR="0038568D" w:rsidRPr="00D47DAA" w:rsidRDefault="00CB717D" w:rsidP="004B4A5F">
            <w:pPr>
              <w:jc w:val="center"/>
              <w:rPr>
                <w:color w:val="000000" w:themeColor="text1"/>
                <w:sz w:val="20"/>
                <w:szCs w:val="20"/>
              </w:rPr>
            </w:pPr>
            <w:r w:rsidRPr="00D47DAA">
              <w:rPr>
                <w:color w:val="000000" w:themeColor="text1"/>
                <w:sz w:val="20"/>
                <w:szCs w:val="20"/>
              </w:rPr>
              <w:t xml:space="preserve">  </w:t>
            </w:r>
            <w:r w:rsidR="004B4A5F" w:rsidRPr="00D47DAA">
              <w:rPr>
                <w:color w:val="000000" w:themeColor="text1"/>
                <w:sz w:val="20"/>
                <w:szCs w:val="20"/>
              </w:rPr>
              <w:t>944</w:t>
            </w:r>
          </w:p>
        </w:tc>
        <w:tc>
          <w:tcPr>
            <w:tcW w:w="1171" w:type="dxa"/>
          </w:tcPr>
          <w:p w14:paraId="4AD89F61" w14:textId="353D5544" w:rsidR="0038568D" w:rsidRPr="00D47DAA" w:rsidRDefault="00CB717D" w:rsidP="003355DF">
            <w:pPr>
              <w:jc w:val="center"/>
              <w:rPr>
                <w:color w:val="000000" w:themeColor="text1"/>
                <w:sz w:val="20"/>
                <w:szCs w:val="20"/>
              </w:rPr>
            </w:pPr>
            <w:r w:rsidRPr="00D47DAA">
              <w:rPr>
                <w:color w:val="000000" w:themeColor="text1"/>
                <w:sz w:val="20"/>
                <w:szCs w:val="20"/>
              </w:rPr>
              <w:t xml:space="preserve">  </w:t>
            </w:r>
            <w:r w:rsidR="003355DF" w:rsidRPr="00D47DAA">
              <w:rPr>
                <w:color w:val="000000" w:themeColor="text1"/>
                <w:sz w:val="20"/>
                <w:szCs w:val="20"/>
              </w:rPr>
              <w:t>82</w:t>
            </w:r>
          </w:p>
        </w:tc>
        <w:tc>
          <w:tcPr>
            <w:tcW w:w="1134" w:type="dxa"/>
          </w:tcPr>
          <w:p w14:paraId="73673A15" w14:textId="0E1AD3E2" w:rsidR="0038568D" w:rsidRPr="00D47DAA" w:rsidRDefault="00CB717D" w:rsidP="00DF6211">
            <w:pPr>
              <w:jc w:val="center"/>
              <w:rPr>
                <w:color w:val="000000" w:themeColor="text1"/>
                <w:sz w:val="20"/>
                <w:szCs w:val="20"/>
              </w:rPr>
            </w:pPr>
            <w:r w:rsidRPr="00D47DAA">
              <w:rPr>
                <w:color w:val="000000" w:themeColor="text1"/>
                <w:sz w:val="20"/>
                <w:szCs w:val="20"/>
              </w:rPr>
              <w:t xml:space="preserve">  910</w:t>
            </w:r>
          </w:p>
        </w:tc>
        <w:tc>
          <w:tcPr>
            <w:tcW w:w="1097" w:type="dxa"/>
          </w:tcPr>
          <w:p w14:paraId="5A2C1C68" w14:textId="0826AD2D" w:rsidR="0038568D" w:rsidRPr="00D47DAA" w:rsidRDefault="00926791" w:rsidP="004B4A5F">
            <w:pPr>
              <w:jc w:val="center"/>
              <w:rPr>
                <w:color w:val="000000" w:themeColor="text1"/>
                <w:sz w:val="20"/>
                <w:szCs w:val="20"/>
              </w:rPr>
            </w:pPr>
            <w:r w:rsidRPr="00D47DAA">
              <w:rPr>
                <w:color w:val="000000" w:themeColor="text1"/>
                <w:sz w:val="20"/>
                <w:szCs w:val="20"/>
              </w:rPr>
              <w:t xml:space="preserve">+   </w:t>
            </w:r>
            <w:r w:rsidR="004B4A5F" w:rsidRPr="00D47DAA">
              <w:rPr>
                <w:color w:val="000000" w:themeColor="text1"/>
                <w:sz w:val="20"/>
                <w:szCs w:val="20"/>
              </w:rPr>
              <w:t>3.7</w:t>
            </w:r>
            <w:r w:rsidRPr="00D47DAA">
              <w:rPr>
                <w:color w:val="000000" w:themeColor="text1"/>
                <w:sz w:val="20"/>
                <w:szCs w:val="20"/>
              </w:rPr>
              <w:t>%</w:t>
            </w:r>
          </w:p>
        </w:tc>
      </w:tr>
      <w:tr w:rsidR="00D47DAA" w:rsidRPr="00D47DAA" w14:paraId="4CE082CA" w14:textId="77777777" w:rsidTr="00B84A28">
        <w:tc>
          <w:tcPr>
            <w:tcW w:w="1994" w:type="dxa"/>
            <w:shd w:val="pct10" w:color="auto" w:fill="auto"/>
          </w:tcPr>
          <w:p w14:paraId="70071FFF" w14:textId="2761315B" w:rsidR="0038568D" w:rsidRPr="00D47DAA" w:rsidRDefault="00622F42" w:rsidP="00DF6211">
            <w:pPr>
              <w:rPr>
                <w:color w:val="000000" w:themeColor="text1"/>
                <w:sz w:val="20"/>
                <w:szCs w:val="20"/>
              </w:rPr>
            </w:pPr>
            <w:r w:rsidRPr="00D47DAA">
              <w:rPr>
                <w:color w:val="000000" w:themeColor="text1"/>
                <w:sz w:val="20"/>
                <w:szCs w:val="20"/>
              </w:rPr>
              <w:t>UC Santa Barbara</w:t>
            </w:r>
          </w:p>
        </w:tc>
        <w:tc>
          <w:tcPr>
            <w:tcW w:w="1238" w:type="dxa"/>
          </w:tcPr>
          <w:p w14:paraId="5C637A70" w14:textId="5AFF737D" w:rsidR="0038568D" w:rsidRPr="00D47DAA" w:rsidRDefault="0031795B" w:rsidP="004B4A5F">
            <w:pPr>
              <w:jc w:val="center"/>
              <w:rPr>
                <w:color w:val="000000" w:themeColor="text1"/>
                <w:sz w:val="20"/>
                <w:szCs w:val="20"/>
              </w:rPr>
            </w:pPr>
            <w:r w:rsidRPr="00D47DAA">
              <w:rPr>
                <w:color w:val="000000" w:themeColor="text1"/>
                <w:sz w:val="20"/>
                <w:szCs w:val="20"/>
              </w:rPr>
              <w:t xml:space="preserve">   </w:t>
            </w:r>
            <w:r w:rsidR="004B4A5F" w:rsidRPr="00D47DAA">
              <w:rPr>
                <w:color w:val="000000" w:themeColor="text1"/>
                <w:sz w:val="20"/>
                <w:szCs w:val="20"/>
              </w:rPr>
              <w:t>4264</w:t>
            </w:r>
          </w:p>
        </w:tc>
        <w:tc>
          <w:tcPr>
            <w:tcW w:w="1276" w:type="dxa"/>
          </w:tcPr>
          <w:p w14:paraId="6F5CFDD1" w14:textId="7CE3B7E5" w:rsidR="0038568D" w:rsidRPr="00D47DAA" w:rsidRDefault="004B4A5F" w:rsidP="00DF6211">
            <w:pPr>
              <w:jc w:val="center"/>
              <w:rPr>
                <w:color w:val="000000" w:themeColor="text1"/>
                <w:sz w:val="20"/>
                <w:szCs w:val="20"/>
              </w:rPr>
            </w:pPr>
            <w:r w:rsidRPr="00D47DAA">
              <w:rPr>
                <w:color w:val="000000" w:themeColor="text1"/>
                <w:sz w:val="20"/>
                <w:szCs w:val="20"/>
              </w:rPr>
              <w:t>19.3</w:t>
            </w:r>
            <w:r w:rsidR="00CB717D" w:rsidRPr="00D47DAA">
              <w:rPr>
                <w:color w:val="000000" w:themeColor="text1"/>
                <w:sz w:val="20"/>
                <w:szCs w:val="20"/>
              </w:rPr>
              <w:t>%</w:t>
            </w:r>
          </w:p>
        </w:tc>
        <w:tc>
          <w:tcPr>
            <w:tcW w:w="1134" w:type="dxa"/>
            <w:shd w:val="pct10" w:color="auto" w:fill="auto"/>
          </w:tcPr>
          <w:p w14:paraId="5D8220AD" w14:textId="341BD456" w:rsidR="0038568D" w:rsidRPr="00D47DAA" w:rsidRDefault="00CB717D" w:rsidP="004B4A5F">
            <w:pPr>
              <w:jc w:val="center"/>
              <w:rPr>
                <w:color w:val="000000" w:themeColor="text1"/>
                <w:sz w:val="20"/>
                <w:szCs w:val="20"/>
              </w:rPr>
            </w:pPr>
            <w:r w:rsidRPr="00D47DAA">
              <w:rPr>
                <w:color w:val="000000" w:themeColor="text1"/>
                <w:sz w:val="20"/>
                <w:szCs w:val="20"/>
              </w:rPr>
              <w:t xml:space="preserve">  8</w:t>
            </w:r>
            <w:r w:rsidR="004B4A5F" w:rsidRPr="00D47DAA">
              <w:rPr>
                <w:color w:val="000000" w:themeColor="text1"/>
                <w:sz w:val="20"/>
                <w:szCs w:val="20"/>
              </w:rPr>
              <w:t>24</w:t>
            </w:r>
          </w:p>
        </w:tc>
        <w:tc>
          <w:tcPr>
            <w:tcW w:w="1171" w:type="dxa"/>
          </w:tcPr>
          <w:p w14:paraId="642C8076" w14:textId="3CF878E0" w:rsidR="0038568D" w:rsidRPr="00D47DAA" w:rsidRDefault="00CB717D" w:rsidP="003355DF">
            <w:pPr>
              <w:jc w:val="center"/>
              <w:rPr>
                <w:color w:val="000000" w:themeColor="text1"/>
                <w:sz w:val="20"/>
                <w:szCs w:val="20"/>
              </w:rPr>
            </w:pPr>
            <w:r w:rsidRPr="00D47DAA">
              <w:rPr>
                <w:color w:val="000000" w:themeColor="text1"/>
                <w:sz w:val="20"/>
                <w:szCs w:val="20"/>
              </w:rPr>
              <w:t xml:space="preserve">  </w:t>
            </w:r>
            <w:r w:rsidR="003355DF" w:rsidRPr="00D47DAA">
              <w:rPr>
                <w:color w:val="000000" w:themeColor="text1"/>
                <w:sz w:val="20"/>
                <w:szCs w:val="20"/>
              </w:rPr>
              <w:t>99</w:t>
            </w:r>
          </w:p>
        </w:tc>
        <w:tc>
          <w:tcPr>
            <w:tcW w:w="1134" w:type="dxa"/>
          </w:tcPr>
          <w:p w14:paraId="1A491320" w14:textId="363F434B" w:rsidR="0038568D" w:rsidRPr="00D47DAA" w:rsidRDefault="00CB717D" w:rsidP="00DF6211">
            <w:pPr>
              <w:jc w:val="center"/>
              <w:rPr>
                <w:color w:val="000000" w:themeColor="text1"/>
                <w:sz w:val="20"/>
                <w:szCs w:val="20"/>
              </w:rPr>
            </w:pPr>
            <w:r w:rsidRPr="00D47DAA">
              <w:rPr>
                <w:color w:val="000000" w:themeColor="text1"/>
                <w:sz w:val="20"/>
                <w:szCs w:val="20"/>
              </w:rPr>
              <w:t xml:space="preserve">  809</w:t>
            </w:r>
          </w:p>
        </w:tc>
        <w:tc>
          <w:tcPr>
            <w:tcW w:w="1097" w:type="dxa"/>
          </w:tcPr>
          <w:p w14:paraId="006F6774" w14:textId="13505F24" w:rsidR="0038568D" w:rsidRPr="00D47DAA" w:rsidRDefault="00926791" w:rsidP="00DF6211">
            <w:pPr>
              <w:jc w:val="center"/>
              <w:rPr>
                <w:color w:val="000000" w:themeColor="text1"/>
                <w:sz w:val="20"/>
                <w:szCs w:val="20"/>
              </w:rPr>
            </w:pPr>
            <w:r w:rsidRPr="00D47DAA">
              <w:rPr>
                <w:color w:val="000000" w:themeColor="text1"/>
                <w:sz w:val="20"/>
                <w:szCs w:val="20"/>
              </w:rPr>
              <w:t>+   8.3%</w:t>
            </w:r>
          </w:p>
        </w:tc>
      </w:tr>
      <w:tr w:rsidR="00D47DAA" w:rsidRPr="00D47DAA" w14:paraId="6BDD864C" w14:textId="77777777" w:rsidTr="00B84A28">
        <w:tc>
          <w:tcPr>
            <w:tcW w:w="1994" w:type="dxa"/>
            <w:shd w:val="pct10" w:color="auto" w:fill="auto"/>
          </w:tcPr>
          <w:p w14:paraId="5C065B52" w14:textId="56AF47E0" w:rsidR="0038568D" w:rsidRPr="00D47DAA" w:rsidRDefault="00622F42" w:rsidP="00DF6211">
            <w:pPr>
              <w:rPr>
                <w:color w:val="000000" w:themeColor="text1"/>
                <w:sz w:val="20"/>
                <w:szCs w:val="20"/>
              </w:rPr>
            </w:pPr>
            <w:r w:rsidRPr="00D47DAA">
              <w:rPr>
                <w:color w:val="000000" w:themeColor="text1"/>
                <w:sz w:val="20"/>
                <w:szCs w:val="20"/>
              </w:rPr>
              <w:t>UC Riverside</w:t>
            </w:r>
          </w:p>
        </w:tc>
        <w:tc>
          <w:tcPr>
            <w:tcW w:w="1238" w:type="dxa"/>
          </w:tcPr>
          <w:p w14:paraId="7AEA3938" w14:textId="7BD2170C" w:rsidR="0038568D" w:rsidRPr="00D47DAA" w:rsidRDefault="0031795B" w:rsidP="00656974">
            <w:pPr>
              <w:jc w:val="center"/>
              <w:rPr>
                <w:color w:val="000000" w:themeColor="text1"/>
                <w:sz w:val="20"/>
                <w:szCs w:val="20"/>
              </w:rPr>
            </w:pPr>
            <w:r w:rsidRPr="00D47DAA">
              <w:rPr>
                <w:color w:val="000000" w:themeColor="text1"/>
                <w:sz w:val="20"/>
                <w:szCs w:val="20"/>
              </w:rPr>
              <w:t xml:space="preserve">   30</w:t>
            </w:r>
            <w:r w:rsidR="00656974" w:rsidRPr="00D47DAA">
              <w:rPr>
                <w:color w:val="000000" w:themeColor="text1"/>
                <w:sz w:val="20"/>
                <w:szCs w:val="20"/>
              </w:rPr>
              <w:t>87</w:t>
            </w:r>
          </w:p>
        </w:tc>
        <w:tc>
          <w:tcPr>
            <w:tcW w:w="1276" w:type="dxa"/>
          </w:tcPr>
          <w:p w14:paraId="06A210C9" w14:textId="345EC75A" w:rsidR="0038568D" w:rsidRPr="00D47DAA" w:rsidRDefault="00CB717D" w:rsidP="00DF6211">
            <w:pPr>
              <w:jc w:val="center"/>
              <w:rPr>
                <w:color w:val="000000" w:themeColor="text1"/>
                <w:sz w:val="20"/>
                <w:szCs w:val="20"/>
              </w:rPr>
            </w:pPr>
            <w:r w:rsidRPr="00D47DAA">
              <w:rPr>
                <w:color w:val="000000" w:themeColor="text1"/>
                <w:sz w:val="20"/>
                <w:szCs w:val="20"/>
              </w:rPr>
              <w:t>1</w:t>
            </w:r>
            <w:r w:rsidR="00656974" w:rsidRPr="00D47DAA">
              <w:rPr>
                <w:color w:val="000000" w:themeColor="text1"/>
                <w:sz w:val="20"/>
                <w:szCs w:val="20"/>
              </w:rPr>
              <w:t>4.1</w:t>
            </w:r>
            <w:r w:rsidRPr="00D47DAA">
              <w:rPr>
                <w:color w:val="000000" w:themeColor="text1"/>
                <w:sz w:val="20"/>
                <w:szCs w:val="20"/>
              </w:rPr>
              <w:t>%</w:t>
            </w:r>
          </w:p>
        </w:tc>
        <w:tc>
          <w:tcPr>
            <w:tcW w:w="1134" w:type="dxa"/>
            <w:shd w:val="pct10" w:color="auto" w:fill="auto"/>
          </w:tcPr>
          <w:p w14:paraId="126A90D1" w14:textId="1A4CD895" w:rsidR="0038568D" w:rsidRPr="00D47DAA" w:rsidRDefault="00CB717D" w:rsidP="00656974">
            <w:pPr>
              <w:jc w:val="center"/>
              <w:rPr>
                <w:color w:val="000000" w:themeColor="text1"/>
                <w:sz w:val="20"/>
                <w:szCs w:val="20"/>
              </w:rPr>
            </w:pPr>
            <w:r w:rsidRPr="00D47DAA">
              <w:rPr>
                <w:color w:val="000000" w:themeColor="text1"/>
                <w:sz w:val="20"/>
                <w:szCs w:val="20"/>
              </w:rPr>
              <w:t xml:space="preserve">  4</w:t>
            </w:r>
            <w:r w:rsidR="00656974" w:rsidRPr="00D47DAA">
              <w:rPr>
                <w:color w:val="000000" w:themeColor="text1"/>
                <w:sz w:val="20"/>
                <w:szCs w:val="20"/>
              </w:rPr>
              <w:t>35</w:t>
            </w:r>
          </w:p>
        </w:tc>
        <w:tc>
          <w:tcPr>
            <w:tcW w:w="1171" w:type="dxa"/>
          </w:tcPr>
          <w:p w14:paraId="1D425255" w14:textId="34CC514B" w:rsidR="0038568D" w:rsidRPr="00D47DAA" w:rsidRDefault="00391B7E" w:rsidP="00DF6211">
            <w:pPr>
              <w:jc w:val="center"/>
              <w:rPr>
                <w:color w:val="000000" w:themeColor="text1"/>
                <w:sz w:val="20"/>
                <w:szCs w:val="20"/>
              </w:rPr>
            </w:pPr>
            <w:r w:rsidRPr="00D47DAA">
              <w:rPr>
                <w:color w:val="000000" w:themeColor="text1"/>
                <w:sz w:val="20"/>
                <w:szCs w:val="20"/>
              </w:rPr>
              <w:t>242</w:t>
            </w:r>
          </w:p>
        </w:tc>
        <w:tc>
          <w:tcPr>
            <w:tcW w:w="1134" w:type="dxa"/>
          </w:tcPr>
          <w:p w14:paraId="145D4765" w14:textId="340564F2" w:rsidR="0038568D" w:rsidRPr="00D47DAA" w:rsidRDefault="00CB717D" w:rsidP="00DF6211">
            <w:pPr>
              <w:jc w:val="center"/>
              <w:rPr>
                <w:color w:val="000000" w:themeColor="text1"/>
                <w:sz w:val="20"/>
                <w:szCs w:val="20"/>
              </w:rPr>
            </w:pPr>
            <w:r w:rsidRPr="00D47DAA">
              <w:rPr>
                <w:color w:val="000000" w:themeColor="text1"/>
                <w:sz w:val="20"/>
                <w:szCs w:val="20"/>
              </w:rPr>
              <w:t xml:space="preserve">  454</w:t>
            </w:r>
          </w:p>
        </w:tc>
        <w:tc>
          <w:tcPr>
            <w:tcW w:w="1097" w:type="dxa"/>
          </w:tcPr>
          <w:p w14:paraId="5988B03A" w14:textId="5124E53B" w:rsidR="0038568D" w:rsidRPr="00D47DAA" w:rsidRDefault="004B4A5F"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4.2</w:t>
            </w:r>
            <w:r w:rsidR="00926791" w:rsidRPr="00D47DAA">
              <w:rPr>
                <w:color w:val="000000" w:themeColor="text1"/>
                <w:sz w:val="20"/>
                <w:szCs w:val="20"/>
              </w:rPr>
              <w:t>%</w:t>
            </w:r>
          </w:p>
        </w:tc>
      </w:tr>
      <w:tr w:rsidR="00D47DAA" w:rsidRPr="00D47DAA" w14:paraId="035C9A8B" w14:textId="77777777" w:rsidTr="00B84A28">
        <w:tc>
          <w:tcPr>
            <w:tcW w:w="1994" w:type="dxa"/>
            <w:shd w:val="pct10" w:color="auto" w:fill="auto"/>
          </w:tcPr>
          <w:p w14:paraId="4E313569" w14:textId="77777777" w:rsidR="0038568D" w:rsidRPr="00D47DAA" w:rsidRDefault="00622F42" w:rsidP="00DF6211">
            <w:pPr>
              <w:rPr>
                <w:color w:val="000000" w:themeColor="text1"/>
                <w:sz w:val="20"/>
                <w:szCs w:val="20"/>
              </w:rPr>
            </w:pPr>
            <w:r w:rsidRPr="00D47DAA">
              <w:rPr>
                <w:color w:val="000000" w:themeColor="text1"/>
                <w:sz w:val="20"/>
                <w:szCs w:val="20"/>
              </w:rPr>
              <w:t>UC Santa Cruz</w:t>
            </w:r>
          </w:p>
          <w:p w14:paraId="2C75FAA9" w14:textId="1D6531B9" w:rsidR="00622F42" w:rsidRPr="00D47DAA" w:rsidRDefault="00622F42" w:rsidP="00DF6211">
            <w:pPr>
              <w:rPr>
                <w:color w:val="000000" w:themeColor="text1"/>
                <w:sz w:val="20"/>
                <w:szCs w:val="20"/>
              </w:rPr>
            </w:pPr>
          </w:p>
        </w:tc>
        <w:tc>
          <w:tcPr>
            <w:tcW w:w="1238" w:type="dxa"/>
          </w:tcPr>
          <w:p w14:paraId="451DF259" w14:textId="44ED93EE" w:rsidR="0038568D" w:rsidRPr="00D47DAA" w:rsidRDefault="008562E2" w:rsidP="00DF6211">
            <w:pPr>
              <w:jc w:val="center"/>
              <w:rPr>
                <w:color w:val="000000" w:themeColor="text1"/>
                <w:sz w:val="20"/>
                <w:szCs w:val="20"/>
              </w:rPr>
            </w:pPr>
            <w:r w:rsidRPr="00D47DAA">
              <w:rPr>
                <w:color w:val="000000" w:themeColor="text1"/>
                <w:sz w:val="20"/>
                <w:szCs w:val="20"/>
              </w:rPr>
              <w:t xml:space="preserve">   1988</w:t>
            </w:r>
          </w:p>
        </w:tc>
        <w:tc>
          <w:tcPr>
            <w:tcW w:w="1276" w:type="dxa"/>
          </w:tcPr>
          <w:p w14:paraId="28E708B7" w14:textId="5EB36DEA" w:rsidR="0038568D" w:rsidRPr="00D47DAA" w:rsidRDefault="00CB717D" w:rsidP="008562E2">
            <w:pPr>
              <w:jc w:val="center"/>
              <w:rPr>
                <w:color w:val="000000" w:themeColor="text1"/>
                <w:sz w:val="20"/>
                <w:szCs w:val="20"/>
              </w:rPr>
            </w:pPr>
            <w:r w:rsidRPr="00D47DAA">
              <w:rPr>
                <w:color w:val="000000" w:themeColor="text1"/>
                <w:sz w:val="20"/>
                <w:szCs w:val="20"/>
              </w:rPr>
              <w:t>1</w:t>
            </w:r>
            <w:r w:rsidR="008562E2" w:rsidRPr="00D47DAA">
              <w:rPr>
                <w:color w:val="000000" w:themeColor="text1"/>
                <w:sz w:val="20"/>
                <w:szCs w:val="20"/>
              </w:rPr>
              <w:t>7</w:t>
            </w:r>
            <w:r w:rsidRPr="00D47DAA">
              <w:rPr>
                <w:color w:val="000000" w:themeColor="text1"/>
                <w:sz w:val="20"/>
                <w:szCs w:val="20"/>
              </w:rPr>
              <w:t>.5%</w:t>
            </w:r>
          </w:p>
        </w:tc>
        <w:tc>
          <w:tcPr>
            <w:tcW w:w="1134" w:type="dxa"/>
            <w:shd w:val="pct10" w:color="auto" w:fill="auto"/>
          </w:tcPr>
          <w:p w14:paraId="424619CA" w14:textId="3DA24DE4" w:rsidR="0038568D" w:rsidRPr="00D47DAA" w:rsidRDefault="00CB717D"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348</w:t>
            </w:r>
          </w:p>
        </w:tc>
        <w:tc>
          <w:tcPr>
            <w:tcW w:w="1171" w:type="dxa"/>
          </w:tcPr>
          <w:p w14:paraId="165834E6" w14:textId="3DD85B2E" w:rsidR="0038568D" w:rsidRPr="00D47DAA" w:rsidRDefault="00391B7E" w:rsidP="00DF6211">
            <w:pPr>
              <w:jc w:val="center"/>
              <w:rPr>
                <w:color w:val="000000" w:themeColor="text1"/>
                <w:sz w:val="20"/>
                <w:szCs w:val="20"/>
              </w:rPr>
            </w:pPr>
            <w:r w:rsidRPr="00D47DAA">
              <w:rPr>
                <w:color w:val="000000" w:themeColor="text1"/>
                <w:sz w:val="20"/>
                <w:szCs w:val="20"/>
              </w:rPr>
              <w:t>300</w:t>
            </w:r>
          </w:p>
        </w:tc>
        <w:tc>
          <w:tcPr>
            <w:tcW w:w="1134" w:type="dxa"/>
          </w:tcPr>
          <w:p w14:paraId="50F21F37" w14:textId="4DFE6371" w:rsidR="0038568D" w:rsidRPr="00D47DAA" w:rsidRDefault="00CB717D" w:rsidP="00DF6211">
            <w:pPr>
              <w:jc w:val="center"/>
              <w:rPr>
                <w:color w:val="000000" w:themeColor="text1"/>
                <w:sz w:val="20"/>
                <w:szCs w:val="20"/>
              </w:rPr>
            </w:pPr>
            <w:r w:rsidRPr="00D47DAA">
              <w:rPr>
                <w:color w:val="000000" w:themeColor="text1"/>
                <w:sz w:val="20"/>
                <w:szCs w:val="20"/>
              </w:rPr>
              <w:t xml:space="preserve">  305</w:t>
            </w:r>
          </w:p>
        </w:tc>
        <w:tc>
          <w:tcPr>
            <w:tcW w:w="1097" w:type="dxa"/>
          </w:tcPr>
          <w:p w14:paraId="73A45BA4" w14:textId="21E3663B" w:rsidR="0038568D" w:rsidRPr="00D47DAA" w:rsidRDefault="00926791"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14.1</w:t>
            </w:r>
            <w:r w:rsidRPr="00D47DAA">
              <w:rPr>
                <w:color w:val="000000" w:themeColor="text1"/>
                <w:sz w:val="20"/>
                <w:szCs w:val="20"/>
              </w:rPr>
              <w:t>%</w:t>
            </w:r>
          </w:p>
        </w:tc>
      </w:tr>
      <w:tr w:rsidR="00D47DAA" w:rsidRPr="00D47DAA" w14:paraId="5752D35E" w14:textId="77777777" w:rsidTr="00B84A28">
        <w:tc>
          <w:tcPr>
            <w:tcW w:w="1994" w:type="dxa"/>
            <w:shd w:val="pct10" w:color="auto" w:fill="auto"/>
          </w:tcPr>
          <w:p w14:paraId="12A172A2" w14:textId="6FD4625D" w:rsidR="0038568D" w:rsidRPr="00D47DAA" w:rsidRDefault="00BA08A6" w:rsidP="00DF6211">
            <w:pPr>
              <w:rPr>
                <w:color w:val="000000" w:themeColor="text1"/>
                <w:sz w:val="20"/>
                <w:szCs w:val="20"/>
              </w:rPr>
            </w:pPr>
            <w:r w:rsidRPr="00D47DAA">
              <w:rPr>
                <w:color w:val="000000" w:themeColor="text1"/>
                <w:sz w:val="20"/>
                <w:szCs w:val="20"/>
              </w:rPr>
              <w:t>Stanford U</w:t>
            </w:r>
          </w:p>
        </w:tc>
        <w:tc>
          <w:tcPr>
            <w:tcW w:w="1238" w:type="dxa"/>
          </w:tcPr>
          <w:p w14:paraId="56B763CD" w14:textId="4190982E" w:rsidR="0038568D" w:rsidRPr="00D47DAA" w:rsidRDefault="008562E2" w:rsidP="00DF6211">
            <w:pPr>
              <w:jc w:val="center"/>
              <w:rPr>
                <w:color w:val="000000" w:themeColor="text1"/>
                <w:sz w:val="20"/>
                <w:szCs w:val="20"/>
              </w:rPr>
            </w:pPr>
            <w:r w:rsidRPr="00D47DAA">
              <w:rPr>
                <w:color w:val="000000" w:themeColor="text1"/>
                <w:sz w:val="20"/>
                <w:szCs w:val="20"/>
              </w:rPr>
              <w:t>15,113</w:t>
            </w:r>
          </w:p>
        </w:tc>
        <w:tc>
          <w:tcPr>
            <w:tcW w:w="1276" w:type="dxa"/>
          </w:tcPr>
          <w:p w14:paraId="547C9D18" w14:textId="0277EE71" w:rsidR="0038568D" w:rsidRPr="00D47DAA" w:rsidRDefault="008562E2" w:rsidP="00DF6211">
            <w:pPr>
              <w:jc w:val="center"/>
              <w:rPr>
                <w:color w:val="000000" w:themeColor="text1"/>
                <w:sz w:val="20"/>
                <w:szCs w:val="20"/>
              </w:rPr>
            </w:pPr>
            <w:r w:rsidRPr="00D47DAA">
              <w:rPr>
                <w:color w:val="000000" w:themeColor="text1"/>
                <w:sz w:val="20"/>
                <w:szCs w:val="20"/>
              </w:rPr>
              <w:t>22.3</w:t>
            </w:r>
            <w:r w:rsidR="00CB717D" w:rsidRPr="00D47DAA">
              <w:rPr>
                <w:color w:val="000000" w:themeColor="text1"/>
                <w:sz w:val="20"/>
                <w:szCs w:val="20"/>
              </w:rPr>
              <w:t>%</w:t>
            </w:r>
          </w:p>
        </w:tc>
        <w:tc>
          <w:tcPr>
            <w:tcW w:w="1134" w:type="dxa"/>
            <w:shd w:val="pct10" w:color="auto" w:fill="auto"/>
          </w:tcPr>
          <w:p w14:paraId="4BA37198" w14:textId="67832835" w:rsidR="0038568D" w:rsidRPr="00D47DAA" w:rsidRDefault="00CB717D" w:rsidP="008562E2">
            <w:pPr>
              <w:jc w:val="center"/>
              <w:rPr>
                <w:color w:val="000000" w:themeColor="text1"/>
                <w:sz w:val="20"/>
                <w:szCs w:val="20"/>
              </w:rPr>
            </w:pPr>
            <w:r w:rsidRPr="00D47DAA">
              <w:rPr>
                <w:color w:val="000000" w:themeColor="text1"/>
                <w:sz w:val="20"/>
                <w:szCs w:val="20"/>
              </w:rPr>
              <w:t>3</w:t>
            </w:r>
            <w:r w:rsidR="008562E2" w:rsidRPr="00D47DAA">
              <w:rPr>
                <w:color w:val="000000" w:themeColor="text1"/>
                <w:sz w:val="20"/>
                <w:szCs w:val="20"/>
              </w:rPr>
              <w:t>372</w:t>
            </w:r>
          </w:p>
        </w:tc>
        <w:tc>
          <w:tcPr>
            <w:tcW w:w="1171" w:type="dxa"/>
          </w:tcPr>
          <w:p w14:paraId="58499FD2" w14:textId="3147CD20" w:rsidR="0038568D" w:rsidRPr="00D47DAA" w:rsidRDefault="00CB717D" w:rsidP="00DF6211">
            <w:pPr>
              <w:jc w:val="center"/>
              <w:rPr>
                <w:color w:val="000000" w:themeColor="text1"/>
                <w:sz w:val="20"/>
                <w:szCs w:val="20"/>
              </w:rPr>
            </w:pPr>
            <w:r w:rsidRPr="00D47DAA">
              <w:rPr>
                <w:color w:val="000000" w:themeColor="text1"/>
                <w:sz w:val="20"/>
                <w:szCs w:val="20"/>
              </w:rPr>
              <w:t xml:space="preserve">    2</w:t>
            </w:r>
          </w:p>
        </w:tc>
        <w:tc>
          <w:tcPr>
            <w:tcW w:w="1134" w:type="dxa"/>
          </w:tcPr>
          <w:p w14:paraId="1B851FB2" w14:textId="3339C37D" w:rsidR="0038568D" w:rsidRPr="00D47DAA" w:rsidRDefault="00CB717D" w:rsidP="00DF6211">
            <w:pPr>
              <w:jc w:val="center"/>
              <w:rPr>
                <w:color w:val="000000" w:themeColor="text1"/>
                <w:sz w:val="20"/>
                <w:szCs w:val="20"/>
              </w:rPr>
            </w:pPr>
            <w:r w:rsidRPr="00D47DAA">
              <w:rPr>
                <w:color w:val="000000" w:themeColor="text1"/>
                <w:sz w:val="20"/>
                <w:szCs w:val="20"/>
              </w:rPr>
              <w:t>2560</w:t>
            </w:r>
          </w:p>
        </w:tc>
        <w:tc>
          <w:tcPr>
            <w:tcW w:w="1097" w:type="dxa"/>
          </w:tcPr>
          <w:p w14:paraId="5D1DB26C" w14:textId="7D11310E" w:rsidR="0038568D" w:rsidRPr="00D47DAA" w:rsidRDefault="00926791"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31.7</w:t>
            </w:r>
            <w:r w:rsidRPr="00D47DAA">
              <w:rPr>
                <w:color w:val="000000" w:themeColor="text1"/>
                <w:sz w:val="20"/>
                <w:szCs w:val="20"/>
              </w:rPr>
              <w:t>%</w:t>
            </w:r>
          </w:p>
        </w:tc>
      </w:tr>
      <w:tr w:rsidR="00D47DAA" w:rsidRPr="00D47DAA" w14:paraId="5EC33FEC" w14:textId="77777777" w:rsidTr="00B84A28">
        <w:tc>
          <w:tcPr>
            <w:tcW w:w="1994" w:type="dxa"/>
            <w:shd w:val="pct10" w:color="auto" w:fill="auto"/>
          </w:tcPr>
          <w:p w14:paraId="7748A900" w14:textId="15E2C57B" w:rsidR="00BA08A6" w:rsidRPr="00D47DAA" w:rsidRDefault="007A4893" w:rsidP="00DF6211">
            <w:pPr>
              <w:rPr>
                <w:color w:val="000000" w:themeColor="text1"/>
                <w:sz w:val="20"/>
                <w:szCs w:val="20"/>
              </w:rPr>
            </w:pPr>
            <w:r w:rsidRPr="00D47DAA">
              <w:rPr>
                <w:color w:val="000000" w:themeColor="text1"/>
                <w:sz w:val="20"/>
                <w:szCs w:val="20"/>
              </w:rPr>
              <w:t>U Southern California</w:t>
            </w:r>
          </w:p>
        </w:tc>
        <w:tc>
          <w:tcPr>
            <w:tcW w:w="1238" w:type="dxa"/>
          </w:tcPr>
          <w:p w14:paraId="3988588A" w14:textId="20B9EDD6" w:rsidR="00BA08A6" w:rsidRPr="00D47DAA" w:rsidRDefault="00010CC5"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7878</w:t>
            </w:r>
          </w:p>
        </w:tc>
        <w:tc>
          <w:tcPr>
            <w:tcW w:w="1276" w:type="dxa"/>
          </w:tcPr>
          <w:p w14:paraId="3EB98392" w14:textId="6D8442B9" w:rsidR="00BA08A6" w:rsidRPr="00D47DAA" w:rsidRDefault="00010CC5" w:rsidP="00DF6211">
            <w:pPr>
              <w:jc w:val="center"/>
              <w:rPr>
                <w:color w:val="000000" w:themeColor="text1"/>
                <w:sz w:val="20"/>
                <w:szCs w:val="20"/>
              </w:rPr>
            </w:pPr>
            <w:r w:rsidRPr="00D47DAA">
              <w:rPr>
                <w:color w:val="000000" w:themeColor="text1"/>
                <w:sz w:val="20"/>
                <w:szCs w:val="20"/>
              </w:rPr>
              <w:t>1</w:t>
            </w:r>
            <w:r w:rsidR="008562E2" w:rsidRPr="00D47DAA">
              <w:rPr>
                <w:color w:val="000000" w:themeColor="text1"/>
                <w:sz w:val="20"/>
                <w:szCs w:val="20"/>
              </w:rPr>
              <w:t>4.9</w:t>
            </w:r>
            <w:r w:rsidRPr="00D47DAA">
              <w:rPr>
                <w:color w:val="000000" w:themeColor="text1"/>
                <w:sz w:val="20"/>
                <w:szCs w:val="20"/>
              </w:rPr>
              <w:t>%</w:t>
            </w:r>
          </w:p>
        </w:tc>
        <w:tc>
          <w:tcPr>
            <w:tcW w:w="1134" w:type="dxa"/>
            <w:shd w:val="pct10" w:color="auto" w:fill="auto"/>
          </w:tcPr>
          <w:p w14:paraId="6DF93EEB" w14:textId="607D1C85" w:rsidR="00BA08A6" w:rsidRPr="00D47DAA" w:rsidRDefault="008562E2" w:rsidP="00DF6211">
            <w:pPr>
              <w:jc w:val="center"/>
              <w:rPr>
                <w:color w:val="000000" w:themeColor="text1"/>
                <w:sz w:val="20"/>
                <w:szCs w:val="20"/>
              </w:rPr>
            </w:pPr>
            <w:r w:rsidRPr="00D47DAA">
              <w:rPr>
                <w:color w:val="000000" w:themeColor="text1"/>
                <w:sz w:val="20"/>
                <w:szCs w:val="20"/>
              </w:rPr>
              <w:t>1171</w:t>
            </w:r>
          </w:p>
        </w:tc>
        <w:tc>
          <w:tcPr>
            <w:tcW w:w="1171" w:type="dxa"/>
          </w:tcPr>
          <w:p w14:paraId="0DEFB722" w14:textId="0B856EF2" w:rsidR="00BA08A6" w:rsidRPr="00D47DAA" w:rsidRDefault="00010CC5" w:rsidP="00DF6211">
            <w:pPr>
              <w:jc w:val="center"/>
              <w:rPr>
                <w:color w:val="000000" w:themeColor="text1"/>
                <w:sz w:val="20"/>
                <w:szCs w:val="20"/>
              </w:rPr>
            </w:pPr>
            <w:r w:rsidRPr="00D47DAA">
              <w:rPr>
                <w:color w:val="000000" w:themeColor="text1"/>
                <w:sz w:val="20"/>
                <w:szCs w:val="20"/>
              </w:rPr>
              <w:t xml:space="preserve">  5</w:t>
            </w:r>
            <w:r w:rsidR="00391B7E" w:rsidRPr="00D47DAA">
              <w:rPr>
                <w:color w:val="000000" w:themeColor="text1"/>
                <w:sz w:val="20"/>
                <w:szCs w:val="20"/>
              </w:rPr>
              <w:t>8</w:t>
            </w:r>
          </w:p>
        </w:tc>
        <w:tc>
          <w:tcPr>
            <w:tcW w:w="1134" w:type="dxa"/>
          </w:tcPr>
          <w:p w14:paraId="40514D45" w14:textId="1B2BBE03" w:rsidR="00BA08A6" w:rsidRPr="00D47DAA" w:rsidRDefault="00B42E97" w:rsidP="00DF6211">
            <w:pPr>
              <w:jc w:val="center"/>
              <w:rPr>
                <w:color w:val="000000" w:themeColor="text1"/>
                <w:sz w:val="20"/>
                <w:szCs w:val="20"/>
              </w:rPr>
            </w:pPr>
            <w:r w:rsidRPr="00D47DAA">
              <w:rPr>
                <w:color w:val="000000" w:themeColor="text1"/>
                <w:sz w:val="20"/>
                <w:szCs w:val="20"/>
              </w:rPr>
              <w:t xml:space="preserve">  924</w:t>
            </w:r>
          </w:p>
        </w:tc>
        <w:tc>
          <w:tcPr>
            <w:tcW w:w="1097" w:type="dxa"/>
          </w:tcPr>
          <w:p w14:paraId="0A0E3992" w14:textId="57619667" w:rsidR="00BA08A6" w:rsidRPr="00D47DAA" w:rsidRDefault="00B42E97" w:rsidP="008562E2">
            <w:pPr>
              <w:jc w:val="center"/>
              <w:rPr>
                <w:color w:val="000000" w:themeColor="text1"/>
                <w:sz w:val="20"/>
                <w:szCs w:val="20"/>
              </w:rPr>
            </w:pPr>
            <w:r w:rsidRPr="00D47DAA">
              <w:rPr>
                <w:color w:val="000000" w:themeColor="text1"/>
                <w:sz w:val="20"/>
                <w:szCs w:val="20"/>
              </w:rPr>
              <w:t xml:space="preserve">+ </w:t>
            </w:r>
            <w:r w:rsidR="008562E2" w:rsidRPr="00D47DAA">
              <w:rPr>
                <w:color w:val="000000" w:themeColor="text1"/>
                <w:sz w:val="20"/>
                <w:szCs w:val="20"/>
              </w:rPr>
              <w:t>26.7</w:t>
            </w:r>
            <w:r w:rsidRPr="00D47DAA">
              <w:rPr>
                <w:color w:val="000000" w:themeColor="text1"/>
                <w:sz w:val="20"/>
                <w:szCs w:val="20"/>
              </w:rPr>
              <w:t>%</w:t>
            </w:r>
          </w:p>
        </w:tc>
      </w:tr>
      <w:tr w:rsidR="00D47DAA" w:rsidRPr="00D47DAA" w14:paraId="33274E3D" w14:textId="77777777" w:rsidTr="00B84A28">
        <w:tc>
          <w:tcPr>
            <w:tcW w:w="1994" w:type="dxa"/>
            <w:shd w:val="pct10" w:color="auto" w:fill="auto"/>
          </w:tcPr>
          <w:p w14:paraId="7C77403E" w14:textId="37BEAE84" w:rsidR="0038568D" w:rsidRPr="00D47DAA" w:rsidRDefault="007A4893" w:rsidP="00DF6211">
            <w:pPr>
              <w:rPr>
                <w:color w:val="000000" w:themeColor="text1"/>
                <w:sz w:val="20"/>
                <w:szCs w:val="20"/>
              </w:rPr>
            </w:pPr>
            <w:r w:rsidRPr="00D47DAA">
              <w:rPr>
                <w:color w:val="000000" w:themeColor="text1"/>
                <w:sz w:val="20"/>
                <w:szCs w:val="20"/>
              </w:rPr>
              <w:t>Caltech</w:t>
            </w:r>
          </w:p>
          <w:p w14:paraId="1F8399D6" w14:textId="2015B96D" w:rsidR="00622F42" w:rsidRPr="00D47DAA" w:rsidRDefault="00622F42" w:rsidP="00DF6211">
            <w:pPr>
              <w:rPr>
                <w:color w:val="000000" w:themeColor="text1"/>
                <w:sz w:val="20"/>
                <w:szCs w:val="20"/>
              </w:rPr>
            </w:pPr>
          </w:p>
        </w:tc>
        <w:tc>
          <w:tcPr>
            <w:tcW w:w="1238" w:type="dxa"/>
          </w:tcPr>
          <w:p w14:paraId="16B174AC" w14:textId="377EECEF" w:rsidR="0038568D" w:rsidRPr="00D47DAA" w:rsidRDefault="00010CC5" w:rsidP="008562E2">
            <w:pPr>
              <w:jc w:val="center"/>
              <w:rPr>
                <w:color w:val="000000" w:themeColor="text1"/>
                <w:sz w:val="20"/>
                <w:szCs w:val="20"/>
              </w:rPr>
            </w:pPr>
            <w:r w:rsidRPr="00D47DAA">
              <w:rPr>
                <w:color w:val="000000" w:themeColor="text1"/>
                <w:sz w:val="20"/>
                <w:szCs w:val="20"/>
              </w:rPr>
              <w:t xml:space="preserve">   5</w:t>
            </w:r>
            <w:r w:rsidR="008562E2" w:rsidRPr="00D47DAA">
              <w:rPr>
                <w:color w:val="000000" w:themeColor="text1"/>
                <w:sz w:val="20"/>
                <w:szCs w:val="20"/>
              </w:rPr>
              <w:t>268</w:t>
            </w:r>
          </w:p>
        </w:tc>
        <w:tc>
          <w:tcPr>
            <w:tcW w:w="1276" w:type="dxa"/>
          </w:tcPr>
          <w:p w14:paraId="30D59A5D" w14:textId="41799BCD" w:rsidR="0038568D" w:rsidRPr="00D47DAA" w:rsidRDefault="00010CC5" w:rsidP="00DF6211">
            <w:pPr>
              <w:jc w:val="center"/>
              <w:rPr>
                <w:color w:val="000000" w:themeColor="text1"/>
                <w:sz w:val="20"/>
                <w:szCs w:val="20"/>
              </w:rPr>
            </w:pPr>
            <w:r w:rsidRPr="00D47DAA">
              <w:rPr>
                <w:color w:val="000000" w:themeColor="text1"/>
                <w:sz w:val="20"/>
                <w:szCs w:val="20"/>
              </w:rPr>
              <w:t>21.2</w:t>
            </w:r>
            <w:r w:rsidR="00CB717D" w:rsidRPr="00D47DAA">
              <w:rPr>
                <w:color w:val="000000" w:themeColor="text1"/>
                <w:sz w:val="20"/>
                <w:szCs w:val="20"/>
              </w:rPr>
              <w:t>%</w:t>
            </w:r>
          </w:p>
        </w:tc>
        <w:tc>
          <w:tcPr>
            <w:tcW w:w="1134" w:type="dxa"/>
            <w:shd w:val="pct10" w:color="auto" w:fill="auto"/>
          </w:tcPr>
          <w:p w14:paraId="0D8FBE40" w14:textId="110FECA1" w:rsidR="0038568D" w:rsidRPr="00D47DAA" w:rsidRDefault="00010CC5" w:rsidP="008562E2">
            <w:pPr>
              <w:jc w:val="center"/>
              <w:rPr>
                <w:color w:val="000000" w:themeColor="text1"/>
                <w:sz w:val="20"/>
                <w:szCs w:val="20"/>
              </w:rPr>
            </w:pPr>
            <w:r w:rsidRPr="00D47DAA">
              <w:rPr>
                <w:color w:val="000000" w:themeColor="text1"/>
                <w:sz w:val="20"/>
                <w:szCs w:val="20"/>
              </w:rPr>
              <w:t>1</w:t>
            </w:r>
            <w:r w:rsidR="008562E2" w:rsidRPr="00D47DAA">
              <w:rPr>
                <w:color w:val="000000" w:themeColor="text1"/>
                <w:sz w:val="20"/>
                <w:szCs w:val="20"/>
              </w:rPr>
              <w:t>119</w:t>
            </w:r>
          </w:p>
        </w:tc>
        <w:tc>
          <w:tcPr>
            <w:tcW w:w="1171" w:type="dxa"/>
          </w:tcPr>
          <w:p w14:paraId="5E825645" w14:textId="7719DCCF" w:rsidR="0038568D" w:rsidRPr="00D47DAA" w:rsidRDefault="00CB717D" w:rsidP="00DF6211">
            <w:pPr>
              <w:jc w:val="center"/>
              <w:rPr>
                <w:color w:val="000000" w:themeColor="text1"/>
                <w:sz w:val="20"/>
                <w:szCs w:val="20"/>
              </w:rPr>
            </w:pPr>
            <w:r w:rsidRPr="00D47DAA">
              <w:rPr>
                <w:color w:val="000000" w:themeColor="text1"/>
                <w:sz w:val="20"/>
                <w:szCs w:val="20"/>
              </w:rPr>
              <w:t xml:space="preserve">  </w:t>
            </w:r>
            <w:r w:rsidR="00391B7E" w:rsidRPr="00D47DAA">
              <w:rPr>
                <w:color w:val="000000" w:themeColor="text1"/>
                <w:sz w:val="20"/>
                <w:szCs w:val="20"/>
              </w:rPr>
              <w:t>61</w:t>
            </w:r>
          </w:p>
        </w:tc>
        <w:tc>
          <w:tcPr>
            <w:tcW w:w="1134" w:type="dxa"/>
          </w:tcPr>
          <w:p w14:paraId="493477AC" w14:textId="60864C58" w:rsidR="0038568D" w:rsidRPr="00D47DAA" w:rsidRDefault="00B42E97" w:rsidP="00DF6211">
            <w:pPr>
              <w:jc w:val="center"/>
              <w:rPr>
                <w:color w:val="000000" w:themeColor="text1"/>
                <w:sz w:val="20"/>
                <w:szCs w:val="20"/>
              </w:rPr>
            </w:pPr>
            <w:r w:rsidRPr="00D47DAA">
              <w:rPr>
                <w:color w:val="000000" w:themeColor="text1"/>
                <w:sz w:val="20"/>
                <w:szCs w:val="20"/>
              </w:rPr>
              <w:t>1073</w:t>
            </w:r>
          </w:p>
        </w:tc>
        <w:tc>
          <w:tcPr>
            <w:tcW w:w="1097" w:type="dxa"/>
          </w:tcPr>
          <w:p w14:paraId="7CDFDCD2" w14:textId="2BA910FF" w:rsidR="0038568D" w:rsidRPr="00D47DAA" w:rsidRDefault="00926791" w:rsidP="008562E2">
            <w:pPr>
              <w:jc w:val="center"/>
              <w:rPr>
                <w:color w:val="000000" w:themeColor="text1"/>
                <w:sz w:val="20"/>
                <w:szCs w:val="20"/>
              </w:rPr>
            </w:pPr>
            <w:r w:rsidRPr="00D47DAA">
              <w:rPr>
                <w:color w:val="000000" w:themeColor="text1"/>
                <w:sz w:val="20"/>
                <w:szCs w:val="20"/>
              </w:rPr>
              <w:t xml:space="preserve">+ </w:t>
            </w:r>
            <w:r w:rsidR="00B42E97" w:rsidRPr="00D47DAA">
              <w:rPr>
                <w:color w:val="000000" w:themeColor="text1"/>
                <w:sz w:val="20"/>
                <w:szCs w:val="20"/>
              </w:rPr>
              <w:t xml:space="preserve">  </w:t>
            </w:r>
            <w:r w:rsidR="008562E2" w:rsidRPr="00D47DAA">
              <w:rPr>
                <w:color w:val="000000" w:themeColor="text1"/>
                <w:sz w:val="20"/>
                <w:szCs w:val="20"/>
              </w:rPr>
              <w:t>4.3</w:t>
            </w:r>
            <w:r w:rsidRPr="00D47DAA">
              <w:rPr>
                <w:color w:val="000000" w:themeColor="text1"/>
                <w:sz w:val="20"/>
                <w:szCs w:val="20"/>
              </w:rPr>
              <w:t>%</w:t>
            </w:r>
          </w:p>
        </w:tc>
      </w:tr>
    </w:tbl>
    <w:p w14:paraId="0C41C220" w14:textId="77777777" w:rsidR="0038568D" w:rsidRPr="00D47DAA" w:rsidRDefault="0038568D" w:rsidP="00DF6211">
      <w:pPr>
        <w:rPr>
          <w:color w:val="000000" w:themeColor="text1"/>
          <w:sz w:val="18"/>
          <w:szCs w:val="18"/>
        </w:rPr>
      </w:pPr>
    </w:p>
    <w:p w14:paraId="34AFC0CF" w14:textId="77777777" w:rsidR="009042A8" w:rsidRPr="00D47DAA" w:rsidRDefault="009042A8" w:rsidP="009042A8">
      <w:pPr>
        <w:rPr>
          <w:color w:val="000000" w:themeColor="text1"/>
          <w:sz w:val="18"/>
          <w:szCs w:val="18"/>
        </w:rPr>
      </w:pPr>
      <w:r w:rsidRPr="00D47DAA">
        <w:rPr>
          <w:color w:val="000000" w:themeColor="text1"/>
          <w:sz w:val="18"/>
          <w:szCs w:val="18"/>
        </w:rPr>
        <w:t xml:space="preserve">Source: Author, using data from Leiden University, 2017. Original source Thomson-Reuters’ publication and citation data from Web of Science. </w:t>
      </w:r>
    </w:p>
    <w:p w14:paraId="51C0EDC9" w14:textId="77777777" w:rsidR="0038568D" w:rsidRPr="00D47DAA" w:rsidRDefault="0038568D" w:rsidP="00DF6211">
      <w:pPr>
        <w:rPr>
          <w:color w:val="000000" w:themeColor="text1"/>
        </w:rPr>
      </w:pPr>
    </w:p>
    <w:p w14:paraId="6FDB5B81" w14:textId="77777777" w:rsidR="003E42EE" w:rsidRPr="00D47DAA" w:rsidRDefault="003E42EE" w:rsidP="00DF6211">
      <w:pPr>
        <w:rPr>
          <w:color w:val="000000" w:themeColor="text1"/>
          <w:sz w:val="48"/>
          <w:szCs w:val="48"/>
        </w:rPr>
      </w:pPr>
      <w:r w:rsidRPr="00D47DAA">
        <w:rPr>
          <w:color w:val="000000" w:themeColor="text1"/>
          <w:sz w:val="48"/>
          <w:szCs w:val="48"/>
        </w:rPr>
        <w:br w:type="page"/>
      </w:r>
    </w:p>
    <w:p w14:paraId="4DECD3E9" w14:textId="780B9837" w:rsidR="00FA3146" w:rsidRPr="00D47DAA" w:rsidRDefault="005D73B5" w:rsidP="00DF6211">
      <w:pPr>
        <w:rPr>
          <w:b/>
          <w:color w:val="000000" w:themeColor="text1"/>
          <w:sz w:val="28"/>
          <w:szCs w:val="28"/>
        </w:rPr>
      </w:pPr>
      <w:r w:rsidRPr="00D47DAA">
        <w:rPr>
          <w:b/>
          <w:color w:val="000000" w:themeColor="text1"/>
          <w:sz w:val="28"/>
          <w:szCs w:val="28"/>
        </w:rPr>
        <w:lastRenderedPageBreak/>
        <w:t>References</w:t>
      </w:r>
    </w:p>
    <w:p w14:paraId="75ABB882" w14:textId="77777777" w:rsidR="00B24661" w:rsidRPr="00D47DAA" w:rsidRDefault="00B24661" w:rsidP="00DF6211">
      <w:pPr>
        <w:rPr>
          <w:color w:val="000000" w:themeColor="text1"/>
        </w:rPr>
      </w:pPr>
    </w:p>
    <w:p w14:paraId="43FAD762" w14:textId="484DC119" w:rsidR="00DF73A4" w:rsidRPr="00D47DAA" w:rsidRDefault="00DF73A4" w:rsidP="00DF6211">
      <w:pPr>
        <w:rPr>
          <w:color w:val="000000" w:themeColor="text1"/>
        </w:rPr>
      </w:pPr>
      <w:r w:rsidRPr="00D47DAA">
        <w:rPr>
          <w:i/>
          <w:color w:val="000000" w:themeColor="text1"/>
        </w:rPr>
        <w:t>Academic Ranking of World Universities</w:t>
      </w:r>
      <w:r w:rsidR="00762FE6" w:rsidRPr="00D47DAA">
        <w:rPr>
          <w:color w:val="000000" w:themeColor="text1"/>
        </w:rPr>
        <w:t>, ARWU (2016</w:t>
      </w:r>
      <w:r w:rsidRPr="00D47DAA">
        <w:rPr>
          <w:color w:val="000000" w:themeColor="text1"/>
        </w:rPr>
        <w:t>). http://www.shanghairanking.co</w:t>
      </w:r>
      <w:r w:rsidR="00762FE6" w:rsidRPr="00D47DAA">
        <w:rPr>
          <w:color w:val="000000" w:themeColor="text1"/>
        </w:rPr>
        <w:t>m/World-University-Rankings-2016</w:t>
      </w:r>
      <w:r w:rsidRPr="00D47DAA">
        <w:rPr>
          <w:color w:val="000000" w:themeColor="text1"/>
        </w:rPr>
        <w:t>/USA.html</w:t>
      </w:r>
    </w:p>
    <w:p w14:paraId="09259CA7" w14:textId="77777777" w:rsidR="00DF73A4" w:rsidRPr="00D47DAA" w:rsidRDefault="00DF73A4" w:rsidP="00DF6211">
      <w:pPr>
        <w:rPr>
          <w:color w:val="000000" w:themeColor="text1"/>
        </w:rPr>
      </w:pPr>
    </w:p>
    <w:p w14:paraId="7F6B77EB" w14:textId="7A35FFC1" w:rsidR="000D6C99" w:rsidRPr="00D47DAA" w:rsidRDefault="000D6C99" w:rsidP="00DF6211">
      <w:pPr>
        <w:rPr>
          <w:i/>
          <w:color w:val="000000" w:themeColor="text1"/>
        </w:rPr>
      </w:pPr>
      <w:proofErr w:type="spellStart"/>
      <w:r w:rsidRPr="00D47DAA">
        <w:rPr>
          <w:color w:val="000000" w:themeColor="text1"/>
        </w:rPr>
        <w:t>Amadae</w:t>
      </w:r>
      <w:proofErr w:type="spellEnd"/>
      <w:r w:rsidRPr="00D47DAA">
        <w:rPr>
          <w:color w:val="000000" w:themeColor="text1"/>
        </w:rPr>
        <w:t xml:space="preserve">, S. M. (2003). </w:t>
      </w:r>
      <w:r w:rsidR="00403ABA" w:rsidRPr="00D47DAA">
        <w:rPr>
          <w:i/>
          <w:color w:val="000000" w:themeColor="text1"/>
        </w:rPr>
        <w:t>Rationalis</w:t>
      </w:r>
      <w:r w:rsidRPr="00D47DAA">
        <w:rPr>
          <w:i/>
          <w:color w:val="000000" w:themeColor="text1"/>
        </w:rPr>
        <w:t xml:space="preserve">ing </w:t>
      </w:r>
      <w:r w:rsidR="007404B0" w:rsidRPr="00D47DAA">
        <w:rPr>
          <w:i/>
          <w:color w:val="000000" w:themeColor="text1"/>
        </w:rPr>
        <w:t>c</w:t>
      </w:r>
      <w:r w:rsidRPr="00D47DAA">
        <w:rPr>
          <w:i/>
          <w:color w:val="000000" w:themeColor="text1"/>
        </w:rPr>
        <w:t>api</w:t>
      </w:r>
      <w:r w:rsidR="007404B0" w:rsidRPr="00D47DAA">
        <w:rPr>
          <w:i/>
          <w:color w:val="000000" w:themeColor="text1"/>
        </w:rPr>
        <w:t>talist d</w:t>
      </w:r>
      <w:r w:rsidRPr="00D47DAA">
        <w:rPr>
          <w:i/>
          <w:color w:val="000000" w:themeColor="text1"/>
        </w:rPr>
        <w:t>emocracy: The Cold-War origins of rational choice liberalism.</w:t>
      </w:r>
      <w:r w:rsidRPr="00D47DAA">
        <w:rPr>
          <w:color w:val="000000" w:themeColor="text1"/>
        </w:rPr>
        <w:t xml:space="preserve"> Chicago: University of Chicago Press.</w:t>
      </w:r>
    </w:p>
    <w:p w14:paraId="58E472CC" w14:textId="77777777" w:rsidR="000D6C99" w:rsidRPr="00D47DAA" w:rsidRDefault="000D6C99" w:rsidP="00DF6211">
      <w:pPr>
        <w:rPr>
          <w:color w:val="000000" w:themeColor="text1"/>
        </w:rPr>
      </w:pPr>
    </w:p>
    <w:p w14:paraId="4F14E2D6" w14:textId="40087FE6" w:rsidR="00967935" w:rsidRPr="00D47DAA" w:rsidRDefault="00967935" w:rsidP="00DF6211">
      <w:pPr>
        <w:pStyle w:val="NormalWeb"/>
        <w:spacing w:before="0" w:beforeAutospacing="0" w:after="0" w:afterAutospacing="0"/>
        <w:rPr>
          <w:rFonts w:ascii="Times New Roman" w:hAnsi="Times New Roman"/>
          <w:color w:val="000000" w:themeColor="text1"/>
          <w:sz w:val="24"/>
          <w:szCs w:val="24"/>
        </w:rPr>
      </w:pPr>
      <w:r w:rsidRPr="00D47DAA">
        <w:rPr>
          <w:rFonts w:ascii="Times New Roman" w:hAnsi="Times New Roman"/>
          <w:color w:val="000000" w:themeColor="text1"/>
          <w:sz w:val="24"/>
          <w:szCs w:val="24"/>
        </w:rPr>
        <w:t xml:space="preserve">Arrow, Kenneth (1963). </w:t>
      </w:r>
      <w:r w:rsidR="007404B0" w:rsidRPr="00D47DAA">
        <w:rPr>
          <w:rFonts w:ascii="Times New Roman" w:hAnsi="Times New Roman"/>
          <w:i/>
          <w:color w:val="000000" w:themeColor="text1"/>
          <w:sz w:val="24"/>
          <w:szCs w:val="24"/>
        </w:rPr>
        <w:t>Social choice and individual v</w:t>
      </w:r>
      <w:r w:rsidRPr="00D47DAA">
        <w:rPr>
          <w:rFonts w:ascii="Times New Roman" w:hAnsi="Times New Roman"/>
          <w:i/>
          <w:color w:val="000000" w:themeColor="text1"/>
          <w:sz w:val="24"/>
          <w:szCs w:val="24"/>
        </w:rPr>
        <w:t>alues</w:t>
      </w:r>
      <w:r w:rsidRPr="00D47DAA">
        <w:rPr>
          <w:rFonts w:ascii="Times New Roman" w:hAnsi="Times New Roman"/>
          <w:color w:val="000000" w:themeColor="text1"/>
          <w:sz w:val="24"/>
          <w:szCs w:val="24"/>
        </w:rPr>
        <w:t>. 2</w:t>
      </w:r>
      <w:r w:rsidRPr="00D47DAA">
        <w:rPr>
          <w:rFonts w:ascii="Times New Roman" w:hAnsi="Times New Roman"/>
          <w:color w:val="000000" w:themeColor="text1"/>
          <w:sz w:val="24"/>
          <w:szCs w:val="24"/>
          <w:vertAlign w:val="superscript"/>
        </w:rPr>
        <w:t>nd</w:t>
      </w:r>
      <w:r w:rsidRPr="00D47DAA">
        <w:rPr>
          <w:rFonts w:ascii="Times New Roman" w:hAnsi="Times New Roman"/>
          <w:color w:val="000000" w:themeColor="text1"/>
          <w:sz w:val="24"/>
          <w:szCs w:val="24"/>
        </w:rPr>
        <w:t xml:space="preserve"> edition. First published 1951. New York: Wiley.</w:t>
      </w:r>
    </w:p>
    <w:p w14:paraId="6F4F06B4" w14:textId="77777777" w:rsidR="00967935" w:rsidRPr="00D47DAA" w:rsidRDefault="00967935" w:rsidP="00DF6211">
      <w:pPr>
        <w:pStyle w:val="NormalWeb"/>
        <w:spacing w:before="0" w:beforeAutospacing="0" w:after="0" w:afterAutospacing="0"/>
        <w:rPr>
          <w:rFonts w:ascii="Times New Roman" w:hAnsi="Times New Roman"/>
          <w:color w:val="000000" w:themeColor="text1"/>
          <w:sz w:val="24"/>
          <w:szCs w:val="24"/>
        </w:rPr>
      </w:pPr>
    </w:p>
    <w:p w14:paraId="5D5667D5" w14:textId="44D3A255" w:rsidR="00011CFC" w:rsidRPr="00D47DAA" w:rsidRDefault="00011CFC" w:rsidP="00DF6211">
      <w:pPr>
        <w:widowControl w:val="0"/>
        <w:autoSpaceDE w:val="0"/>
        <w:autoSpaceDN w:val="0"/>
        <w:adjustRightInd w:val="0"/>
        <w:rPr>
          <w:color w:val="000000" w:themeColor="text1"/>
        </w:rPr>
      </w:pPr>
      <w:proofErr w:type="spellStart"/>
      <w:r w:rsidRPr="00D47DAA">
        <w:rPr>
          <w:color w:val="000000" w:themeColor="text1"/>
        </w:rPr>
        <w:t>Autor</w:t>
      </w:r>
      <w:proofErr w:type="spellEnd"/>
      <w:r w:rsidRPr="00D47DAA">
        <w:rPr>
          <w:color w:val="000000" w:themeColor="text1"/>
        </w:rPr>
        <w:t xml:space="preserve">, David, Katz, Lawrence and Kearney, Melissa (2008). </w:t>
      </w:r>
      <w:r w:rsidRPr="00D47DAA">
        <w:rPr>
          <w:bCs/>
          <w:color w:val="000000" w:themeColor="text1"/>
        </w:rPr>
        <w:t xml:space="preserve">Trends in U.S. wage inequality: Revising the revisionists. </w:t>
      </w:r>
      <w:r w:rsidRPr="00D47DAA">
        <w:rPr>
          <w:i/>
          <w:iCs/>
          <w:color w:val="000000" w:themeColor="text1"/>
        </w:rPr>
        <w:t xml:space="preserve">The Review of Economics and Statistics, </w:t>
      </w:r>
      <w:r w:rsidRPr="00D47DAA">
        <w:rPr>
          <w:color w:val="000000" w:themeColor="text1"/>
        </w:rPr>
        <w:t>90 (2), pp. 300–323.</w:t>
      </w:r>
    </w:p>
    <w:p w14:paraId="0E5B64C8" w14:textId="77777777" w:rsidR="00011CFC" w:rsidRPr="00D47DAA" w:rsidRDefault="00011CFC" w:rsidP="00DF6211">
      <w:pPr>
        <w:widowControl w:val="0"/>
        <w:autoSpaceDE w:val="0"/>
        <w:autoSpaceDN w:val="0"/>
        <w:adjustRightInd w:val="0"/>
        <w:rPr>
          <w:b/>
          <w:color w:val="000000" w:themeColor="text1"/>
        </w:rPr>
      </w:pPr>
    </w:p>
    <w:p w14:paraId="21B3A347" w14:textId="4C0D094A" w:rsidR="00137F55" w:rsidRPr="00D47DAA" w:rsidRDefault="00137F55" w:rsidP="00DF6211">
      <w:pPr>
        <w:widowControl w:val="0"/>
        <w:autoSpaceDE w:val="0"/>
        <w:autoSpaceDN w:val="0"/>
        <w:adjustRightInd w:val="0"/>
        <w:rPr>
          <w:color w:val="000000" w:themeColor="text1"/>
        </w:rPr>
      </w:pPr>
      <w:r w:rsidRPr="00D47DAA">
        <w:rPr>
          <w:color w:val="000000" w:themeColor="text1"/>
        </w:rPr>
        <w:t xml:space="preserve">Babcock, Philip and Marks, Mindy (2011). The falling time cost of college: Evidence from half a century of time use data. </w:t>
      </w:r>
      <w:r w:rsidRPr="00D47DAA">
        <w:rPr>
          <w:i/>
          <w:color w:val="000000" w:themeColor="text1"/>
        </w:rPr>
        <w:t>Review of Economics and Statistics</w:t>
      </w:r>
      <w:r w:rsidRPr="00D47DAA">
        <w:rPr>
          <w:color w:val="000000" w:themeColor="text1"/>
        </w:rPr>
        <w:t>, 93, pp. 468-478.</w:t>
      </w:r>
    </w:p>
    <w:p w14:paraId="1D61CD48" w14:textId="77777777" w:rsidR="00137F55" w:rsidRPr="00D47DAA" w:rsidRDefault="00137F55" w:rsidP="00DF6211">
      <w:pPr>
        <w:widowControl w:val="0"/>
        <w:autoSpaceDE w:val="0"/>
        <w:autoSpaceDN w:val="0"/>
        <w:adjustRightInd w:val="0"/>
        <w:rPr>
          <w:color w:val="000000" w:themeColor="text1"/>
        </w:rPr>
      </w:pPr>
    </w:p>
    <w:p w14:paraId="2FE83BC3" w14:textId="0EF0B7E0" w:rsidR="00DC6CBC" w:rsidRPr="00D47DAA" w:rsidRDefault="00DC6CBC" w:rsidP="00DF6211">
      <w:pPr>
        <w:rPr>
          <w:color w:val="000000" w:themeColor="text1"/>
        </w:rPr>
      </w:pPr>
      <w:r w:rsidRPr="00D47DAA">
        <w:rPr>
          <w:color w:val="000000" w:themeColor="text1"/>
        </w:rPr>
        <w:t>Boliver, V</w:t>
      </w:r>
      <w:r w:rsidR="00F54174" w:rsidRPr="00D47DAA">
        <w:rPr>
          <w:color w:val="000000" w:themeColor="text1"/>
        </w:rPr>
        <w:t>ikki</w:t>
      </w:r>
      <w:r w:rsidRPr="00D47DAA">
        <w:rPr>
          <w:color w:val="000000" w:themeColor="text1"/>
        </w:rPr>
        <w:t xml:space="preserve"> (2013).</w:t>
      </w:r>
      <w:r w:rsidR="005614C4" w:rsidRPr="00D47DAA">
        <w:rPr>
          <w:color w:val="000000" w:themeColor="text1"/>
        </w:rPr>
        <w:t xml:space="preserve"> </w:t>
      </w:r>
      <w:r w:rsidR="005614C4" w:rsidRPr="00D47DAA">
        <w:rPr>
          <w:bCs/>
          <w:color w:val="000000" w:themeColor="text1"/>
        </w:rPr>
        <w:t xml:space="preserve">How fair is access to more prestigious UK universities? </w:t>
      </w:r>
      <w:r w:rsidR="005614C4" w:rsidRPr="00D47DAA">
        <w:rPr>
          <w:i/>
          <w:iCs/>
          <w:color w:val="000000" w:themeColor="text1"/>
        </w:rPr>
        <w:t>The British Journal of Sociology</w:t>
      </w:r>
      <w:r w:rsidR="005614C4" w:rsidRPr="00D47DAA">
        <w:rPr>
          <w:iCs/>
          <w:color w:val="000000" w:themeColor="text1"/>
        </w:rPr>
        <w:t>, 64 (2), pp. 344-364.</w:t>
      </w:r>
    </w:p>
    <w:p w14:paraId="4A2F6DDA" w14:textId="77777777" w:rsidR="00DC6CBC" w:rsidRPr="00D47DAA" w:rsidRDefault="00DC6CBC" w:rsidP="00DF6211">
      <w:pPr>
        <w:rPr>
          <w:color w:val="000000" w:themeColor="text1"/>
        </w:rPr>
      </w:pPr>
    </w:p>
    <w:p w14:paraId="334661E4" w14:textId="0F1856F1" w:rsidR="00E41E3D" w:rsidRPr="00D47DAA" w:rsidRDefault="00E41E3D" w:rsidP="00DF6211">
      <w:pPr>
        <w:rPr>
          <w:color w:val="000000" w:themeColor="text1"/>
        </w:rPr>
      </w:pPr>
      <w:r w:rsidRPr="00D47DAA">
        <w:rPr>
          <w:color w:val="000000" w:themeColor="text1"/>
        </w:rPr>
        <w:t xml:space="preserve">Buchanan, James (1997). </w:t>
      </w:r>
      <w:r w:rsidR="007404B0" w:rsidRPr="00D47DAA">
        <w:rPr>
          <w:i/>
          <w:color w:val="000000" w:themeColor="text1"/>
        </w:rPr>
        <w:t>Post-socialist p</w:t>
      </w:r>
      <w:r w:rsidRPr="00D47DAA">
        <w:rPr>
          <w:i/>
          <w:color w:val="000000" w:themeColor="text1"/>
        </w:rPr>
        <w:t xml:space="preserve">olitical </w:t>
      </w:r>
      <w:r w:rsidR="007404B0" w:rsidRPr="00D47DAA">
        <w:rPr>
          <w:i/>
          <w:color w:val="000000" w:themeColor="text1"/>
        </w:rPr>
        <w:t>e</w:t>
      </w:r>
      <w:r w:rsidRPr="00D47DAA">
        <w:rPr>
          <w:i/>
          <w:color w:val="000000" w:themeColor="text1"/>
        </w:rPr>
        <w:t>conomy</w:t>
      </w:r>
      <w:r w:rsidRPr="00D47DAA">
        <w:rPr>
          <w:color w:val="000000" w:themeColor="text1"/>
        </w:rPr>
        <w:t>. Lyme, Conn.: Edward Elgar.</w:t>
      </w:r>
    </w:p>
    <w:p w14:paraId="2E263395" w14:textId="77777777" w:rsidR="00E41E3D" w:rsidRPr="00D47DAA" w:rsidRDefault="00E41E3D" w:rsidP="00DF6211">
      <w:pPr>
        <w:rPr>
          <w:color w:val="000000" w:themeColor="text1"/>
        </w:rPr>
      </w:pPr>
    </w:p>
    <w:p w14:paraId="47CC4642" w14:textId="5B8E0A63" w:rsidR="007262BB" w:rsidRPr="00D47DAA" w:rsidRDefault="00126104" w:rsidP="00DF6211">
      <w:pPr>
        <w:rPr>
          <w:color w:val="000000" w:themeColor="text1"/>
        </w:rPr>
      </w:pPr>
      <w:r w:rsidRPr="00D47DAA">
        <w:rPr>
          <w:color w:val="000000" w:themeColor="text1"/>
        </w:rPr>
        <w:t xml:space="preserve">California </w:t>
      </w:r>
      <w:r w:rsidR="007262BB" w:rsidRPr="00D47DAA">
        <w:rPr>
          <w:color w:val="000000" w:themeColor="text1"/>
        </w:rPr>
        <w:t xml:space="preserve">State Department of Education (1960). </w:t>
      </w:r>
      <w:r w:rsidR="007262BB" w:rsidRPr="00D47DAA">
        <w:rPr>
          <w:i/>
          <w:color w:val="000000" w:themeColor="text1"/>
        </w:rPr>
        <w:t>A Master Plan for Higher Education in California 1960-1975</w:t>
      </w:r>
      <w:r w:rsidR="007262BB" w:rsidRPr="00D47DAA">
        <w:rPr>
          <w:color w:val="000000" w:themeColor="text1"/>
        </w:rPr>
        <w:t xml:space="preserve">. Sacramento: </w:t>
      </w:r>
      <w:r w:rsidR="0061075B" w:rsidRPr="00D47DAA">
        <w:rPr>
          <w:color w:val="000000" w:themeColor="text1"/>
        </w:rPr>
        <w:t>California State Department of Education.</w:t>
      </w:r>
    </w:p>
    <w:p w14:paraId="3C3D1AB6" w14:textId="77777777" w:rsidR="007262BB" w:rsidRPr="00D47DAA" w:rsidRDefault="007262BB" w:rsidP="00F54174">
      <w:pPr>
        <w:rPr>
          <w:color w:val="000000" w:themeColor="text1"/>
        </w:rPr>
      </w:pPr>
    </w:p>
    <w:p w14:paraId="35F69A6C" w14:textId="02B03064" w:rsidR="0098348E" w:rsidRPr="00D47DAA" w:rsidRDefault="0098348E" w:rsidP="00F54174">
      <w:pPr>
        <w:rPr>
          <w:color w:val="000000" w:themeColor="text1"/>
        </w:rPr>
      </w:pPr>
      <w:r w:rsidRPr="00D47DAA">
        <w:rPr>
          <w:color w:val="000000" w:themeColor="text1"/>
        </w:rPr>
        <w:t>Callan, Patrick (2012). The perils of success. Clark Kerr and the Californian Maste</w:t>
      </w:r>
      <w:r w:rsidR="00C600C5" w:rsidRPr="00D47DAA">
        <w:rPr>
          <w:color w:val="000000" w:themeColor="text1"/>
        </w:rPr>
        <w:t xml:space="preserve">r Plan for Higher Education. </w:t>
      </w:r>
      <w:r w:rsidRPr="00D47DAA">
        <w:rPr>
          <w:color w:val="000000" w:themeColor="text1"/>
        </w:rPr>
        <w:t xml:space="preserve">In Sheldon Rothblatt (ed.), </w:t>
      </w:r>
      <w:r w:rsidRPr="00D47DAA">
        <w:rPr>
          <w:i/>
          <w:color w:val="000000" w:themeColor="text1"/>
        </w:rPr>
        <w:t>Clark Ke</w:t>
      </w:r>
      <w:r w:rsidR="007404B0" w:rsidRPr="00D47DAA">
        <w:rPr>
          <w:i/>
          <w:color w:val="000000" w:themeColor="text1"/>
        </w:rPr>
        <w:t>rr’s world of higher education r</w:t>
      </w:r>
      <w:r w:rsidRPr="00D47DAA">
        <w:rPr>
          <w:i/>
          <w:color w:val="000000" w:themeColor="text1"/>
        </w:rPr>
        <w:t>eaches the 21</w:t>
      </w:r>
      <w:r w:rsidRPr="00D47DAA">
        <w:rPr>
          <w:i/>
          <w:color w:val="000000" w:themeColor="text1"/>
          <w:vertAlign w:val="superscript"/>
        </w:rPr>
        <w:t>st</w:t>
      </w:r>
      <w:r w:rsidR="007404B0" w:rsidRPr="00D47DAA">
        <w:rPr>
          <w:i/>
          <w:color w:val="000000" w:themeColor="text1"/>
        </w:rPr>
        <w:t xml:space="preserve"> c</w:t>
      </w:r>
      <w:r w:rsidRPr="00D47DAA">
        <w:rPr>
          <w:i/>
          <w:color w:val="000000" w:themeColor="text1"/>
        </w:rPr>
        <w:t>entury: Chapters in a special history</w:t>
      </w:r>
      <w:r w:rsidRPr="00D47DAA">
        <w:rPr>
          <w:color w:val="000000" w:themeColor="text1"/>
        </w:rPr>
        <w:t xml:space="preserve"> (pp. 61-84). Dordrecht: Springer.</w:t>
      </w:r>
    </w:p>
    <w:p w14:paraId="508EDF80" w14:textId="77777777" w:rsidR="0098348E" w:rsidRPr="00D47DAA" w:rsidRDefault="0098348E" w:rsidP="00F54174">
      <w:pPr>
        <w:rPr>
          <w:color w:val="000000" w:themeColor="text1"/>
        </w:rPr>
      </w:pPr>
    </w:p>
    <w:p w14:paraId="4044E092" w14:textId="73BD7360" w:rsidR="00F54174" w:rsidRPr="00D47DAA" w:rsidRDefault="00F54174" w:rsidP="00F54174">
      <w:pPr>
        <w:widowControl w:val="0"/>
        <w:autoSpaceDE w:val="0"/>
        <w:autoSpaceDN w:val="0"/>
        <w:adjustRightInd w:val="0"/>
        <w:rPr>
          <w:color w:val="000000" w:themeColor="text1"/>
        </w:rPr>
      </w:pPr>
      <w:proofErr w:type="spellStart"/>
      <w:r w:rsidRPr="00D47DAA">
        <w:rPr>
          <w:rFonts w:eastAsia="MS Gothic"/>
          <w:color w:val="000000" w:themeColor="text1"/>
        </w:rPr>
        <w:t>Corak</w:t>
      </w:r>
      <w:proofErr w:type="spellEnd"/>
      <w:r w:rsidRPr="00D47DAA">
        <w:rPr>
          <w:rFonts w:eastAsia="MS Gothic"/>
          <w:color w:val="000000" w:themeColor="text1"/>
        </w:rPr>
        <w:t xml:space="preserve">, Miles </w:t>
      </w:r>
      <w:r w:rsidRPr="00D47DAA">
        <w:rPr>
          <w:color w:val="000000" w:themeColor="text1"/>
        </w:rPr>
        <w:t xml:space="preserve">(2012). </w:t>
      </w:r>
      <w:r w:rsidRPr="00D47DAA">
        <w:rPr>
          <w:i/>
          <w:color w:val="000000" w:themeColor="text1"/>
        </w:rPr>
        <w:t>Inequality from generation to generation: The United States in comparison</w:t>
      </w:r>
      <w:r w:rsidRPr="00D47DAA">
        <w:rPr>
          <w:color w:val="000000" w:themeColor="text1"/>
        </w:rPr>
        <w:t>.</w:t>
      </w:r>
      <w:r w:rsidRPr="00D47DAA">
        <w:rPr>
          <w:rFonts w:ascii="MS Mincho" w:eastAsia="MS Mincho" w:hAnsi="MS Mincho" w:cs="MS Mincho"/>
          <w:color w:val="000000" w:themeColor="text1"/>
        </w:rPr>
        <w:t> </w:t>
      </w:r>
      <w:r w:rsidRPr="00D47DAA">
        <w:rPr>
          <w:color w:val="000000" w:themeColor="text1"/>
        </w:rPr>
        <w:t>Graduate School of Public and International Affairs, University of Ottawa,</w:t>
      </w:r>
      <w:r w:rsidRPr="00D47DAA">
        <w:rPr>
          <w:rFonts w:ascii="MS Mincho" w:eastAsia="MS Mincho" w:hAnsi="MS Mincho" w:cs="MS Mincho"/>
          <w:color w:val="000000" w:themeColor="text1"/>
        </w:rPr>
        <w:t> </w:t>
      </w:r>
      <w:r w:rsidRPr="00D47DAA">
        <w:rPr>
          <w:color w:val="000000" w:themeColor="text1"/>
        </w:rPr>
        <w:t>Ottawa Canada.</w:t>
      </w:r>
    </w:p>
    <w:p w14:paraId="0FEFC37D" w14:textId="77777777" w:rsidR="00F54174" w:rsidRPr="00D47DAA" w:rsidRDefault="00F54174" w:rsidP="00F54174">
      <w:pPr>
        <w:widowControl w:val="0"/>
        <w:autoSpaceDE w:val="0"/>
        <w:autoSpaceDN w:val="0"/>
        <w:adjustRightInd w:val="0"/>
        <w:rPr>
          <w:color w:val="000000" w:themeColor="text1"/>
        </w:rPr>
      </w:pPr>
    </w:p>
    <w:p w14:paraId="6B88C66D" w14:textId="2D6828BE" w:rsidR="00C028A2" w:rsidRPr="00D47DAA" w:rsidRDefault="00C028A2" w:rsidP="00F54174">
      <w:pPr>
        <w:widowControl w:val="0"/>
        <w:autoSpaceDE w:val="0"/>
        <w:autoSpaceDN w:val="0"/>
        <w:adjustRightInd w:val="0"/>
        <w:rPr>
          <w:color w:val="000000" w:themeColor="text1"/>
        </w:rPr>
      </w:pPr>
      <w:r w:rsidRPr="00D47DAA">
        <w:rPr>
          <w:color w:val="000000" w:themeColor="text1"/>
        </w:rPr>
        <w:t xml:space="preserve">Dorling, Danny (2014). </w:t>
      </w:r>
      <w:r w:rsidRPr="00D47DAA">
        <w:rPr>
          <w:i/>
          <w:color w:val="000000" w:themeColor="text1"/>
        </w:rPr>
        <w:t>Inequality and the 1%.</w:t>
      </w:r>
      <w:r w:rsidRPr="00D47DAA">
        <w:rPr>
          <w:color w:val="000000" w:themeColor="text1"/>
        </w:rPr>
        <w:t xml:space="preserve"> London: Verso.</w:t>
      </w:r>
    </w:p>
    <w:p w14:paraId="79314299" w14:textId="77777777" w:rsidR="00C028A2" w:rsidRPr="00D47DAA" w:rsidRDefault="00C028A2" w:rsidP="00DF6211">
      <w:pPr>
        <w:rPr>
          <w:bCs/>
          <w:color w:val="000000" w:themeColor="text1"/>
        </w:rPr>
      </w:pPr>
    </w:p>
    <w:p w14:paraId="1E01F57E" w14:textId="35B501E8" w:rsidR="008B0FB7" w:rsidRPr="00D47DAA" w:rsidRDefault="008B0FB7" w:rsidP="00DF6211">
      <w:pPr>
        <w:rPr>
          <w:bCs/>
          <w:color w:val="000000" w:themeColor="text1"/>
        </w:rPr>
      </w:pPr>
      <w:r w:rsidRPr="00D47DAA">
        <w:rPr>
          <w:bCs/>
          <w:color w:val="000000" w:themeColor="text1"/>
        </w:rPr>
        <w:t>Douglass, John (2</w:t>
      </w:r>
      <w:r w:rsidR="00DE5FA6" w:rsidRPr="00D47DAA">
        <w:rPr>
          <w:bCs/>
          <w:color w:val="000000" w:themeColor="text1"/>
        </w:rPr>
        <w:t xml:space="preserve">000). </w:t>
      </w:r>
      <w:r w:rsidR="007404B0" w:rsidRPr="00D47DAA">
        <w:rPr>
          <w:bCs/>
          <w:i/>
          <w:color w:val="000000" w:themeColor="text1"/>
        </w:rPr>
        <w:t>The California idea and American higher e</w:t>
      </w:r>
      <w:r w:rsidR="00DE5FA6" w:rsidRPr="00D47DAA">
        <w:rPr>
          <w:bCs/>
          <w:i/>
          <w:color w:val="000000" w:themeColor="text1"/>
        </w:rPr>
        <w:t>ducation: 1850 to the 1960 Master Plan.</w:t>
      </w:r>
      <w:r w:rsidR="00DE5FA6" w:rsidRPr="00D47DAA">
        <w:rPr>
          <w:bCs/>
          <w:color w:val="000000" w:themeColor="text1"/>
        </w:rPr>
        <w:t xml:space="preserve"> Stanford: Stanford University Press.</w:t>
      </w:r>
    </w:p>
    <w:p w14:paraId="4C33920E" w14:textId="77777777" w:rsidR="00DE5FA6" w:rsidRPr="00D47DAA" w:rsidRDefault="00DE5FA6" w:rsidP="00DF6211">
      <w:pPr>
        <w:rPr>
          <w:bCs/>
          <w:color w:val="000000" w:themeColor="text1"/>
        </w:rPr>
      </w:pPr>
    </w:p>
    <w:p w14:paraId="0CB97C3C" w14:textId="09A44D1B" w:rsidR="008925DD" w:rsidRPr="00D47DAA" w:rsidRDefault="0083459D" w:rsidP="00DF6211">
      <w:pPr>
        <w:rPr>
          <w:bCs/>
          <w:color w:val="000000" w:themeColor="text1"/>
        </w:rPr>
      </w:pPr>
      <w:r w:rsidRPr="00D47DAA">
        <w:rPr>
          <w:bCs/>
          <w:color w:val="000000" w:themeColor="text1"/>
        </w:rPr>
        <w:t>Douglass, John (2011</w:t>
      </w:r>
      <w:r w:rsidR="008925DD" w:rsidRPr="00D47DAA">
        <w:rPr>
          <w:bCs/>
          <w:color w:val="000000" w:themeColor="text1"/>
        </w:rPr>
        <w:t xml:space="preserve">). Can we save the college dream? </w:t>
      </w:r>
      <w:r w:rsidR="008925DD" w:rsidRPr="00D47DAA">
        <w:rPr>
          <w:bCs/>
          <w:i/>
          <w:color w:val="000000" w:themeColor="text1"/>
        </w:rPr>
        <w:t>Boom: A Journal of California</w:t>
      </w:r>
      <w:r w:rsidR="008925DD" w:rsidRPr="00D47DAA">
        <w:rPr>
          <w:bCs/>
          <w:color w:val="000000" w:themeColor="text1"/>
        </w:rPr>
        <w:t>, 1 (2), pp. 25-42.</w:t>
      </w:r>
    </w:p>
    <w:p w14:paraId="42DFB541" w14:textId="77777777" w:rsidR="008925DD" w:rsidRPr="00D47DAA" w:rsidRDefault="008925DD" w:rsidP="00DF6211">
      <w:pPr>
        <w:rPr>
          <w:bCs/>
          <w:color w:val="000000" w:themeColor="text1"/>
        </w:rPr>
      </w:pPr>
    </w:p>
    <w:p w14:paraId="1B3965F1" w14:textId="0D34D282" w:rsidR="00DE5FA6" w:rsidRPr="00D47DAA" w:rsidRDefault="00DE5FA6" w:rsidP="00DF6211">
      <w:pPr>
        <w:rPr>
          <w:bCs/>
          <w:color w:val="000000" w:themeColor="text1"/>
        </w:rPr>
      </w:pPr>
      <w:r w:rsidRPr="00D47DAA">
        <w:rPr>
          <w:bCs/>
          <w:color w:val="000000" w:themeColor="text1"/>
        </w:rPr>
        <w:t xml:space="preserve">Douglass, John (2013). </w:t>
      </w:r>
      <w:r w:rsidR="007404B0" w:rsidRPr="00D47DAA">
        <w:rPr>
          <w:bCs/>
          <w:i/>
          <w:color w:val="000000" w:themeColor="text1"/>
        </w:rPr>
        <w:t>To grow or not to g</w:t>
      </w:r>
      <w:r w:rsidRPr="00D47DAA">
        <w:rPr>
          <w:bCs/>
          <w:i/>
          <w:color w:val="000000" w:themeColor="text1"/>
        </w:rPr>
        <w:t xml:space="preserve">row? </w:t>
      </w:r>
      <w:r w:rsidR="0015319A" w:rsidRPr="00D47DAA">
        <w:rPr>
          <w:bCs/>
          <w:i/>
          <w:color w:val="000000" w:themeColor="text1"/>
        </w:rPr>
        <w:t>A post-great recession synopsis of the political, financial, and social contract challenges facing the University of California.</w:t>
      </w:r>
      <w:r w:rsidR="0015319A" w:rsidRPr="00D47DAA">
        <w:rPr>
          <w:bCs/>
          <w:color w:val="000000" w:themeColor="text1"/>
        </w:rPr>
        <w:t xml:space="preserve"> Research and Occasional Paper CSHE 15.13. Berkeley: </w:t>
      </w:r>
      <w:proofErr w:type="spellStart"/>
      <w:r w:rsidR="0015319A" w:rsidRPr="00D47DAA">
        <w:rPr>
          <w:bCs/>
          <w:color w:val="000000" w:themeColor="text1"/>
        </w:rPr>
        <w:t>Center</w:t>
      </w:r>
      <w:proofErr w:type="spellEnd"/>
      <w:r w:rsidR="0015319A" w:rsidRPr="00D47DAA">
        <w:rPr>
          <w:bCs/>
          <w:color w:val="000000" w:themeColor="text1"/>
        </w:rPr>
        <w:t xml:space="preserve"> for Studies in Higher Education, University of California Berkeley.</w:t>
      </w:r>
    </w:p>
    <w:p w14:paraId="0408948A" w14:textId="77777777" w:rsidR="008B0FB7" w:rsidRPr="00D47DAA" w:rsidRDefault="008B0FB7" w:rsidP="00DF6211">
      <w:pPr>
        <w:rPr>
          <w:bCs/>
          <w:color w:val="000000" w:themeColor="text1"/>
        </w:rPr>
      </w:pPr>
    </w:p>
    <w:p w14:paraId="7D077931" w14:textId="1C088581" w:rsidR="00E758F5" w:rsidRPr="00D47DAA" w:rsidRDefault="00E758F5" w:rsidP="00DF6211">
      <w:pPr>
        <w:rPr>
          <w:color w:val="000000" w:themeColor="text1"/>
        </w:rPr>
      </w:pPr>
      <w:r w:rsidRPr="00D47DAA">
        <w:rPr>
          <w:color w:val="000000" w:themeColor="text1"/>
        </w:rPr>
        <w:t xml:space="preserve">Hansen, Hal (2011). Rethinking certification theory and the educational development of the United States and Germany. </w:t>
      </w:r>
      <w:r w:rsidRPr="00D47DAA">
        <w:rPr>
          <w:i/>
          <w:color w:val="000000" w:themeColor="text1"/>
        </w:rPr>
        <w:t>Research in Social Stratification and Mobility</w:t>
      </w:r>
      <w:r w:rsidRPr="00D47DAA">
        <w:rPr>
          <w:color w:val="000000" w:themeColor="text1"/>
        </w:rPr>
        <w:t xml:space="preserve"> 29, pp. 31–55.</w:t>
      </w:r>
    </w:p>
    <w:p w14:paraId="22C15805" w14:textId="77777777" w:rsidR="003A7E02" w:rsidRPr="00D47DAA" w:rsidRDefault="003A7E02" w:rsidP="00DF6211">
      <w:pPr>
        <w:rPr>
          <w:color w:val="000000" w:themeColor="text1"/>
        </w:rPr>
      </w:pPr>
    </w:p>
    <w:p w14:paraId="6A6AFA47" w14:textId="3A5CB0D1" w:rsidR="002A1570" w:rsidRPr="00D47DAA" w:rsidRDefault="00D3618F" w:rsidP="00DF6211">
      <w:pPr>
        <w:rPr>
          <w:color w:val="000000" w:themeColor="text1"/>
        </w:rPr>
      </w:pPr>
      <w:r w:rsidRPr="00D47DAA">
        <w:rPr>
          <w:color w:val="000000" w:themeColor="text1"/>
        </w:rPr>
        <w:t>Kerr, Clark (2001a</w:t>
      </w:r>
      <w:r w:rsidR="002A1570" w:rsidRPr="00D47DAA">
        <w:rPr>
          <w:color w:val="000000" w:themeColor="text1"/>
        </w:rPr>
        <w:t xml:space="preserve">). </w:t>
      </w:r>
      <w:r w:rsidR="007404B0" w:rsidRPr="00D47DAA">
        <w:rPr>
          <w:i/>
          <w:color w:val="000000" w:themeColor="text1"/>
        </w:rPr>
        <w:t>The uses of the u</w:t>
      </w:r>
      <w:r w:rsidR="002A1570" w:rsidRPr="00D47DAA">
        <w:rPr>
          <w:i/>
          <w:color w:val="000000" w:themeColor="text1"/>
        </w:rPr>
        <w:t>niversity</w:t>
      </w:r>
      <w:r w:rsidR="002A1570" w:rsidRPr="00D47DAA">
        <w:rPr>
          <w:color w:val="000000" w:themeColor="text1"/>
        </w:rPr>
        <w:t xml:space="preserve">. </w:t>
      </w:r>
      <w:r w:rsidR="007404B0" w:rsidRPr="00D47DAA">
        <w:rPr>
          <w:color w:val="000000" w:themeColor="text1"/>
        </w:rPr>
        <w:t>(</w:t>
      </w:r>
      <w:r w:rsidR="002A1570" w:rsidRPr="00D47DAA">
        <w:rPr>
          <w:color w:val="000000" w:themeColor="text1"/>
        </w:rPr>
        <w:t>5</w:t>
      </w:r>
      <w:r w:rsidR="002A1570" w:rsidRPr="00D47DAA">
        <w:rPr>
          <w:color w:val="000000" w:themeColor="text1"/>
          <w:vertAlign w:val="superscript"/>
        </w:rPr>
        <w:t>th</w:t>
      </w:r>
      <w:r w:rsidR="002A1570" w:rsidRPr="00D47DAA">
        <w:rPr>
          <w:color w:val="000000" w:themeColor="text1"/>
        </w:rPr>
        <w:t xml:space="preserve"> </w:t>
      </w:r>
      <w:proofErr w:type="spellStart"/>
      <w:r w:rsidR="002A1570" w:rsidRPr="00D47DAA">
        <w:rPr>
          <w:color w:val="000000" w:themeColor="text1"/>
        </w:rPr>
        <w:t>Edn</w:t>
      </w:r>
      <w:proofErr w:type="spellEnd"/>
      <w:r w:rsidR="002A1570" w:rsidRPr="00D47DAA">
        <w:rPr>
          <w:color w:val="000000" w:themeColor="text1"/>
        </w:rPr>
        <w:t>.</w:t>
      </w:r>
      <w:r w:rsidR="007404B0" w:rsidRPr="00D47DAA">
        <w:rPr>
          <w:color w:val="000000" w:themeColor="text1"/>
        </w:rPr>
        <w:t>).</w:t>
      </w:r>
      <w:r w:rsidR="002A1570" w:rsidRPr="00D47DAA">
        <w:rPr>
          <w:color w:val="000000" w:themeColor="text1"/>
        </w:rPr>
        <w:t xml:space="preserve"> Cambridge, MA: Harvard University Press. </w:t>
      </w:r>
    </w:p>
    <w:p w14:paraId="25106DAE" w14:textId="77777777" w:rsidR="002A1570" w:rsidRPr="00D47DAA" w:rsidRDefault="002A1570" w:rsidP="00DF6211">
      <w:pPr>
        <w:rPr>
          <w:color w:val="000000" w:themeColor="text1"/>
        </w:rPr>
      </w:pPr>
    </w:p>
    <w:p w14:paraId="4052E3CD" w14:textId="297407CD" w:rsidR="00110373" w:rsidRPr="00D47DAA" w:rsidRDefault="00110373" w:rsidP="00DF6211">
      <w:pPr>
        <w:rPr>
          <w:color w:val="000000" w:themeColor="text1"/>
        </w:rPr>
      </w:pPr>
      <w:r w:rsidRPr="00D47DAA">
        <w:rPr>
          <w:color w:val="000000" w:themeColor="text1"/>
        </w:rPr>
        <w:t xml:space="preserve">Kerr, Clark (2001b). </w:t>
      </w:r>
      <w:r w:rsidRPr="00D47DAA">
        <w:rPr>
          <w:i/>
          <w:color w:val="000000" w:themeColor="text1"/>
        </w:rPr>
        <w:t xml:space="preserve">The </w:t>
      </w:r>
      <w:r w:rsidR="007404B0" w:rsidRPr="00D47DAA">
        <w:rPr>
          <w:i/>
          <w:color w:val="000000" w:themeColor="text1"/>
        </w:rPr>
        <w:t>g</w:t>
      </w:r>
      <w:r w:rsidRPr="00D47DAA">
        <w:rPr>
          <w:i/>
          <w:color w:val="000000" w:themeColor="text1"/>
        </w:rPr>
        <w:t xml:space="preserve">old and the </w:t>
      </w:r>
      <w:r w:rsidR="007404B0" w:rsidRPr="00D47DAA">
        <w:rPr>
          <w:i/>
          <w:color w:val="000000" w:themeColor="text1"/>
        </w:rPr>
        <w:t>b</w:t>
      </w:r>
      <w:r w:rsidRPr="00D47DAA">
        <w:rPr>
          <w:i/>
          <w:color w:val="000000" w:themeColor="text1"/>
        </w:rPr>
        <w:t>lue: A personal memoir of the University of California, 1949-1967. Volume 1: Academi</w:t>
      </w:r>
      <w:r w:rsidR="007404B0" w:rsidRPr="00D47DAA">
        <w:rPr>
          <w:i/>
          <w:color w:val="000000" w:themeColor="text1"/>
        </w:rPr>
        <w:t>c t</w:t>
      </w:r>
      <w:r w:rsidRPr="00D47DAA">
        <w:rPr>
          <w:i/>
          <w:color w:val="000000" w:themeColor="text1"/>
        </w:rPr>
        <w:t>riumphs</w:t>
      </w:r>
      <w:r w:rsidRPr="00D47DAA">
        <w:rPr>
          <w:color w:val="000000" w:themeColor="text1"/>
        </w:rPr>
        <w:t>. Berkeley: University of California Press.</w:t>
      </w:r>
    </w:p>
    <w:p w14:paraId="46F9F83A" w14:textId="77777777" w:rsidR="00110373" w:rsidRPr="00D47DAA" w:rsidRDefault="00110373" w:rsidP="00DF6211">
      <w:pPr>
        <w:rPr>
          <w:color w:val="000000" w:themeColor="text1"/>
        </w:rPr>
      </w:pPr>
    </w:p>
    <w:p w14:paraId="0BF9B542" w14:textId="16B2401E" w:rsidR="00F43B6E" w:rsidRPr="00D47DAA" w:rsidRDefault="00F43B6E" w:rsidP="00DF6211">
      <w:pPr>
        <w:rPr>
          <w:color w:val="000000" w:themeColor="text1"/>
        </w:rPr>
      </w:pPr>
      <w:proofErr w:type="spellStart"/>
      <w:r w:rsidRPr="00D47DAA">
        <w:rPr>
          <w:color w:val="000000" w:themeColor="text1"/>
        </w:rPr>
        <w:t>Lukes</w:t>
      </w:r>
      <w:proofErr w:type="spellEnd"/>
      <w:r w:rsidRPr="00D47DAA">
        <w:rPr>
          <w:color w:val="000000" w:themeColor="text1"/>
        </w:rPr>
        <w:t xml:space="preserve">, Steven (1973). </w:t>
      </w:r>
      <w:r w:rsidRPr="00D47DAA">
        <w:rPr>
          <w:i/>
          <w:color w:val="000000" w:themeColor="text1"/>
        </w:rPr>
        <w:t>Individualism</w:t>
      </w:r>
      <w:r w:rsidRPr="00D47DAA">
        <w:rPr>
          <w:color w:val="000000" w:themeColor="text1"/>
        </w:rPr>
        <w:t>. Oxford: Basil Blackwell.</w:t>
      </w:r>
    </w:p>
    <w:p w14:paraId="05AB6DA9" w14:textId="77777777" w:rsidR="00F43B6E" w:rsidRPr="00D47DAA" w:rsidRDefault="00F43B6E" w:rsidP="00DF6211">
      <w:pPr>
        <w:rPr>
          <w:color w:val="000000" w:themeColor="text1"/>
        </w:rPr>
      </w:pPr>
    </w:p>
    <w:p w14:paraId="65CAF856" w14:textId="560EEA45" w:rsidR="002C3F91" w:rsidRPr="00D47DAA" w:rsidRDefault="002C3F91" w:rsidP="00DF6211">
      <w:pPr>
        <w:rPr>
          <w:bCs/>
          <w:iCs/>
          <w:color w:val="000000" w:themeColor="text1"/>
        </w:rPr>
      </w:pPr>
      <w:r w:rsidRPr="00D47DAA">
        <w:rPr>
          <w:bCs/>
          <w:iCs/>
          <w:color w:val="000000" w:themeColor="text1"/>
        </w:rPr>
        <w:t>Marginson, S</w:t>
      </w:r>
      <w:r w:rsidR="00F54174" w:rsidRPr="00D47DAA">
        <w:rPr>
          <w:bCs/>
          <w:iCs/>
          <w:color w:val="000000" w:themeColor="text1"/>
        </w:rPr>
        <w:t>imon</w:t>
      </w:r>
      <w:r w:rsidRPr="00D47DAA">
        <w:rPr>
          <w:bCs/>
          <w:iCs/>
          <w:color w:val="000000" w:themeColor="text1"/>
        </w:rPr>
        <w:t xml:space="preserve"> (2016a). </w:t>
      </w:r>
      <w:r w:rsidR="00A800AA" w:rsidRPr="00D47DAA">
        <w:rPr>
          <w:bCs/>
          <w:iCs/>
          <w:color w:val="000000" w:themeColor="text1"/>
        </w:rPr>
        <w:t xml:space="preserve">High-participation systems of higher education. </w:t>
      </w:r>
      <w:r w:rsidR="00A800AA" w:rsidRPr="00D47DAA">
        <w:rPr>
          <w:rStyle w:val="Italics"/>
          <w:color w:val="000000" w:themeColor="text1"/>
        </w:rPr>
        <w:t>Journal of Higher Education</w:t>
      </w:r>
      <w:r w:rsidR="00A800AA" w:rsidRPr="00D47DAA">
        <w:rPr>
          <w:bCs/>
          <w:iCs/>
          <w:color w:val="000000" w:themeColor="text1"/>
        </w:rPr>
        <w:t>, 87 (2), 243–70.</w:t>
      </w:r>
    </w:p>
    <w:p w14:paraId="1633B28A" w14:textId="77777777" w:rsidR="002C3F91" w:rsidRPr="00D47DAA" w:rsidRDefault="002C3F91" w:rsidP="00DF6211">
      <w:pPr>
        <w:rPr>
          <w:bCs/>
          <w:iCs/>
          <w:color w:val="000000" w:themeColor="text1"/>
        </w:rPr>
      </w:pPr>
    </w:p>
    <w:p w14:paraId="40F58C84" w14:textId="0E7B9CB9" w:rsidR="006B25E0" w:rsidRPr="00D47DAA" w:rsidRDefault="006B25E0" w:rsidP="00DF6211">
      <w:pPr>
        <w:rPr>
          <w:bCs/>
          <w:iCs/>
          <w:color w:val="000000" w:themeColor="text1"/>
        </w:rPr>
      </w:pPr>
      <w:r w:rsidRPr="00D47DAA">
        <w:rPr>
          <w:bCs/>
          <w:iCs/>
          <w:color w:val="000000" w:themeColor="text1"/>
        </w:rPr>
        <w:t>Marginson, S</w:t>
      </w:r>
      <w:r w:rsidR="00F54174" w:rsidRPr="00D47DAA">
        <w:rPr>
          <w:bCs/>
          <w:iCs/>
          <w:color w:val="000000" w:themeColor="text1"/>
        </w:rPr>
        <w:t>imon</w:t>
      </w:r>
      <w:r w:rsidRPr="00D47DAA">
        <w:rPr>
          <w:bCs/>
          <w:iCs/>
          <w:color w:val="000000" w:themeColor="text1"/>
        </w:rPr>
        <w:t xml:space="preserve"> (2016</w:t>
      </w:r>
      <w:r w:rsidR="002C3F91" w:rsidRPr="00D47DAA">
        <w:rPr>
          <w:bCs/>
          <w:iCs/>
          <w:color w:val="000000" w:themeColor="text1"/>
        </w:rPr>
        <w:t>b</w:t>
      </w:r>
      <w:r w:rsidRPr="00D47DAA">
        <w:rPr>
          <w:bCs/>
          <w:iCs/>
          <w:color w:val="000000" w:themeColor="text1"/>
        </w:rPr>
        <w:t xml:space="preserve">). </w:t>
      </w:r>
      <w:r w:rsidRPr="00D47DAA">
        <w:rPr>
          <w:bCs/>
          <w:i/>
          <w:iCs/>
          <w:color w:val="000000" w:themeColor="text1"/>
        </w:rPr>
        <w:t xml:space="preserve">Higher </w:t>
      </w:r>
      <w:r w:rsidR="00A800AA" w:rsidRPr="00D47DAA">
        <w:rPr>
          <w:bCs/>
          <w:i/>
          <w:iCs/>
          <w:color w:val="000000" w:themeColor="text1"/>
        </w:rPr>
        <w:t>e</w:t>
      </w:r>
      <w:r w:rsidRPr="00D47DAA">
        <w:rPr>
          <w:bCs/>
          <w:i/>
          <w:iCs/>
          <w:color w:val="000000" w:themeColor="text1"/>
        </w:rPr>
        <w:t xml:space="preserve">ducation and the </w:t>
      </w:r>
      <w:r w:rsidR="00A800AA" w:rsidRPr="00D47DAA">
        <w:rPr>
          <w:bCs/>
          <w:i/>
          <w:iCs/>
          <w:color w:val="000000" w:themeColor="text1"/>
        </w:rPr>
        <w:t>c</w:t>
      </w:r>
      <w:r w:rsidRPr="00D47DAA">
        <w:rPr>
          <w:bCs/>
          <w:i/>
          <w:iCs/>
          <w:color w:val="000000" w:themeColor="text1"/>
        </w:rPr>
        <w:t xml:space="preserve">ommon </w:t>
      </w:r>
      <w:r w:rsidR="00A800AA" w:rsidRPr="00D47DAA">
        <w:rPr>
          <w:bCs/>
          <w:i/>
          <w:iCs/>
          <w:color w:val="000000" w:themeColor="text1"/>
        </w:rPr>
        <w:t>g</w:t>
      </w:r>
      <w:r w:rsidRPr="00D47DAA">
        <w:rPr>
          <w:bCs/>
          <w:i/>
          <w:iCs/>
          <w:color w:val="000000" w:themeColor="text1"/>
        </w:rPr>
        <w:t>ood</w:t>
      </w:r>
      <w:r w:rsidRPr="00D47DAA">
        <w:rPr>
          <w:bCs/>
          <w:iCs/>
          <w:color w:val="000000" w:themeColor="text1"/>
        </w:rPr>
        <w:t>. Melbourne: Melbourne University P</w:t>
      </w:r>
      <w:r w:rsidR="00A800AA" w:rsidRPr="00D47DAA">
        <w:rPr>
          <w:bCs/>
          <w:iCs/>
          <w:color w:val="000000" w:themeColor="text1"/>
        </w:rPr>
        <w:t>ublishing</w:t>
      </w:r>
      <w:r w:rsidRPr="00D47DAA">
        <w:rPr>
          <w:bCs/>
          <w:iCs/>
          <w:color w:val="000000" w:themeColor="text1"/>
        </w:rPr>
        <w:t>.</w:t>
      </w:r>
    </w:p>
    <w:p w14:paraId="08DF3FC5" w14:textId="77777777" w:rsidR="006B25E0" w:rsidRPr="00D47DAA" w:rsidRDefault="006B25E0" w:rsidP="00DF6211">
      <w:pPr>
        <w:rPr>
          <w:bCs/>
          <w:iCs/>
          <w:color w:val="000000" w:themeColor="text1"/>
        </w:rPr>
      </w:pPr>
    </w:p>
    <w:p w14:paraId="3C385290" w14:textId="37726247" w:rsidR="00A60E50" w:rsidRPr="00D47DAA" w:rsidRDefault="00A60E50" w:rsidP="00DF6211">
      <w:pPr>
        <w:rPr>
          <w:color w:val="000000" w:themeColor="text1"/>
        </w:rPr>
      </w:pPr>
      <w:proofErr w:type="spellStart"/>
      <w:r w:rsidRPr="00D47DAA">
        <w:rPr>
          <w:color w:val="000000" w:themeColor="text1"/>
        </w:rPr>
        <w:t>Mettler</w:t>
      </w:r>
      <w:proofErr w:type="spellEnd"/>
      <w:r w:rsidRPr="00D47DAA">
        <w:rPr>
          <w:color w:val="000000" w:themeColor="text1"/>
        </w:rPr>
        <w:t xml:space="preserve">, Suzanne (2014). </w:t>
      </w:r>
      <w:r w:rsidR="009B61CA" w:rsidRPr="00D47DAA">
        <w:rPr>
          <w:i/>
          <w:color w:val="000000" w:themeColor="text1"/>
        </w:rPr>
        <w:t>Degrees of i</w:t>
      </w:r>
      <w:r w:rsidRPr="00D47DAA">
        <w:rPr>
          <w:i/>
          <w:color w:val="000000" w:themeColor="text1"/>
        </w:rPr>
        <w:t>nequality: How the politics of higher education sabotaged the American dream.</w:t>
      </w:r>
      <w:r w:rsidRPr="00D47DAA">
        <w:rPr>
          <w:color w:val="000000" w:themeColor="text1"/>
        </w:rPr>
        <w:t xml:space="preserve"> New York: Basic Books.</w:t>
      </w:r>
    </w:p>
    <w:p w14:paraId="57C436BA" w14:textId="77777777" w:rsidR="00A60E50" w:rsidRPr="00D47DAA" w:rsidRDefault="00A60E50" w:rsidP="00DF6211">
      <w:pPr>
        <w:rPr>
          <w:color w:val="000000" w:themeColor="text1"/>
        </w:rPr>
      </w:pPr>
    </w:p>
    <w:p w14:paraId="182D9DCB" w14:textId="77767DA9" w:rsidR="00011CFC" w:rsidRPr="00D47DAA" w:rsidRDefault="00011CFC" w:rsidP="00DF6211">
      <w:pPr>
        <w:rPr>
          <w:color w:val="000000" w:themeColor="text1"/>
        </w:rPr>
      </w:pPr>
      <w:proofErr w:type="spellStart"/>
      <w:r w:rsidRPr="00D47DAA">
        <w:rPr>
          <w:color w:val="000000" w:themeColor="text1"/>
        </w:rPr>
        <w:t>Milanovic</w:t>
      </w:r>
      <w:proofErr w:type="spellEnd"/>
      <w:r w:rsidRPr="00D47DAA">
        <w:rPr>
          <w:color w:val="000000" w:themeColor="text1"/>
        </w:rPr>
        <w:t xml:space="preserve">, </w:t>
      </w:r>
      <w:proofErr w:type="spellStart"/>
      <w:r w:rsidRPr="00D47DAA">
        <w:rPr>
          <w:color w:val="000000" w:themeColor="text1"/>
        </w:rPr>
        <w:t>Branko</w:t>
      </w:r>
      <w:proofErr w:type="spellEnd"/>
      <w:r w:rsidRPr="00D47DAA">
        <w:rPr>
          <w:color w:val="000000" w:themeColor="text1"/>
        </w:rPr>
        <w:t xml:space="preserve"> (2011). More or less. </w:t>
      </w:r>
      <w:r w:rsidRPr="00D47DAA">
        <w:rPr>
          <w:i/>
          <w:color w:val="000000" w:themeColor="text1"/>
        </w:rPr>
        <w:t>Finance and Development</w:t>
      </w:r>
      <w:r w:rsidRPr="00D47DAA">
        <w:rPr>
          <w:color w:val="000000" w:themeColor="text1"/>
        </w:rPr>
        <w:t>, September, pp. 6-11.</w:t>
      </w:r>
    </w:p>
    <w:p w14:paraId="2F3AA00A" w14:textId="77777777" w:rsidR="00011CFC" w:rsidRPr="00D47DAA" w:rsidRDefault="00011CFC" w:rsidP="00DF6211">
      <w:pPr>
        <w:rPr>
          <w:color w:val="000000" w:themeColor="text1"/>
        </w:rPr>
      </w:pPr>
    </w:p>
    <w:p w14:paraId="339DB29E" w14:textId="7E762DFC" w:rsidR="005C52CD" w:rsidRPr="00D47DAA" w:rsidRDefault="005C52CD" w:rsidP="00DF6211">
      <w:pPr>
        <w:rPr>
          <w:color w:val="000000" w:themeColor="text1"/>
        </w:rPr>
      </w:pPr>
      <w:proofErr w:type="spellStart"/>
      <w:r w:rsidRPr="00D47DAA">
        <w:rPr>
          <w:color w:val="000000" w:themeColor="text1"/>
        </w:rPr>
        <w:t>Mouw</w:t>
      </w:r>
      <w:proofErr w:type="spellEnd"/>
      <w:r w:rsidRPr="00D47DAA">
        <w:rPr>
          <w:color w:val="000000" w:themeColor="text1"/>
        </w:rPr>
        <w:t>, Ted</w:t>
      </w:r>
      <w:r w:rsidRPr="00D47DAA">
        <w:rPr>
          <w:color w:val="000000" w:themeColor="text1"/>
          <w:position w:val="13"/>
        </w:rPr>
        <w:t xml:space="preserve"> </w:t>
      </w:r>
      <w:r w:rsidRPr="00D47DAA">
        <w:rPr>
          <w:color w:val="000000" w:themeColor="text1"/>
        </w:rPr>
        <w:t xml:space="preserve">and </w:t>
      </w:r>
      <w:proofErr w:type="spellStart"/>
      <w:r w:rsidRPr="00D47DAA">
        <w:rPr>
          <w:color w:val="000000" w:themeColor="text1"/>
        </w:rPr>
        <w:t>Kalleberg</w:t>
      </w:r>
      <w:proofErr w:type="spellEnd"/>
      <w:r w:rsidRPr="00D47DAA">
        <w:rPr>
          <w:color w:val="000000" w:themeColor="text1"/>
        </w:rPr>
        <w:t xml:space="preserve">, Arne (2010). Occupations and the structure of wage inequality in the United States, 1980s to 2000s. </w:t>
      </w:r>
      <w:r w:rsidRPr="00D47DAA">
        <w:rPr>
          <w:i/>
          <w:color w:val="000000" w:themeColor="text1"/>
        </w:rPr>
        <w:t>American Sociological Review,</w:t>
      </w:r>
      <w:r w:rsidRPr="00D47DAA">
        <w:rPr>
          <w:color w:val="000000" w:themeColor="text1"/>
        </w:rPr>
        <w:t xml:space="preserve"> 75 (3), pp. 402–431.</w:t>
      </w:r>
    </w:p>
    <w:p w14:paraId="2488C3DE" w14:textId="77777777" w:rsidR="005C52CD" w:rsidRPr="00D47DAA" w:rsidRDefault="005C52CD" w:rsidP="00DF6211">
      <w:pPr>
        <w:rPr>
          <w:color w:val="000000" w:themeColor="text1"/>
        </w:rPr>
      </w:pPr>
    </w:p>
    <w:p w14:paraId="1D74644D" w14:textId="2AC8C587" w:rsidR="00AC32E6" w:rsidRPr="00D47DAA" w:rsidRDefault="00AC32E6" w:rsidP="00DF6211">
      <w:pPr>
        <w:rPr>
          <w:color w:val="000000" w:themeColor="text1"/>
        </w:rPr>
      </w:pPr>
      <w:r w:rsidRPr="00D47DAA">
        <w:rPr>
          <w:color w:val="000000" w:themeColor="text1"/>
        </w:rPr>
        <w:t>Na</w:t>
      </w:r>
      <w:r w:rsidR="006507C5" w:rsidRPr="00D47DAA">
        <w:rPr>
          <w:color w:val="000000" w:themeColor="text1"/>
        </w:rPr>
        <w:t>tional Science Foundation, NSF</w:t>
      </w:r>
      <w:r w:rsidRPr="00D47DAA">
        <w:rPr>
          <w:color w:val="000000" w:themeColor="text1"/>
        </w:rPr>
        <w:t xml:space="preserve"> (2014). </w:t>
      </w:r>
      <w:r w:rsidRPr="00D47DAA">
        <w:rPr>
          <w:i/>
          <w:color w:val="000000" w:themeColor="text1"/>
        </w:rPr>
        <w:t>Science and engineering indicators 2014</w:t>
      </w:r>
      <w:r w:rsidRPr="00D47DAA">
        <w:rPr>
          <w:color w:val="000000" w:themeColor="text1"/>
        </w:rPr>
        <w:t>. http://www.nsf.gov/statistics/seind14/</w:t>
      </w:r>
    </w:p>
    <w:p w14:paraId="15389293" w14:textId="77777777" w:rsidR="00AC32E6" w:rsidRPr="00D47DAA" w:rsidRDefault="00AC32E6" w:rsidP="00DF6211">
      <w:pPr>
        <w:rPr>
          <w:color w:val="000000" w:themeColor="text1"/>
        </w:rPr>
      </w:pPr>
    </w:p>
    <w:p w14:paraId="24C1B30B" w14:textId="1BCC4447" w:rsidR="00415387" w:rsidRPr="00D47DAA" w:rsidRDefault="00415387" w:rsidP="00DF6211">
      <w:pPr>
        <w:rPr>
          <w:color w:val="000000" w:themeColor="text1"/>
        </w:rPr>
      </w:pPr>
      <w:r w:rsidRPr="00D47DAA">
        <w:rPr>
          <w:color w:val="000000" w:themeColor="text1"/>
        </w:rPr>
        <w:t>Organisation for Economic Cooperat</w:t>
      </w:r>
      <w:r w:rsidR="006B25E0" w:rsidRPr="00D47DAA">
        <w:rPr>
          <w:color w:val="000000" w:themeColor="text1"/>
        </w:rPr>
        <w:t>ion and Development, OECD (2014</w:t>
      </w:r>
      <w:r w:rsidRPr="00D47DAA">
        <w:rPr>
          <w:color w:val="000000" w:themeColor="text1"/>
        </w:rPr>
        <w:t xml:space="preserve">). </w:t>
      </w:r>
      <w:r w:rsidRPr="00D47DAA">
        <w:rPr>
          <w:i/>
          <w:color w:val="000000" w:themeColor="text1"/>
        </w:rPr>
        <w:t>United States: Tackling high inequalities, creating opportunities for all.</w:t>
      </w:r>
      <w:r w:rsidRPr="00D47DAA">
        <w:rPr>
          <w:color w:val="000000" w:themeColor="text1"/>
        </w:rPr>
        <w:t xml:space="preserve"> Paris: OECD.</w:t>
      </w:r>
    </w:p>
    <w:p w14:paraId="35FE8005" w14:textId="77777777" w:rsidR="00415387" w:rsidRPr="00D47DAA" w:rsidRDefault="00415387" w:rsidP="00DF6211">
      <w:pPr>
        <w:rPr>
          <w:color w:val="000000" w:themeColor="text1"/>
        </w:rPr>
      </w:pPr>
    </w:p>
    <w:p w14:paraId="56C48AF3" w14:textId="4FAF0F7D" w:rsidR="002C073F" w:rsidRPr="00D47DAA" w:rsidRDefault="002C073F" w:rsidP="002C073F">
      <w:pPr>
        <w:spacing w:line="276" w:lineRule="auto"/>
        <w:jc w:val="both"/>
        <w:rPr>
          <w:color w:val="000000" w:themeColor="text1"/>
        </w:rPr>
      </w:pPr>
      <w:r w:rsidRPr="00D47DAA">
        <w:rPr>
          <w:color w:val="000000" w:themeColor="text1"/>
        </w:rPr>
        <w:t>Organisation for Economic Cooperation and Development, OECD (2015). Data on income distribution and poverty. http://stats.oecd.org/Index.aspx?DataSetCode=IDD</w:t>
      </w:r>
    </w:p>
    <w:p w14:paraId="4D136F8F" w14:textId="77777777" w:rsidR="002C073F" w:rsidRPr="00D47DAA" w:rsidRDefault="002C073F" w:rsidP="002C073F">
      <w:pPr>
        <w:rPr>
          <w:color w:val="000000" w:themeColor="text1"/>
        </w:rPr>
      </w:pPr>
    </w:p>
    <w:p w14:paraId="7961568E" w14:textId="06A6E793" w:rsidR="00B16620" w:rsidRPr="00D47DAA" w:rsidRDefault="00B16620" w:rsidP="002C073F">
      <w:pPr>
        <w:rPr>
          <w:color w:val="000000" w:themeColor="text1"/>
        </w:rPr>
      </w:pPr>
      <w:r w:rsidRPr="00D47DAA">
        <w:rPr>
          <w:color w:val="000000" w:themeColor="text1"/>
        </w:rPr>
        <w:t xml:space="preserve">Pelfrey, Patricia (2012). </w:t>
      </w:r>
      <w:r w:rsidR="009B61CA" w:rsidRPr="00D47DAA">
        <w:rPr>
          <w:i/>
          <w:color w:val="000000" w:themeColor="text1"/>
        </w:rPr>
        <w:t>Entrepreneurial p</w:t>
      </w:r>
      <w:r w:rsidRPr="00D47DAA">
        <w:rPr>
          <w:i/>
          <w:color w:val="000000" w:themeColor="text1"/>
        </w:rPr>
        <w:t>resident: Richard Atkinson and the University of California, 1995-2003.</w:t>
      </w:r>
      <w:r w:rsidRPr="00D47DAA">
        <w:rPr>
          <w:color w:val="000000" w:themeColor="text1"/>
        </w:rPr>
        <w:t xml:space="preserve"> Berkeley: University of California Press.</w:t>
      </w:r>
    </w:p>
    <w:p w14:paraId="26426D37" w14:textId="77777777" w:rsidR="00797D53" w:rsidRPr="00D47DAA" w:rsidRDefault="00797D53" w:rsidP="00DF6211">
      <w:pPr>
        <w:rPr>
          <w:color w:val="000000" w:themeColor="text1"/>
        </w:rPr>
      </w:pPr>
    </w:p>
    <w:p w14:paraId="521C4AA5" w14:textId="16C4689E" w:rsidR="00821D84" w:rsidRPr="00D47DAA" w:rsidRDefault="00821D84" w:rsidP="00DF6211">
      <w:pPr>
        <w:widowControl w:val="0"/>
        <w:autoSpaceDE w:val="0"/>
        <w:autoSpaceDN w:val="0"/>
        <w:adjustRightInd w:val="0"/>
        <w:rPr>
          <w:color w:val="000000" w:themeColor="text1"/>
        </w:rPr>
      </w:pPr>
      <w:r w:rsidRPr="00D47DAA">
        <w:rPr>
          <w:color w:val="000000" w:themeColor="text1"/>
        </w:rPr>
        <w:t>The PELL I</w:t>
      </w:r>
      <w:r w:rsidR="009B61CA" w:rsidRPr="00D47DAA">
        <w:rPr>
          <w:color w:val="000000" w:themeColor="text1"/>
        </w:rPr>
        <w:t>nstitute (2015</w:t>
      </w:r>
      <w:r w:rsidR="009B61CA" w:rsidRPr="00D47DAA">
        <w:rPr>
          <w:i/>
          <w:color w:val="000000" w:themeColor="text1"/>
        </w:rPr>
        <w:t>). Indicators of higher education e</w:t>
      </w:r>
      <w:r w:rsidRPr="00D47DAA">
        <w:rPr>
          <w:i/>
          <w:color w:val="000000" w:themeColor="text1"/>
        </w:rPr>
        <w:t>quity in the United States</w:t>
      </w:r>
      <w:r w:rsidRPr="00D47DAA">
        <w:rPr>
          <w:color w:val="000000" w:themeColor="text1"/>
        </w:rPr>
        <w:t xml:space="preserve">. Co-published with </w:t>
      </w:r>
      <w:proofErr w:type="spellStart"/>
      <w:r w:rsidRPr="00D47DAA">
        <w:rPr>
          <w:color w:val="000000" w:themeColor="text1"/>
        </w:rPr>
        <w:t>PennAHEAD</w:t>
      </w:r>
      <w:proofErr w:type="spellEnd"/>
      <w:r w:rsidRPr="00D47DAA">
        <w:rPr>
          <w:color w:val="000000" w:themeColor="text1"/>
        </w:rPr>
        <w:t>, Graduate School of Education, University of Pennsylvania. http://www.pellinstitute.org/downloads/publications-Indicators_of_Higher_Education_Equity_in_the_US_45_Year_Trend_Report.pdf</w:t>
      </w:r>
    </w:p>
    <w:p w14:paraId="7A118739" w14:textId="77777777" w:rsidR="00821D84" w:rsidRPr="00D47DAA" w:rsidRDefault="00821D84" w:rsidP="00DF6211">
      <w:pPr>
        <w:widowControl w:val="0"/>
        <w:autoSpaceDE w:val="0"/>
        <w:autoSpaceDN w:val="0"/>
        <w:adjustRightInd w:val="0"/>
        <w:rPr>
          <w:color w:val="000000" w:themeColor="text1"/>
        </w:rPr>
      </w:pPr>
    </w:p>
    <w:p w14:paraId="4DB4D912" w14:textId="3C572797" w:rsidR="00C028A2" w:rsidRPr="00D47DAA" w:rsidRDefault="00C028A2" w:rsidP="00DF6211">
      <w:pPr>
        <w:widowControl w:val="0"/>
        <w:autoSpaceDE w:val="0"/>
        <w:autoSpaceDN w:val="0"/>
        <w:adjustRightInd w:val="0"/>
        <w:rPr>
          <w:color w:val="000000" w:themeColor="text1"/>
        </w:rPr>
      </w:pPr>
      <w:r w:rsidRPr="00D47DAA">
        <w:rPr>
          <w:color w:val="000000" w:themeColor="text1"/>
        </w:rPr>
        <w:t xml:space="preserve">Piketty, Thomas (2014). </w:t>
      </w:r>
      <w:r w:rsidR="009B61CA" w:rsidRPr="00D47DAA">
        <w:rPr>
          <w:i/>
          <w:color w:val="000000" w:themeColor="text1"/>
        </w:rPr>
        <w:t>Capital in the twenty-first c</w:t>
      </w:r>
      <w:r w:rsidRPr="00D47DAA">
        <w:rPr>
          <w:i/>
          <w:color w:val="000000" w:themeColor="text1"/>
        </w:rPr>
        <w:t>entury</w:t>
      </w:r>
      <w:r w:rsidRPr="00D47DAA">
        <w:rPr>
          <w:color w:val="000000" w:themeColor="text1"/>
        </w:rPr>
        <w:t xml:space="preserve">. Trans. A. </w:t>
      </w:r>
      <w:proofErr w:type="spellStart"/>
      <w:r w:rsidRPr="00D47DAA">
        <w:rPr>
          <w:color w:val="000000" w:themeColor="text1"/>
        </w:rPr>
        <w:t>Goldhammer</w:t>
      </w:r>
      <w:proofErr w:type="spellEnd"/>
      <w:r w:rsidRPr="00D47DAA">
        <w:rPr>
          <w:color w:val="000000" w:themeColor="text1"/>
        </w:rPr>
        <w:t xml:space="preserve">. Cambridge, MA: </w:t>
      </w:r>
      <w:proofErr w:type="spellStart"/>
      <w:r w:rsidRPr="00D47DAA">
        <w:rPr>
          <w:color w:val="000000" w:themeColor="text1"/>
        </w:rPr>
        <w:t>Belknap</w:t>
      </w:r>
      <w:proofErr w:type="spellEnd"/>
      <w:r w:rsidRPr="00D47DAA">
        <w:rPr>
          <w:color w:val="000000" w:themeColor="text1"/>
        </w:rPr>
        <w:t xml:space="preserve"> Harvard University Press </w:t>
      </w:r>
    </w:p>
    <w:p w14:paraId="2FEA1350" w14:textId="77777777" w:rsidR="00C028A2" w:rsidRPr="00D47DAA" w:rsidRDefault="00C028A2" w:rsidP="00DF6211">
      <w:pPr>
        <w:widowControl w:val="0"/>
        <w:autoSpaceDE w:val="0"/>
        <w:autoSpaceDN w:val="0"/>
        <w:adjustRightInd w:val="0"/>
        <w:rPr>
          <w:color w:val="000000" w:themeColor="text1"/>
        </w:rPr>
      </w:pPr>
    </w:p>
    <w:p w14:paraId="1133033E" w14:textId="699803F6" w:rsidR="002C073F" w:rsidRPr="00D47DAA" w:rsidRDefault="00F54174" w:rsidP="002C073F">
      <w:pPr>
        <w:rPr>
          <w:rFonts w:eastAsia="Times New Roman"/>
          <w:color w:val="000000" w:themeColor="text1"/>
        </w:rPr>
      </w:pPr>
      <w:proofErr w:type="spellStart"/>
      <w:r w:rsidRPr="00D47DAA">
        <w:rPr>
          <w:color w:val="000000" w:themeColor="text1"/>
        </w:rPr>
        <w:t>Pusser</w:t>
      </w:r>
      <w:proofErr w:type="spellEnd"/>
      <w:r w:rsidRPr="00D47DAA">
        <w:rPr>
          <w:color w:val="000000" w:themeColor="text1"/>
        </w:rPr>
        <w:t xml:space="preserve">, Brian (2006). </w:t>
      </w:r>
      <w:r w:rsidRPr="00D47DAA">
        <w:rPr>
          <w:i/>
          <w:color w:val="000000" w:themeColor="text1"/>
        </w:rPr>
        <w:t xml:space="preserve">Burning down the house: </w:t>
      </w:r>
      <w:r w:rsidR="002C073F" w:rsidRPr="00D47DAA">
        <w:rPr>
          <w:rFonts w:eastAsia="Times New Roman"/>
          <w:i/>
          <w:color w:val="000000" w:themeColor="text1"/>
          <w:shd w:val="clear" w:color="auto" w:fill="FFFFFF"/>
        </w:rPr>
        <w:t>Politics, governance, and affirmative action at the University of California</w:t>
      </w:r>
      <w:r w:rsidR="002C073F" w:rsidRPr="00D47DAA">
        <w:rPr>
          <w:rFonts w:eastAsia="Times New Roman"/>
          <w:color w:val="000000" w:themeColor="text1"/>
          <w:shd w:val="clear" w:color="auto" w:fill="FFFFFF"/>
        </w:rPr>
        <w:t>. Albany: SUNY Press.</w:t>
      </w:r>
    </w:p>
    <w:p w14:paraId="48FFFE72" w14:textId="77777777" w:rsidR="00F54174" w:rsidRPr="00D47DAA" w:rsidRDefault="00F54174" w:rsidP="00DF6211">
      <w:pPr>
        <w:rPr>
          <w:color w:val="000000" w:themeColor="text1"/>
        </w:rPr>
      </w:pPr>
    </w:p>
    <w:p w14:paraId="3C0E5091" w14:textId="354C3E54" w:rsidR="009D2D59" w:rsidRPr="00D47DAA" w:rsidRDefault="009D2D59" w:rsidP="00DF6211">
      <w:pPr>
        <w:rPr>
          <w:color w:val="000000" w:themeColor="text1"/>
        </w:rPr>
      </w:pPr>
      <w:r w:rsidRPr="00D47DAA">
        <w:rPr>
          <w:color w:val="000000" w:themeColor="text1"/>
        </w:rPr>
        <w:t xml:space="preserve">Rothblatt, Sheldon (2007). </w:t>
      </w:r>
      <w:r w:rsidRPr="00D47DAA">
        <w:rPr>
          <w:i/>
          <w:color w:val="000000" w:themeColor="text1"/>
        </w:rPr>
        <w:t xml:space="preserve">Education’s </w:t>
      </w:r>
      <w:r w:rsidR="009B61CA" w:rsidRPr="00D47DAA">
        <w:rPr>
          <w:i/>
          <w:color w:val="000000" w:themeColor="text1"/>
        </w:rPr>
        <w:t>a</w:t>
      </w:r>
      <w:r w:rsidRPr="00D47DAA">
        <w:rPr>
          <w:i/>
          <w:color w:val="000000" w:themeColor="text1"/>
        </w:rPr>
        <w:t xml:space="preserve">biding </w:t>
      </w:r>
      <w:r w:rsidR="009B61CA" w:rsidRPr="00D47DAA">
        <w:rPr>
          <w:i/>
          <w:color w:val="000000" w:themeColor="text1"/>
        </w:rPr>
        <w:t>m</w:t>
      </w:r>
      <w:r w:rsidRPr="00D47DAA">
        <w:rPr>
          <w:i/>
          <w:color w:val="000000" w:themeColor="text1"/>
        </w:rPr>
        <w:t xml:space="preserve">oral </w:t>
      </w:r>
      <w:r w:rsidR="009B61CA" w:rsidRPr="00D47DAA">
        <w:rPr>
          <w:i/>
          <w:color w:val="000000" w:themeColor="text1"/>
        </w:rPr>
        <w:t>d</w:t>
      </w:r>
      <w:r w:rsidRPr="00D47DAA">
        <w:rPr>
          <w:i/>
          <w:color w:val="000000" w:themeColor="text1"/>
        </w:rPr>
        <w:t>ilemma: Merit and worth in the cross-Atlantic democracies, 1800-2006.</w:t>
      </w:r>
      <w:r w:rsidRPr="00D47DAA">
        <w:rPr>
          <w:color w:val="000000" w:themeColor="text1"/>
        </w:rPr>
        <w:t xml:space="preserve"> Oxford: Symposium Books.</w:t>
      </w:r>
    </w:p>
    <w:p w14:paraId="0C359323" w14:textId="77777777" w:rsidR="009D2D59" w:rsidRPr="00D47DAA" w:rsidRDefault="009D2D59" w:rsidP="00DF6211">
      <w:pPr>
        <w:rPr>
          <w:color w:val="000000" w:themeColor="text1"/>
        </w:rPr>
      </w:pPr>
    </w:p>
    <w:p w14:paraId="155BB83F" w14:textId="41DC4DF2" w:rsidR="00D3618F" w:rsidRPr="00D47DAA" w:rsidRDefault="00D3618F" w:rsidP="00DF6211">
      <w:pPr>
        <w:widowControl w:val="0"/>
        <w:autoSpaceDE w:val="0"/>
        <w:autoSpaceDN w:val="0"/>
        <w:adjustRightInd w:val="0"/>
        <w:rPr>
          <w:color w:val="000000" w:themeColor="text1"/>
        </w:rPr>
      </w:pPr>
      <w:r w:rsidRPr="00D47DAA">
        <w:rPr>
          <w:color w:val="000000" w:themeColor="text1"/>
        </w:rPr>
        <w:lastRenderedPageBreak/>
        <w:t xml:space="preserve">Rothblatt, Sheldon (ed.) (2012). </w:t>
      </w:r>
      <w:r w:rsidRPr="00D47DAA">
        <w:rPr>
          <w:i/>
          <w:color w:val="000000" w:themeColor="text1"/>
        </w:rPr>
        <w:t>Clark Kerr’s world of higher education reaches the 21</w:t>
      </w:r>
      <w:r w:rsidRPr="00D47DAA">
        <w:rPr>
          <w:i/>
          <w:color w:val="000000" w:themeColor="text1"/>
          <w:vertAlign w:val="superscript"/>
        </w:rPr>
        <w:t>st</w:t>
      </w:r>
      <w:r w:rsidRPr="00D47DAA">
        <w:rPr>
          <w:i/>
          <w:color w:val="000000" w:themeColor="text1"/>
        </w:rPr>
        <w:t xml:space="preserve"> century: Chapters in a special history</w:t>
      </w:r>
      <w:r w:rsidRPr="00D47DAA">
        <w:rPr>
          <w:color w:val="000000" w:themeColor="text1"/>
        </w:rPr>
        <w:t xml:space="preserve">. Dordrecht: Springer </w:t>
      </w:r>
    </w:p>
    <w:p w14:paraId="7EA9F558" w14:textId="77777777" w:rsidR="00D3618F" w:rsidRPr="00D47DAA" w:rsidRDefault="00D3618F" w:rsidP="00DF6211">
      <w:pPr>
        <w:widowControl w:val="0"/>
        <w:autoSpaceDE w:val="0"/>
        <w:autoSpaceDN w:val="0"/>
        <w:adjustRightInd w:val="0"/>
        <w:rPr>
          <w:color w:val="000000" w:themeColor="text1"/>
        </w:rPr>
      </w:pPr>
    </w:p>
    <w:p w14:paraId="742F0C36" w14:textId="7AB7F7CA" w:rsidR="00AA1AA2" w:rsidRPr="00D47DAA" w:rsidRDefault="00AA1AA2" w:rsidP="00DF6211">
      <w:pPr>
        <w:widowControl w:val="0"/>
        <w:autoSpaceDE w:val="0"/>
        <w:autoSpaceDN w:val="0"/>
        <w:adjustRightInd w:val="0"/>
        <w:rPr>
          <w:color w:val="000000" w:themeColor="text1"/>
        </w:rPr>
      </w:pPr>
      <w:proofErr w:type="spellStart"/>
      <w:r w:rsidRPr="00D47DAA">
        <w:rPr>
          <w:color w:val="000000" w:themeColor="text1"/>
        </w:rPr>
        <w:t>Saez</w:t>
      </w:r>
      <w:proofErr w:type="spellEnd"/>
      <w:r w:rsidRPr="00D47DAA">
        <w:rPr>
          <w:color w:val="000000" w:themeColor="text1"/>
        </w:rPr>
        <w:t>, Emmanuel (2013). Striking it richer. The evolution of top incomes in the United States. Berkeley: University of California, Berkeley, Department of Economics. http://eml.berkeley.edu//~saez/saez-UStopincomes-2012.pdf</w:t>
      </w:r>
    </w:p>
    <w:p w14:paraId="7B9BF600" w14:textId="77777777" w:rsidR="00AA1AA2" w:rsidRPr="00D47DAA" w:rsidRDefault="00AA1AA2" w:rsidP="00DF6211">
      <w:pPr>
        <w:widowControl w:val="0"/>
        <w:autoSpaceDE w:val="0"/>
        <w:autoSpaceDN w:val="0"/>
        <w:adjustRightInd w:val="0"/>
        <w:rPr>
          <w:color w:val="000000" w:themeColor="text1"/>
        </w:rPr>
      </w:pPr>
    </w:p>
    <w:p w14:paraId="18B4147A" w14:textId="75999B0C" w:rsidR="00CE26BC" w:rsidRPr="00D47DAA" w:rsidRDefault="00CE26BC" w:rsidP="00DF6211">
      <w:pPr>
        <w:rPr>
          <w:color w:val="000000" w:themeColor="text1"/>
        </w:rPr>
      </w:pPr>
      <w:proofErr w:type="spellStart"/>
      <w:r w:rsidRPr="00D47DAA">
        <w:rPr>
          <w:color w:val="000000" w:themeColor="text1"/>
        </w:rPr>
        <w:t>Salmi</w:t>
      </w:r>
      <w:proofErr w:type="spellEnd"/>
      <w:r w:rsidRPr="00D47DAA">
        <w:rPr>
          <w:color w:val="000000" w:themeColor="text1"/>
        </w:rPr>
        <w:t>, J</w:t>
      </w:r>
      <w:r w:rsidR="006507C5" w:rsidRPr="00D47DAA">
        <w:rPr>
          <w:color w:val="000000" w:themeColor="text1"/>
        </w:rPr>
        <w:t>amil</w:t>
      </w:r>
      <w:r w:rsidRPr="00D47DAA">
        <w:rPr>
          <w:color w:val="000000" w:themeColor="text1"/>
        </w:rPr>
        <w:t xml:space="preserve"> (2009). </w:t>
      </w:r>
      <w:r w:rsidRPr="00D47DAA">
        <w:rPr>
          <w:i/>
          <w:iCs/>
          <w:color w:val="000000" w:themeColor="text1"/>
        </w:rPr>
        <w:t xml:space="preserve">The </w:t>
      </w:r>
      <w:r w:rsidR="009B61CA" w:rsidRPr="00D47DAA">
        <w:rPr>
          <w:i/>
          <w:iCs/>
          <w:color w:val="000000" w:themeColor="text1"/>
        </w:rPr>
        <w:t>c</w:t>
      </w:r>
      <w:r w:rsidRPr="00D47DAA">
        <w:rPr>
          <w:i/>
          <w:iCs/>
          <w:color w:val="000000" w:themeColor="text1"/>
        </w:rPr>
        <w:t xml:space="preserve">hallenge of </w:t>
      </w:r>
      <w:r w:rsidR="009B61CA" w:rsidRPr="00D47DAA">
        <w:rPr>
          <w:i/>
          <w:iCs/>
          <w:color w:val="000000" w:themeColor="text1"/>
        </w:rPr>
        <w:t>e</w:t>
      </w:r>
      <w:r w:rsidRPr="00D47DAA">
        <w:rPr>
          <w:i/>
          <w:iCs/>
          <w:color w:val="000000" w:themeColor="text1"/>
        </w:rPr>
        <w:t>stablishing World-Class Universities</w:t>
      </w:r>
      <w:r w:rsidRPr="00D47DAA">
        <w:rPr>
          <w:color w:val="000000" w:themeColor="text1"/>
        </w:rPr>
        <w:t>. Washington: World Bank Publications.</w:t>
      </w:r>
    </w:p>
    <w:p w14:paraId="4F825A9F" w14:textId="77777777" w:rsidR="00CE26BC" w:rsidRPr="00D47DAA" w:rsidRDefault="00CE26BC" w:rsidP="00DF6211">
      <w:pPr>
        <w:widowControl w:val="0"/>
        <w:autoSpaceDE w:val="0"/>
        <w:autoSpaceDN w:val="0"/>
        <w:adjustRightInd w:val="0"/>
        <w:rPr>
          <w:color w:val="000000" w:themeColor="text1"/>
        </w:rPr>
      </w:pPr>
    </w:p>
    <w:p w14:paraId="66F50C1D" w14:textId="721EB8F6" w:rsidR="00F51D37" w:rsidRPr="00D47DAA" w:rsidRDefault="00F51D37" w:rsidP="00DF6211">
      <w:pPr>
        <w:rPr>
          <w:color w:val="000000" w:themeColor="text1"/>
        </w:rPr>
      </w:pPr>
      <w:r w:rsidRPr="00D47DAA">
        <w:rPr>
          <w:color w:val="000000" w:themeColor="text1"/>
        </w:rPr>
        <w:t xml:space="preserve">Stiglitz, Joseph (2013). </w:t>
      </w:r>
      <w:r w:rsidRPr="00D47DAA">
        <w:rPr>
          <w:i/>
          <w:color w:val="000000" w:themeColor="text1"/>
        </w:rPr>
        <w:t xml:space="preserve">The </w:t>
      </w:r>
      <w:r w:rsidR="009B61CA" w:rsidRPr="00D47DAA">
        <w:rPr>
          <w:i/>
          <w:color w:val="000000" w:themeColor="text1"/>
        </w:rPr>
        <w:t>p</w:t>
      </w:r>
      <w:r w:rsidRPr="00D47DAA">
        <w:rPr>
          <w:i/>
          <w:color w:val="000000" w:themeColor="text1"/>
        </w:rPr>
        <w:t xml:space="preserve">rice of </w:t>
      </w:r>
      <w:r w:rsidR="009B61CA" w:rsidRPr="00D47DAA">
        <w:rPr>
          <w:i/>
          <w:color w:val="000000" w:themeColor="text1"/>
        </w:rPr>
        <w:t>i</w:t>
      </w:r>
      <w:r w:rsidRPr="00D47DAA">
        <w:rPr>
          <w:i/>
          <w:color w:val="000000" w:themeColor="text1"/>
        </w:rPr>
        <w:t>nequality</w:t>
      </w:r>
      <w:r w:rsidRPr="00D47DAA">
        <w:rPr>
          <w:color w:val="000000" w:themeColor="text1"/>
        </w:rPr>
        <w:t>. Penguin: London.</w:t>
      </w:r>
    </w:p>
    <w:p w14:paraId="61DE99FC" w14:textId="77777777" w:rsidR="00F51D37" w:rsidRPr="00D47DAA" w:rsidRDefault="00F51D37" w:rsidP="00DF6211">
      <w:pPr>
        <w:rPr>
          <w:color w:val="000000" w:themeColor="text1"/>
        </w:rPr>
      </w:pPr>
    </w:p>
    <w:p w14:paraId="196943B5" w14:textId="13602474" w:rsidR="008915E4" w:rsidRPr="00D47DAA" w:rsidRDefault="008915E4" w:rsidP="00DF6211">
      <w:pPr>
        <w:rPr>
          <w:b/>
          <w:color w:val="000000" w:themeColor="text1"/>
        </w:rPr>
      </w:pPr>
      <w:r w:rsidRPr="00D47DAA">
        <w:rPr>
          <w:color w:val="000000" w:themeColor="text1"/>
        </w:rPr>
        <w:t>United Nations Educatio</w:t>
      </w:r>
      <w:r w:rsidR="00403ABA" w:rsidRPr="00D47DAA">
        <w:rPr>
          <w:color w:val="000000" w:themeColor="text1"/>
        </w:rPr>
        <w:t>nal, Social and Cultural Organis</w:t>
      </w:r>
      <w:r w:rsidR="00D3618F" w:rsidRPr="00D47DAA">
        <w:rPr>
          <w:color w:val="000000" w:themeColor="text1"/>
        </w:rPr>
        <w:t>ation (UNESCO). (2017</w:t>
      </w:r>
      <w:r w:rsidRPr="00D47DAA">
        <w:rPr>
          <w:color w:val="000000" w:themeColor="text1"/>
        </w:rPr>
        <w:t>). UNESCO Institute for Statistics data on education. http://data.uis.unesco.org/.</w:t>
      </w:r>
    </w:p>
    <w:p w14:paraId="765731B8" w14:textId="77777777" w:rsidR="008915E4" w:rsidRPr="00D47DAA" w:rsidRDefault="008915E4" w:rsidP="00DF6211">
      <w:pPr>
        <w:rPr>
          <w:color w:val="000000" w:themeColor="text1"/>
        </w:rPr>
      </w:pPr>
    </w:p>
    <w:p w14:paraId="1B553AC6" w14:textId="706541F1" w:rsidR="00F24B16" w:rsidRPr="00D47DAA" w:rsidRDefault="006B25E0" w:rsidP="00DF6211">
      <w:pPr>
        <w:rPr>
          <w:color w:val="000000" w:themeColor="text1"/>
        </w:rPr>
      </w:pPr>
      <w:r w:rsidRPr="00D47DAA">
        <w:rPr>
          <w:color w:val="000000" w:themeColor="text1"/>
        </w:rPr>
        <w:t>University of Leiden (2017</w:t>
      </w:r>
      <w:r w:rsidR="0026391D" w:rsidRPr="00D47DAA">
        <w:rPr>
          <w:color w:val="000000" w:themeColor="text1"/>
        </w:rPr>
        <w:t xml:space="preserve">). </w:t>
      </w:r>
      <w:r w:rsidRPr="00D47DAA">
        <w:rPr>
          <w:i/>
          <w:color w:val="000000" w:themeColor="text1"/>
        </w:rPr>
        <w:t xml:space="preserve">Leiden </w:t>
      </w:r>
      <w:r w:rsidR="009B61CA" w:rsidRPr="00D47DAA">
        <w:rPr>
          <w:i/>
          <w:color w:val="000000" w:themeColor="text1"/>
        </w:rPr>
        <w:t>r</w:t>
      </w:r>
      <w:r w:rsidRPr="00D47DAA">
        <w:rPr>
          <w:i/>
          <w:color w:val="000000" w:themeColor="text1"/>
        </w:rPr>
        <w:t>anking 2016</w:t>
      </w:r>
      <w:r w:rsidR="0026391D" w:rsidRPr="00D47DAA">
        <w:rPr>
          <w:i/>
          <w:color w:val="000000" w:themeColor="text1"/>
        </w:rPr>
        <w:t>.</w:t>
      </w:r>
      <w:r w:rsidR="0026391D" w:rsidRPr="00D47DAA">
        <w:rPr>
          <w:color w:val="000000" w:themeColor="text1"/>
        </w:rPr>
        <w:t xml:space="preserve"> http://ww</w:t>
      </w:r>
      <w:r w:rsidRPr="00D47DAA">
        <w:rPr>
          <w:color w:val="000000" w:themeColor="text1"/>
        </w:rPr>
        <w:t>w.leidenranking.com/ranking/</w:t>
      </w:r>
    </w:p>
    <w:p w14:paraId="2FBC7A8C" w14:textId="77777777" w:rsidR="0015772D" w:rsidRPr="00D47DAA" w:rsidRDefault="0015772D" w:rsidP="00DF6211">
      <w:pPr>
        <w:rPr>
          <w:color w:val="000000" w:themeColor="text1"/>
        </w:rPr>
      </w:pPr>
    </w:p>
    <w:p w14:paraId="0785FBA4" w14:textId="3738244C" w:rsidR="00BA08A6" w:rsidRPr="00D47DAA" w:rsidRDefault="00521440" w:rsidP="00F54174">
      <w:pPr>
        <w:rPr>
          <w:bCs/>
          <w:color w:val="000000" w:themeColor="text1"/>
        </w:rPr>
      </w:pPr>
      <w:r w:rsidRPr="00D47DAA">
        <w:rPr>
          <w:bCs/>
          <w:color w:val="000000" w:themeColor="text1"/>
        </w:rPr>
        <w:t xml:space="preserve">Wilton, John (2014). Data supplied by Vice-Chancellor, Administration and Finance, University of California Berkeley, October.  </w:t>
      </w:r>
    </w:p>
    <w:sectPr w:rsidR="00BA08A6" w:rsidRPr="00D47DAA" w:rsidSect="00015F2A">
      <w:headerReference w:type="even" r:id="rId8"/>
      <w:headerReference w:type="default" r:id="rId9"/>
      <w:pgSz w:w="11900" w:h="16840"/>
      <w:pgMar w:top="1440" w:right="1418"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2DD7" w14:textId="77777777" w:rsidR="00603B77" w:rsidRDefault="00603B77" w:rsidP="00015F2A">
      <w:r>
        <w:separator/>
      </w:r>
    </w:p>
  </w:endnote>
  <w:endnote w:type="continuationSeparator" w:id="0">
    <w:p w14:paraId="61CE3B64" w14:textId="77777777" w:rsidR="00603B77" w:rsidRDefault="00603B77" w:rsidP="0001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궁서체">
    <w:altName w:val="Arial Unicode MS"/>
    <w:charset w:val="4F"/>
    <w:family w:val="auto"/>
    <w:pitch w:val="variable"/>
    <w:sig w:usb0="00000001" w:usb1="09060000" w:usb2="01002416" w:usb3="00000000" w:csb0="00080000"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5A8D6" w14:textId="77777777" w:rsidR="00603B77" w:rsidRDefault="00603B77" w:rsidP="00015F2A">
      <w:r>
        <w:separator/>
      </w:r>
    </w:p>
  </w:footnote>
  <w:footnote w:type="continuationSeparator" w:id="0">
    <w:p w14:paraId="3EBEE605" w14:textId="77777777" w:rsidR="00603B77" w:rsidRDefault="00603B77" w:rsidP="00015F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58A3" w14:textId="77777777" w:rsidR="00D22BD2" w:rsidRDefault="00D22BD2" w:rsidP="002E46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D584E" w14:textId="77777777" w:rsidR="00D22BD2" w:rsidRDefault="00D22B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CA05" w14:textId="77777777" w:rsidR="00D22BD2" w:rsidRDefault="00D22BD2" w:rsidP="002E46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DAA">
      <w:rPr>
        <w:rStyle w:val="PageNumber"/>
        <w:noProof/>
      </w:rPr>
      <w:t>2</w:t>
    </w:r>
    <w:r>
      <w:rPr>
        <w:rStyle w:val="PageNumber"/>
      </w:rPr>
      <w:fldChar w:fldCharType="end"/>
    </w:r>
  </w:p>
  <w:p w14:paraId="22C1FB35" w14:textId="77777777" w:rsidR="00D22BD2" w:rsidRDefault="00D22B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C35B5"/>
    <w:multiLevelType w:val="hybridMultilevel"/>
    <w:tmpl w:val="4DD08B7C"/>
    <w:lvl w:ilvl="0" w:tplc="B42EFA26">
      <w:start w:val="1"/>
      <w:numFmt w:val="bullet"/>
      <w:lvlText w:val="•"/>
      <w:lvlJc w:val="left"/>
      <w:pPr>
        <w:tabs>
          <w:tab w:val="num" w:pos="720"/>
        </w:tabs>
        <w:ind w:left="720" w:hanging="360"/>
      </w:pPr>
      <w:rPr>
        <w:rFonts w:ascii="Arial" w:hAnsi="Arial" w:hint="default"/>
      </w:rPr>
    </w:lvl>
    <w:lvl w:ilvl="1" w:tplc="4A1EE04E" w:tentative="1">
      <w:start w:val="1"/>
      <w:numFmt w:val="bullet"/>
      <w:lvlText w:val="•"/>
      <w:lvlJc w:val="left"/>
      <w:pPr>
        <w:tabs>
          <w:tab w:val="num" w:pos="1440"/>
        </w:tabs>
        <w:ind w:left="1440" w:hanging="360"/>
      </w:pPr>
      <w:rPr>
        <w:rFonts w:ascii="Arial" w:hAnsi="Arial" w:hint="default"/>
      </w:rPr>
    </w:lvl>
    <w:lvl w:ilvl="2" w:tplc="D1CAB26E" w:tentative="1">
      <w:start w:val="1"/>
      <w:numFmt w:val="bullet"/>
      <w:lvlText w:val="•"/>
      <w:lvlJc w:val="left"/>
      <w:pPr>
        <w:tabs>
          <w:tab w:val="num" w:pos="2160"/>
        </w:tabs>
        <w:ind w:left="2160" w:hanging="360"/>
      </w:pPr>
      <w:rPr>
        <w:rFonts w:ascii="Arial" w:hAnsi="Arial" w:hint="default"/>
      </w:rPr>
    </w:lvl>
    <w:lvl w:ilvl="3" w:tplc="CEDC75EC" w:tentative="1">
      <w:start w:val="1"/>
      <w:numFmt w:val="bullet"/>
      <w:lvlText w:val="•"/>
      <w:lvlJc w:val="left"/>
      <w:pPr>
        <w:tabs>
          <w:tab w:val="num" w:pos="2880"/>
        </w:tabs>
        <w:ind w:left="2880" w:hanging="360"/>
      </w:pPr>
      <w:rPr>
        <w:rFonts w:ascii="Arial" w:hAnsi="Arial" w:hint="default"/>
      </w:rPr>
    </w:lvl>
    <w:lvl w:ilvl="4" w:tplc="59EAC43E" w:tentative="1">
      <w:start w:val="1"/>
      <w:numFmt w:val="bullet"/>
      <w:lvlText w:val="•"/>
      <w:lvlJc w:val="left"/>
      <w:pPr>
        <w:tabs>
          <w:tab w:val="num" w:pos="3600"/>
        </w:tabs>
        <w:ind w:left="3600" w:hanging="360"/>
      </w:pPr>
      <w:rPr>
        <w:rFonts w:ascii="Arial" w:hAnsi="Arial" w:hint="default"/>
      </w:rPr>
    </w:lvl>
    <w:lvl w:ilvl="5" w:tplc="F4A27FB2" w:tentative="1">
      <w:start w:val="1"/>
      <w:numFmt w:val="bullet"/>
      <w:lvlText w:val="•"/>
      <w:lvlJc w:val="left"/>
      <w:pPr>
        <w:tabs>
          <w:tab w:val="num" w:pos="4320"/>
        </w:tabs>
        <w:ind w:left="4320" w:hanging="360"/>
      </w:pPr>
      <w:rPr>
        <w:rFonts w:ascii="Arial" w:hAnsi="Arial" w:hint="default"/>
      </w:rPr>
    </w:lvl>
    <w:lvl w:ilvl="6" w:tplc="2E305B92" w:tentative="1">
      <w:start w:val="1"/>
      <w:numFmt w:val="bullet"/>
      <w:lvlText w:val="•"/>
      <w:lvlJc w:val="left"/>
      <w:pPr>
        <w:tabs>
          <w:tab w:val="num" w:pos="5040"/>
        </w:tabs>
        <w:ind w:left="5040" w:hanging="360"/>
      </w:pPr>
      <w:rPr>
        <w:rFonts w:ascii="Arial" w:hAnsi="Arial" w:hint="default"/>
      </w:rPr>
    </w:lvl>
    <w:lvl w:ilvl="7" w:tplc="595C75BA" w:tentative="1">
      <w:start w:val="1"/>
      <w:numFmt w:val="bullet"/>
      <w:lvlText w:val="•"/>
      <w:lvlJc w:val="left"/>
      <w:pPr>
        <w:tabs>
          <w:tab w:val="num" w:pos="5760"/>
        </w:tabs>
        <w:ind w:left="5760" w:hanging="360"/>
      </w:pPr>
      <w:rPr>
        <w:rFonts w:ascii="Arial" w:hAnsi="Arial" w:hint="default"/>
      </w:rPr>
    </w:lvl>
    <w:lvl w:ilvl="8" w:tplc="CF7C494E" w:tentative="1">
      <w:start w:val="1"/>
      <w:numFmt w:val="bullet"/>
      <w:lvlText w:val="•"/>
      <w:lvlJc w:val="left"/>
      <w:pPr>
        <w:tabs>
          <w:tab w:val="num" w:pos="6480"/>
        </w:tabs>
        <w:ind w:left="6480" w:hanging="360"/>
      </w:pPr>
      <w:rPr>
        <w:rFonts w:ascii="Arial" w:hAnsi="Arial" w:hint="default"/>
      </w:rPr>
    </w:lvl>
  </w:abstractNum>
  <w:abstractNum w:abstractNumId="1">
    <w:nsid w:val="37E21F1D"/>
    <w:multiLevelType w:val="hybridMultilevel"/>
    <w:tmpl w:val="A6E66A56"/>
    <w:lvl w:ilvl="0" w:tplc="C136B462">
      <w:start w:val="1"/>
      <w:numFmt w:val="bullet"/>
      <w:lvlText w:val="•"/>
      <w:lvlJc w:val="left"/>
      <w:pPr>
        <w:tabs>
          <w:tab w:val="num" w:pos="720"/>
        </w:tabs>
        <w:ind w:left="720" w:hanging="360"/>
      </w:pPr>
      <w:rPr>
        <w:rFonts w:ascii="Arial" w:hAnsi="Arial" w:hint="default"/>
      </w:rPr>
    </w:lvl>
    <w:lvl w:ilvl="1" w:tplc="C11869CC" w:tentative="1">
      <w:start w:val="1"/>
      <w:numFmt w:val="bullet"/>
      <w:lvlText w:val="•"/>
      <w:lvlJc w:val="left"/>
      <w:pPr>
        <w:tabs>
          <w:tab w:val="num" w:pos="1440"/>
        </w:tabs>
        <w:ind w:left="1440" w:hanging="360"/>
      </w:pPr>
      <w:rPr>
        <w:rFonts w:ascii="Arial" w:hAnsi="Arial" w:hint="default"/>
      </w:rPr>
    </w:lvl>
    <w:lvl w:ilvl="2" w:tplc="563214EA" w:tentative="1">
      <w:start w:val="1"/>
      <w:numFmt w:val="bullet"/>
      <w:lvlText w:val="•"/>
      <w:lvlJc w:val="left"/>
      <w:pPr>
        <w:tabs>
          <w:tab w:val="num" w:pos="2160"/>
        </w:tabs>
        <w:ind w:left="2160" w:hanging="360"/>
      </w:pPr>
      <w:rPr>
        <w:rFonts w:ascii="Arial" w:hAnsi="Arial" w:hint="default"/>
      </w:rPr>
    </w:lvl>
    <w:lvl w:ilvl="3" w:tplc="D0CA4F14" w:tentative="1">
      <w:start w:val="1"/>
      <w:numFmt w:val="bullet"/>
      <w:lvlText w:val="•"/>
      <w:lvlJc w:val="left"/>
      <w:pPr>
        <w:tabs>
          <w:tab w:val="num" w:pos="2880"/>
        </w:tabs>
        <w:ind w:left="2880" w:hanging="360"/>
      </w:pPr>
      <w:rPr>
        <w:rFonts w:ascii="Arial" w:hAnsi="Arial" w:hint="default"/>
      </w:rPr>
    </w:lvl>
    <w:lvl w:ilvl="4" w:tplc="1D4E94AE" w:tentative="1">
      <w:start w:val="1"/>
      <w:numFmt w:val="bullet"/>
      <w:lvlText w:val="•"/>
      <w:lvlJc w:val="left"/>
      <w:pPr>
        <w:tabs>
          <w:tab w:val="num" w:pos="3600"/>
        </w:tabs>
        <w:ind w:left="3600" w:hanging="360"/>
      </w:pPr>
      <w:rPr>
        <w:rFonts w:ascii="Arial" w:hAnsi="Arial" w:hint="default"/>
      </w:rPr>
    </w:lvl>
    <w:lvl w:ilvl="5" w:tplc="54B664DE" w:tentative="1">
      <w:start w:val="1"/>
      <w:numFmt w:val="bullet"/>
      <w:lvlText w:val="•"/>
      <w:lvlJc w:val="left"/>
      <w:pPr>
        <w:tabs>
          <w:tab w:val="num" w:pos="4320"/>
        </w:tabs>
        <w:ind w:left="4320" w:hanging="360"/>
      </w:pPr>
      <w:rPr>
        <w:rFonts w:ascii="Arial" w:hAnsi="Arial" w:hint="default"/>
      </w:rPr>
    </w:lvl>
    <w:lvl w:ilvl="6" w:tplc="06900A6A" w:tentative="1">
      <w:start w:val="1"/>
      <w:numFmt w:val="bullet"/>
      <w:lvlText w:val="•"/>
      <w:lvlJc w:val="left"/>
      <w:pPr>
        <w:tabs>
          <w:tab w:val="num" w:pos="5040"/>
        </w:tabs>
        <w:ind w:left="5040" w:hanging="360"/>
      </w:pPr>
      <w:rPr>
        <w:rFonts w:ascii="Arial" w:hAnsi="Arial" w:hint="default"/>
      </w:rPr>
    </w:lvl>
    <w:lvl w:ilvl="7" w:tplc="F01AB270" w:tentative="1">
      <w:start w:val="1"/>
      <w:numFmt w:val="bullet"/>
      <w:lvlText w:val="•"/>
      <w:lvlJc w:val="left"/>
      <w:pPr>
        <w:tabs>
          <w:tab w:val="num" w:pos="5760"/>
        </w:tabs>
        <w:ind w:left="5760" w:hanging="360"/>
      </w:pPr>
      <w:rPr>
        <w:rFonts w:ascii="Arial" w:hAnsi="Arial" w:hint="default"/>
      </w:rPr>
    </w:lvl>
    <w:lvl w:ilvl="8" w:tplc="088A051C" w:tentative="1">
      <w:start w:val="1"/>
      <w:numFmt w:val="bullet"/>
      <w:lvlText w:val="•"/>
      <w:lvlJc w:val="left"/>
      <w:pPr>
        <w:tabs>
          <w:tab w:val="num" w:pos="6480"/>
        </w:tabs>
        <w:ind w:left="6480" w:hanging="360"/>
      </w:pPr>
      <w:rPr>
        <w:rFonts w:ascii="Arial" w:hAnsi="Arial" w:hint="default"/>
      </w:rPr>
    </w:lvl>
  </w:abstractNum>
  <w:abstractNum w:abstractNumId="2">
    <w:nsid w:val="607B0C65"/>
    <w:multiLevelType w:val="hybridMultilevel"/>
    <w:tmpl w:val="CA56C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993662"/>
    <w:multiLevelType w:val="hybridMultilevel"/>
    <w:tmpl w:val="38BCDC62"/>
    <w:lvl w:ilvl="0" w:tplc="0E2621BA">
      <w:start w:val="3"/>
      <w:numFmt w:val="bullet"/>
      <w:lvlText w:val="–"/>
      <w:lvlJc w:val="left"/>
      <w:pPr>
        <w:ind w:left="927" w:hanging="360"/>
      </w:pPr>
      <w:rPr>
        <w:rFonts w:ascii="Cambria" w:eastAsiaTheme="minorEastAsia" w:hAnsi="Cambria"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DA90C68"/>
    <w:multiLevelType w:val="hybridMultilevel"/>
    <w:tmpl w:val="7E561F10"/>
    <w:lvl w:ilvl="0" w:tplc="763E99B6">
      <w:start w:val="14"/>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37"/>
    <w:rsid w:val="00000499"/>
    <w:rsid w:val="000028BE"/>
    <w:rsid w:val="000038CE"/>
    <w:rsid w:val="00003A4A"/>
    <w:rsid w:val="00003C0B"/>
    <w:rsid w:val="00005227"/>
    <w:rsid w:val="00005297"/>
    <w:rsid w:val="00005CB9"/>
    <w:rsid w:val="00006C38"/>
    <w:rsid w:val="00010CC5"/>
    <w:rsid w:val="0001112C"/>
    <w:rsid w:val="0001142E"/>
    <w:rsid w:val="00011914"/>
    <w:rsid w:val="00011CFC"/>
    <w:rsid w:val="000128F2"/>
    <w:rsid w:val="00012C3B"/>
    <w:rsid w:val="00012E5D"/>
    <w:rsid w:val="000133FF"/>
    <w:rsid w:val="000135B1"/>
    <w:rsid w:val="00013C62"/>
    <w:rsid w:val="00014464"/>
    <w:rsid w:val="00014757"/>
    <w:rsid w:val="000154AC"/>
    <w:rsid w:val="00015943"/>
    <w:rsid w:val="00015AF7"/>
    <w:rsid w:val="00015CFC"/>
    <w:rsid w:val="00015F2A"/>
    <w:rsid w:val="00017372"/>
    <w:rsid w:val="000206F5"/>
    <w:rsid w:val="00021CBE"/>
    <w:rsid w:val="000220ED"/>
    <w:rsid w:val="00022CDE"/>
    <w:rsid w:val="000233AA"/>
    <w:rsid w:val="0002377D"/>
    <w:rsid w:val="00023AF2"/>
    <w:rsid w:val="0002474C"/>
    <w:rsid w:val="00024B65"/>
    <w:rsid w:val="00025021"/>
    <w:rsid w:val="00026747"/>
    <w:rsid w:val="00026CB9"/>
    <w:rsid w:val="00031254"/>
    <w:rsid w:val="00031569"/>
    <w:rsid w:val="00032AB8"/>
    <w:rsid w:val="00032C32"/>
    <w:rsid w:val="0003341D"/>
    <w:rsid w:val="000341A9"/>
    <w:rsid w:val="000344F1"/>
    <w:rsid w:val="0003489A"/>
    <w:rsid w:val="00035C9F"/>
    <w:rsid w:val="0003623F"/>
    <w:rsid w:val="00037201"/>
    <w:rsid w:val="00037A72"/>
    <w:rsid w:val="00040ADF"/>
    <w:rsid w:val="00041154"/>
    <w:rsid w:val="00041688"/>
    <w:rsid w:val="0004194A"/>
    <w:rsid w:val="00042C0B"/>
    <w:rsid w:val="000431FA"/>
    <w:rsid w:val="00043C2C"/>
    <w:rsid w:val="0004445C"/>
    <w:rsid w:val="00045620"/>
    <w:rsid w:val="00045626"/>
    <w:rsid w:val="0004572C"/>
    <w:rsid w:val="0004610D"/>
    <w:rsid w:val="00050476"/>
    <w:rsid w:val="00050C6B"/>
    <w:rsid w:val="00051BDE"/>
    <w:rsid w:val="00055ACF"/>
    <w:rsid w:val="00055EFD"/>
    <w:rsid w:val="000567B5"/>
    <w:rsid w:val="00057693"/>
    <w:rsid w:val="00057EA4"/>
    <w:rsid w:val="000604E8"/>
    <w:rsid w:val="00060674"/>
    <w:rsid w:val="00060D7F"/>
    <w:rsid w:val="0006106F"/>
    <w:rsid w:val="00061185"/>
    <w:rsid w:val="0006123D"/>
    <w:rsid w:val="0006151B"/>
    <w:rsid w:val="00061809"/>
    <w:rsid w:val="00063330"/>
    <w:rsid w:val="000633C7"/>
    <w:rsid w:val="000636C7"/>
    <w:rsid w:val="00064020"/>
    <w:rsid w:val="000642C8"/>
    <w:rsid w:val="00064786"/>
    <w:rsid w:val="00064C3B"/>
    <w:rsid w:val="00064DF7"/>
    <w:rsid w:val="00065AEE"/>
    <w:rsid w:val="00065E8B"/>
    <w:rsid w:val="000662AC"/>
    <w:rsid w:val="000704D5"/>
    <w:rsid w:val="00071DA7"/>
    <w:rsid w:val="000723C1"/>
    <w:rsid w:val="00073F30"/>
    <w:rsid w:val="00074159"/>
    <w:rsid w:val="000745F4"/>
    <w:rsid w:val="000745FB"/>
    <w:rsid w:val="00074818"/>
    <w:rsid w:val="00074FAC"/>
    <w:rsid w:val="00075859"/>
    <w:rsid w:val="00076105"/>
    <w:rsid w:val="000763C2"/>
    <w:rsid w:val="000773D1"/>
    <w:rsid w:val="0007740B"/>
    <w:rsid w:val="00077ACA"/>
    <w:rsid w:val="00077E36"/>
    <w:rsid w:val="00080AAE"/>
    <w:rsid w:val="00081B8D"/>
    <w:rsid w:val="00081BC2"/>
    <w:rsid w:val="00083E54"/>
    <w:rsid w:val="00084353"/>
    <w:rsid w:val="000851CE"/>
    <w:rsid w:val="00085B3D"/>
    <w:rsid w:val="000878D0"/>
    <w:rsid w:val="00090694"/>
    <w:rsid w:val="0009216C"/>
    <w:rsid w:val="0009228C"/>
    <w:rsid w:val="00092776"/>
    <w:rsid w:val="000936B8"/>
    <w:rsid w:val="00093AD8"/>
    <w:rsid w:val="0009446B"/>
    <w:rsid w:val="000945B2"/>
    <w:rsid w:val="00094B96"/>
    <w:rsid w:val="00094EC5"/>
    <w:rsid w:val="000950C7"/>
    <w:rsid w:val="00096042"/>
    <w:rsid w:val="00096166"/>
    <w:rsid w:val="000967AC"/>
    <w:rsid w:val="00096CD5"/>
    <w:rsid w:val="00097301"/>
    <w:rsid w:val="000A01B8"/>
    <w:rsid w:val="000A036C"/>
    <w:rsid w:val="000A0802"/>
    <w:rsid w:val="000A0C27"/>
    <w:rsid w:val="000A0F32"/>
    <w:rsid w:val="000A174C"/>
    <w:rsid w:val="000A1F8A"/>
    <w:rsid w:val="000A2B2C"/>
    <w:rsid w:val="000A5443"/>
    <w:rsid w:val="000A656B"/>
    <w:rsid w:val="000A712E"/>
    <w:rsid w:val="000A7C8D"/>
    <w:rsid w:val="000A7F02"/>
    <w:rsid w:val="000B1411"/>
    <w:rsid w:val="000B185C"/>
    <w:rsid w:val="000B1D96"/>
    <w:rsid w:val="000B2088"/>
    <w:rsid w:val="000B3686"/>
    <w:rsid w:val="000B3BA4"/>
    <w:rsid w:val="000B54D1"/>
    <w:rsid w:val="000B55A6"/>
    <w:rsid w:val="000B63BB"/>
    <w:rsid w:val="000B691F"/>
    <w:rsid w:val="000B6AFE"/>
    <w:rsid w:val="000B6EE0"/>
    <w:rsid w:val="000C0D4E"/>
    <w:rsid w:val="000C0E27"/>
    <w:rsid w:val="000C1B51"/>
    <w:rsid w:val="000C22AF"/>
    <w:rsid w:val="000C2402"/>
    <w:rsid w:val="000C2D07"/>
    <w:rsid w:val="000C2DA8"/>
    <w:rsid w:val="000C3332"/>
    <w:rsid w:val="000C34CA"/>
    <w:rsid w:val="000C5D02"/>
    <w:rsid w:val="000C626C"/>
    <w:rsid w:val="000C674E"/>
    <w:rsid w:val="000C7032"/>
    <w:rsid w:val="000C72D1"/>
    <w:rsid w:val="000C7758"/>
    <w:rsid w:val="000C7823"/>
    <w:rsid w:val="000D02DF"/>
    <w:rsid w:val="000D0D59"/>
    <w:rsid w:val="000D1034"/>
    <w:rsid w:val="000D1391"/>
    <w:rsid w:val="000D2260"/>
    <w:rsid w:val="000D27B8"/>
    <w:rsid w:val="000D30A6"/>
    <w:rsid w:val="000D50DE"/>
    <w:rsid w:val="000D562B"/>
    <w:rsid w:val="000D5717"/>
    <w:rsid w:val="000D5A40"/>
    <w:rsid w:val="000D5DC3"/>
    <w:rsid w:val="000D686C"/>
    <w:rsid w:val="000D6C99"/>
    <w:rsid w:val="000D7A37"/>
    <w:rsid w:val="000D7CC1"/>
    <w:rsid w:val="000E0F80"/>
    <w:rsid w:val="000E12FD"/>
    <w:rsid w:val="000E133B"/>
    <w:rsid w:val="000E1B7D"/>
    <w:rsid w:val="000E2288"/>
    <w:rsid w:val="000E2E20"/>
    <w:rsid w:val="000E31FA"/>
    <w:rsid w:val="000E3D27"/>
    <w:rsid w:val="000E4623"/>
    <w:rsid w:val="000E4D0D"/>
    <w:rsid w:val="000E51C1"/>
    <w:rsid w:val="000E5E6A"/>
    <w:rsid w:val="000E5F0B"/>
    <w:rsid w:val="000E6B08"/>
    <w:rsid w:val="000F06FF"/>
    <w:rsid w:val="000F12E9"/>
    <w:rsid w:val="000F1B00"/>
    <w:rsid w:val="000F2123"/>
    <w:rsid w:val="000F2D40"/>
    <w:rsid w:val="000F2F28"/>
    <w:rsid w:val="000F3533"/>
    <w:rsid w:val="000F3B2A"/>
    <w:rsid w:val="000F3B38"/>
    <w:rsid w:val="000F46A9"/>
    <w:rsid w:val="000F4D8B"/>
    <w:rsid w:val="000F561F"/>
    <w:rsid w:val="000F5DB5"/>
    <w:rsid w:val="000F7548"/>
    <w:rsid w:val="00100ECD"/>
    <w:rsid w:val="0010258D"/>
    <w:rsid w:val="00103454"/>
    <w:rsid w:val="00103728"/>
    <w:rsid w:val="00103A1E"/>
    <w:rsid w:val="00103AD1"/>
    <w:rsid w:val="00103D7A"/>
    <w:rsid w:val="00104328"/>
    <w:rsid w:val="001044FC"/>
    <w:rsid w:val="0010692B"/>
    <w:rsid w:val="00106AA5"/>
    <w:rsid w:val="00106F46"/>
    <w:rsid w:val="001079AE"/>
    <w:rsid w:val="00107A9B"/>
    <w:rsid w:val="00110373"/>
    <w:rsid w:val="00110923"/>
    <w:rsid w:val="00110BCD"/>
    <w:rsid w:val="00111030"/>
    <w:rsid w:val="001113A2"/>
    <w:rsid w:val="001113AD"/>
    <w:rsid w:val="00112180"/>
    <w:rsid w:val="00112E23"/>
    <w:rsid w:val="0011408C"/>
    <w:rsid w:val="00114E7E"/>
    <w:rsid w:val="00116612"/>
    <w:rsid w:val="00117798"/>
    <w:rsid w:val="001200AF"/>
    <w:rsid w:val="0012016E"/>
    <w:rsid w:val="001202E6"/>
    <w:rsid w:val="00120A4F"/>
    <w:rsid w:val="00120BFF"/>
    <w:rsid w:val="001211D0"/>
    <w:rsid w:val="00121E87"/>
    <w:rsid w:val="0012353B"/>
    <w:rsid w:val="00123662"/>
    <w:rsid w:val="001236F4"/>
    <w:rsid w:val="0012471C"/>
    <w:rsid w:val="001260AD"/>
    <w:rsid w:val="00126104"/>
    <w:rsid w:val="001271EC"/>
    <w:rsid w:val="00127DD4"/>
    <w:rsid w:val="00130007"/>
    <w:rsid w:val="0013038B"/>
    <w:rsid w:val="001311F6"/>
    <w:rsid w:val="00131CED"/>
    <w:rsid w:val="00132642"/>
    <w:rsid w:val="00132DC2"/>
    <w:rsid w:val="001333CA"/>
    <w:rsid w:val="001337F7"/>
    <w:rsid w:val="00135713"/>
    <w:rsid w:val="0013576B"/>
    <w:rsid w:val="00136378"/>
    <w:rsid w:val="00137F55"/>
    <w:rsid w:val="001400A2"/>
    <w:rsid w:val="001409D0"/>
    <w:rsid w:val="00140CF6"/>
    <w:rsid w:val="00141051"/>
    <w:rsid w:val="001413F0"/>
    <w:rsid w:val="00141646"/>
    <w:rsid w:val="001418F5"/>
    <w:rsid w:val="00141908"/>
    <w:rsid w:val="001422BC"/>
    <w:rsid w:val="00142DD6"/>
    <w:rsid w:val="00143C7E"/>
    <w:rsid w:val="00144525"/>
    <w:rsid w:val="00144CD0"/>
    <w:rsid w:val="00145F8B"/>
    <w:rsid w:val="00146A7F"/>
    <w:rsid w:val="00146C1E"/>
    <w:rsid w:val="001477C3"/>
    <w:rsid w:val="00147F81"/>
    <w:rsid w:val="00150C90"/>
    <w:rsid w:val="0015319A"/>
    <w:rsid w:val="001537CE"/>
    <w:rsid w:val="00153923"/>
    <w:rsid w:val="0015396F"/>
    <w:rsid w:val="00154736"/>
    <w:rsid w:val="00154FBB"/>
    <w:rsid w:val="00155E5A"/>
    <w:rsid w:val="001567BC"/>
    <w:rsid w:val="00157670"/>
    <w:rsid w:val="0015772D"/>
    <w:rsid w:val="00160703"/>
    <w:rsid w:val="001608A7"/>
    <w:rsid w:val="00161887"/>
    <w:rsid w:val="00161B90"/>
    <w:rsid w:val="00161C8D"/>
    <w:rsid w:val="001625C3"/>
    <w:rsid w:val="00162EF3"/>
    <w:rsid w:val="00163948"/>
    <w:rsid w:val="001641CF"/>
    <w:rsid w:val="00164B93"/>
    <w:rsid w:val="00164BF4"/>
    <w:rsid w:val="00164EEB"/>
    <w:rsid w:val="00165B16"/>
    <w:rsid w:val="00166231"/>
    <w:rsid w:val="001665D6"/>
    <w:rsid w:val="00166C01"/>
    <w:rsid w:val="00167AFA"/>
    <w:rsid w:val="00167B3B"/>
    <w:rsid w:val="00167FD3"/>
    <w:rsid w:val="0017046A"/>
    <w:rsid w:val="00170975"/>
    <w:rsid w:val="00170C58"/>
    <w:rsid w:val="00172480"/>
    <w:rsid w:val="00173867"/>
    <w:rsid w:val="001744DB"/>
    <w:rsid w:val="00174EDF"/>
    <w:rsid w:val="00175C20"/>
    <w:rsid w:val="00175D1F"/>
    <w:rsid w:val="0017640F"/>
    <w:rsid w:val="00176CA7"/>
    <w:rsid w:val="00177606"/>
    <w:rsid w:val="00177828"/>
    <w:rsid w:val="00177CDD"/>
    <w:rsid w:val="00180980"/>
    <w:rsid w:val="00181FF0"/>
    <w:rsid w:val="0018220C"/>
    <w:rsid w:val="00182B9F"/>
    <w:rsid w:val="0018328B"/>
    <w:rsid w:val="00183586"/>
    <w:rsid w:val="00184AAD"/>
    <w:rsid w:val="00185533"/>
    <w:rsid w:val="00185D05"/>
    <w:rsid w:val="00186D47"/>
    <w:rsid w:val="00191605"/>
    <w:rsid w:val="00191AFD"/>
    <w:rsid w:val="00193FB0"/>
    <w:rsid w:val="00194BE3"/>
    <w:rsid w:val="001962E1"/>
    <w:rsid w:val="00196384"/>
    <w:rsid w:val="00196392"/>
    <w:rsid w:val="00196975"/>
    <w:rsid w:val="00197B2F"/>
    <w:rsid w:val="00197C96"/>
    <w:rsid w:val="00197EE2"/>
    <w:rsid w:val="001A0FBF"/>
    <w:rsid w:val="001A2110"/>
    <w:rsid w:val="001A272C"/>
    <w:rsid w:val="001A2FE1"/>
    <w:rsid w:val="001A3069"/>
    <w:rsid w:val="001A3109"/>
    <w:rsid w:val="001A38FC"/>
    <w:rsid w:val="001A5E4C"/>
    <w:rsid w:val="001A5FD4"/>
    <w:rsid w:val="001A727A"/>
    <w:rsid w:val="001A7402"/>
    <w:rsid w:val="001A7CA1"/>
    <w:rsid w:val="001B0340"/>
    <w:rsid w:val="001B041E"/>
    <w:rsid w:val="001B089D"/>
    <w:rsid w:val="001B23D0"/>
    <w:rsid w:val="001B42F9"/>
    <w:rsid w:val="001B47BF"/>
    <w:rsid w:val="001B496A"/>
    <w:rsid w:val="001B4D6E"/>
    <w:rsid w:val="001B6CB3"/>
    <w:rsid w:val="001B71D8"/>
    <w:rsid w:val="001C0BCC"/>
    <w:rsid w:val="001C3B94"/>
    <w:rsid w:val="001C55D5"/>
    <w:rsid w:val="001C5D9B"/>
    <w:rsid w:val="001C6118"/>
    <w:rsid w:val="001C65B9"/>
    <w:rsid w:val="001D027D"/>
    <w:rsid w:val="001D0860"/>
    <w:rsid w:val="001D1617"/>
    <w:rsid w:val="001D1AEE"/>
    <w:rsid w:val="001D2BF3"/>
    <w:rsid w:val="001D2C1B"/>
    <w:rsid w:val="001D30A2"/>
    <w:rsid w:val="001D498C"/>
    <w:rsid w:val="001D52BA"/>
    <w:rsid w:val="001D5F20"/>
    <w:rsid w:val="001D5FCA"/>
    <w:rsid w:val="001D600A"/>
    <w:rsid w:val="001D6AD3"/>
    <w:rsid w:val="001D6F16"/>
    <w:rsid w:val="001D6F1F"/>
    <w:rsid w:val="001D75BA"/>
    <w:rsid w:val="001E0024"/>
    <w:rsid w:val="001E17F0"/>
    <w:rsid w:val="001E1B93"/>
    <w:rsid w:val="001E1D28"/>
    <w:rsid w:val="001E2EA8"/>
    <w:rsid w:val="001E3259"/>
    <w:rsid w:val="001E360E"/>
    <w:rsid w:val="001E3ABF"/>
    <w:rsid w:val="001E5A9A"/>
    <w:rsid w:val="001E5AA8"/>
    <w:rsid w:val="001E5C14"/>
    <w:rsid w:val="001E612F"/>
    <w:rsid w:val="001E6177"/>
    <w:rsid w:val="001E64A2"/>
    <w:rsid w:val="001E788D"/>
    <w:rsid w:val="001F11DF"/>
    <w:rsid w:val="001F1837"/>
    <w:rsid w:val="001F2238"/>
    <w:rsid w:val="001F2AEF"/>
    <w:rsid w:val="001F2D5A"/>
    <w:rsid w:val="001F2F12"/>
    <w:rsid w:val="001F2F5A"/>
    <w:rsid w:val="001F3954"/>
    <w:rsid w:val="001F398A"/>
    <w:rsid w:val="001F3C15"/>
    <w:rsid w:val="001F3CC1"/>
    <w:rsid w:val="001F3EE8"/>
    <w:rsid w:val="001F5EE9"/>
    <w:rsid w:val="001F6C0A"/>
    <w:rsid w:val="001F6D40"/>
    <w:rsid w:val="001F7C47"/>
    <w:rsid w:val="00201479"/>
    <w:rsid w:val="002014DC"/>
    <w:rsid w:val="00201EB1"/>
    <w:rsid w:val="0020222F"/>
    <w:rsid w:val="002031DC"/>
    <w:rsid w:val="002033CD"/>
    <w:rsid w:val="00203CB1"/>
    <w:rsid w:val="00204509"/>
    <w:rsid w:val="0020484D"/>
    <w:rsid w:val="002053C8"/>
    <w:rsid w:val="0020667F"/>
    <w:rsid w:val="002070E5"/>
    <w:rsid w:val="00207A5F"/>
    <w:rsid w:val="00207EED"/>
    <w:rsid w:val="002112BE"/>
    <w:rsid w:val="00211B00"/>
    <w:rsid w:val="00212268"/>
    <w:rsid w:val="00212545"/>
    <w:rsid w:val="00213673"/>
    <w:rsid w:val="0021451A"/>
    <w:rsid w:val="00214629"/>
    <w:rsid w:val="00214960"/>
    <w:rsid w:val="002155FE"/>
    <w:rsid w:val="00215882"/>
    <w:rsid w:val="00215DB2"/>
    <w:rsid w:val="00216129"/>
    <w:rsid w:val="00216172"/>
    <w:rsid w:val="002162E7"/>
    <w:rsid w:val="00216F01"/>
    <w:rsid w:val="00217F4E"/>
    <w:rsid w:val="002207C9"/>
    <w:rsid w:val="00220EDB"/>
    <w:rsid w:val="00221335"/>
    <w:rsid w:val="00222397"/>
    <w:rsid w:val="0022255E"/>
    <w:rsid w:val="00222D84"/>
    <w:rsid w:val="0022329B"/>
    <w:rsid w:val="002233C7"/>
    <w:rsid w:val="00223BFB"/>
    <w:rsid w:val="0022465F"/>
    <w:rsid w:val="00224FCB"/>
    <w:rsid w:val="002264F8"/>
    <w:rsid w:val="00226956"/>
    <w:rsid w:val="002270A4"/>
    <w:rsid w:val="002277DF"/>
    <w:rsid w:val="00230248"/>
    <w:rsid w:val="00230998"/>
    <w:rsid w:val="0023102B"/>
    <w:rsid w:val="002314A8"/>
    <w:rsid w:val="002319FA"/>
    <w:rsid w:val="00231FCF"/>
    <w:rsid w:val="00233C8D"/>
    <w:rsid w:val="002344AA"/>
    <w:rsid w:val="00234DBF"/>
    <w:rsid w:val="00235105"/>
    <w:rsid w:val="00235D48"/>
    <w:rsid w:val="002367A4"/>
    <w:rsid w:val="00237A9C"/>
    <w:rsid w:val="002407A7"/>
    <w:rsid w:val="00241274"/>
    <w:rsid w:val="002414FB"/>
    <w:rsid w:val="00241785"/>
    <w:rsid w:val="002421B5"/>
    <w:rsid w:val="00242406"/>
    <w:rsid w:val="00242F54"/>
    <w:rsid w:val="00243F4B"/>
    <w:rsid w:val="002457F6"/>
    <w:rsid w:val="00246A71"/>
    <w:rsid w:val="0024779D"/>
    <w:rsid w:val="00251481"/>
    <w:rsid w:val="0025166B"/>
    <w:rsid w:val="00252A95"/>
    <w:rsid w:val="00252F5D"/>
    <w:rsid w:val="00253468"/>
    <w:rsid w:val="002534F1"/>
    <w:rsid w:val="002538F0"/>
    <w:rsid w:val="002566C7"/>
    <w:rsid w:val="002567B9"/>
    <w:rsid w:val="00256A6B"/>
    <w:rsid w:val="00256CC4"/>
    <w:rsid w:val="00257032"/>
    <w:rsid w:val="002570C4"/>
    <w:rsid w:val="00257459"/>
    <w:rsid w:val="0025758A"/>
    <w:rsid w:val="00257D6D"/>
    <w:rsid w:val="002610B9"/>
    <w:rsid w:val="0026118B"/>
    <w:rsid w:val="002611DC"/>
    <w:rsid w:val="0026142D"/>
    <w:rsid w:val="0026161B"/>
    <w:rsid w:val="002618C3"/>
    <w:rsid w:val="00262237"/>
    <w:rsid w:val="00262F8B"/>
    <w:rsid w:val="0026391D"/>
    <w:rsid w:val="002639AF"/>
    <w:rsid w:val="00264BDD"/>
    <w:rsid w:val="00264CD5"/>
    <w:rsid w:val="00265157"/>
    <w:rsid w:val="002661E5"/>
    <w:rsid w:val="00266573"/>
    <w:rsid w:val="00266596"/>
    <w:rsid w:val="00266BE0"/>
    <w:rsid w:val="00267752"/>
    <w:rsid w:val="00267935"/>
    <w:rsid w:val="00267ED3"/>
    <w:rsid w:val="00270055"/>
    <w:rsid w:val="00270154"/>
    <w:rsid w:val="002705B1"/>
    <w:rsid w:val="002705DC"/>
    <w:rsid w:val="00270886"/>
    <w:rsid w:val="00270A13"/>
    <w:rsid w:val="00271137"/>
    <w:rsid w:val="002712E9"/>
    <w:rsid w:val="002714A5"/>
    <w:rsid w:val="00271AD8"/>
    <w:rsid w:val="00271D81"/>
    <w:rsid w:val="002724EE"/>
    <w:rsid w:val="00272B85"/>
    <w:rsid w:val="0027397E"/>
    <w:rsid w:val="00274AE7"/>
    <w:rsid w:val="00275043"/>
    <w:rsid w:val="002757C4"/>
    <w:rsid w:val="00275B7F"/>
    <w:rsid w:val="00275B94"/>
    <w:rsid w:val="0027666C"/>
    <w:rsid w:val="002767A3"/>
    <w:rsid w:val="00276EF4"/>
    <w:rsid w:val="002809EE"/>
    <w:rsid w:val="00280B22"/>
    <w:rsid w:val="00281012"/>
    <w:rsid w:val="002810C0"/>
    <w:rsid w:val="002824F5"/>
    <w:rsid w:val="0028329C"/>
    <w:rsid w:val="00283548"/>
    <w:rsid w:val="00284086"/>
    <w:rsid w:val="002841E9"/>
    <w:rsid w:val="00286469"/>
    <w:rsid w:val="00286C8F"/>
    <w:rsid w:val="00286CE5"/>
    <w:rsid w:val="00287036"/>
    <w:rsid w:val="00287211"/>
    <w:rsid w:val="002875B4"/>
    <w:rsid w:val="00287B43"/>
    <w:rsid w:val="00290E03"/>
    <w:rsid w:val="00290E50"/>
    <w:rsid w:val="002917AE"/>
    <w:rsid w:val="00291A62"/>
    <w:rsid w:val="002920C2"/>
    <w:rsid w:val="00292494"/>
    <w:rsid w:val="002925DE"/>
    <w:rsid w:val="0029358B"/>
    <w:rsid w:val="00294212"/>
    <w:rsid w:val="0029464A"/>
    <w:rsid w:val="00294756"/>
    <w:rsid w:val="002948A9"/>
    <w:rsid w:val="0029545C"/>
    <w:rsid w:val="00296615"/>
    <w:rsid w:val="00296B07"/>
    <w:rsid w:val="002A09BF"/>
    <w:rsid w:val="002A0C80"/>
    <w:rsid w:val="002A1570"/>
    <w:rsid w:val="002A1A03"/>
    <w:rsid w:val="002A1E57"/>
    <w:rsid w:val="002A23C3"/>
    <w:rsid w:val="002A2508"/>
    <w:rsid w:val="002A33BC"/>
    <w:rsid w:val="002A39EA"/>
    <w:rsid w:val="002A3BB1"/>
    <w:rsid w:val="002A3E46"/>
    <w:rsid w:val="002A3F2D"/>
    <w:rsid w:val="002A6271"/>
    <w:rsid w:val="002A7F22"/>
    <w:rsid w:val="002B050B"/>
    <w:rsid w:val="002B0F01"/>
    <w:rsid w:val="002B1938"/>
    <w:rsid w:val="002B1CDA"/>
    <w:rsid w:val="002B2C54"/>
    <w:rsid w:val="002B38BE"/>
    <w:rsid w:val="002B413D"/>
    <w:rsid w:val="002B4A36"/>
    <w:rsid w:val="002B57DA"/>
    <w:rsid w:val="002B64A0"/>
    <w:rsid w:val="002B7365"/>
    <w:rsid w:val="002C073F"/>
    <w:rsid w:val="002C0BEC"/>
    <w:rsid w:val="002C12FF"/>
    <w:rsid w:val="002C200B"/>
    <w:rsid w:val="002C2B65"/>
    <w:rsid w:val="002C36C5"/>
    <w:rsid w:val="002C3F91"/>
    <w:rsid w:val="002C4322"/>
    <w:rsid w:val="002C48A8"/>
    <w:rsid w:val="002C671D"/>
    <w:rsid w:val="002C67FA"/>
    <w:rsid w:val="002C68CA"/>
    <w:rsid w:val="002C690A"/>
    <w:rsid w:val="002C72CE"/>
    <w:rsid w:val="002C78ED"/>
    <w:rsid w:val="002D2148"/>
    <w:rsid w:val="002D233F"/>
    <w:rsid w:val="002D28EB"/>
    <w:rsid w:val="002D3AE2"/>
    <w:rsid w:val="002D3EC3"/>
    <w:rsid w:val="002D4C61"/>
    <w:rsid w:val="002D507E"/>
    <w:rsid w:val="002D5551"/>
    <w:rsid w:val="002D56E0"/>
    <w:rsid w:val="002D5F6F"/>
    <w:rsid w:val="002D60C5"/>
    <w:rsid w:val="002D64C3"/>
    <w:rsid w:val="002E0357"/>
    <w:rsid w:val="002E16AA"/>
    <w:rsid w:val="002E2DB9"/>
    <w:rsid w:val="002E3B54"/>
    <w:rsid w:val="002E46F8"/>
    <w:rsid w:val="002E5380"/>
    <w:rsid w:val="002E53D3"/>
    <w:rsid w:val="002E61C0"/>
    <w:rsid w:val="002E7C91"/>
    <w:rsid w:val="002E7C93"/>
    <w:rsid w:val="002F04FE"/>
    <w:rsid w:val="002F0795"/>
    <w:rsid w:val="002F0878"/>
    <w:rsid w:val="002F0C69"/>
    <w:rsid w:val="002F168C"/>
    <w:rsid w:val="002F2701"/>
    <w:rsid w:val="002F2805"/>
    <w:rsid w:val="002F3B10"/>
    <w:rsid w:val="002F3D8A"/>
    <w:rsid w:val="002F46C2"/>
    <w:rsid w:val="002F6EFA"/>
    <w:rsid w:val="002F7AFF"/>
    <w:rsid w:val="002F7D25"/>
    <w:rsid w:val="00300117"/>
    <w:rsid w:val="00300500"/>
    <w:rsid w:val="00300B4F"/>
    <w:rsid w:val="003010C1"/>
    <w:rsid w:val="0030122A"/>
    <w:rsid w:val="003030CD"/>
    <w:rsid w:val="00304714"/>
    <w:rsid w:val="00304829"/>
    <w:rsid w:val="003052E6"/>
    <w:rsid w:val="00305E22"/>
    <w:rsid w:val="00306452"/>
    <w:rsid w:val="003066A4"/>
    <w:rsid w:val="00306A36"/>
    <w:rsid w:val="00307793"/>
    <w:rsid w:val="0031065F"/>
    <w:rsid w:val="003106E9"/>
    <w:rsid w:val="00310D78"/>
    <w:rsid w:val="00310E35"/>
    <w:rsid w:val="003113D0"/>
    <w:rsid w:val="00311913"/>
    <w:rsid w:val="00311A3B"/>
    <w:rsid w:val="00313136"/>
    <w:rsid w:val="003142D1"/>
    <w:rsid w:val="003159C2"/>
    <w:rsid w:val="0031618B"/>
    <w:rsid w:val="00316448"/>
    <w:rsid w:val="00317388"/>
    <w:rsid w:val="0031795B"/>
    <w:rsid w:val="00317FBB"/>
    <w:rsid w:val="00320CB3"/>
    <w:rsid w:val="0032121C"/>
    <w:rsid w:val="003218A2"/>
    <w:rsid w:val="00321F32"/>
    <w:rsid w:val="00322427"/>
    <w:rsid w:val="00322D4E"/>
    <w:rsid w:val="003264AE"/>
    <w:rsid w:val="00326BC1"/>
    <w:rsid w:val="00326CBC"/>
    <w:rsid w:val="0032726B"/>
    <w:rsid w:val="003327D4"/>
    <w:rsid w:val="00332CD9"/>
    <w:rsid w:val="00332E48"/>
    <w:rsid w:val="00334EF6"/>
    <w:rsid w:val="003355DF"/>
    <w:rsid w:val="00336256"/>
    <w:rsid w:val="003374FA"/>
    <w:rsid w:val="00337992"/>
    <w:rsid w:val="00337A88"/>
    <w:rsid w:val="003405AC"/>
    <w:rsid w:val="00340900"/>
    <w:rsid w:val="00344217"/>
    <w:rsid w:val="00344B04"/>
    <w:rsid w:val="00344B85"/>
    <w:rsid w:val="003450E4"/>
    <w:rsid w:val="00345DA8"/>
    <w:rsid w:val="00346B3D"/>
    <w:rsid w:val="00346FA9"/>
    <w:rsid w:val="00346FCB"/>
    <w:rsid w:val="00350902"/>
    <w:rsid w:val="00350DBA"/>
    <w:rsid w:val="0035104F"/>
    <w:rsid w:val="003520DD"/>
    <w:rsid w:val="00352A51"/>
    <w:rsid w:val="00352FC7"/>
    <w:rsid w:val="00355872"/>
    <w:rsid w:val="00355A96"/>
    <w:rsid w:val="00355D04"/>
    <w:rsid w:val="003564B9"/>
    <w:rsid w:val="00356C4E"/>
    <w:rsid w:val="00357B59"/>
    <w:rsid w:val="00357B60"/>
    <w:rsid w:val="003605A1"/>
    <w:rsid w:val="003605A4"/>
    <w:rsid w:val="00360760"/>
    <w:rsid w:val="00361C2F"/>
    <w:rsid w:val="00361F13"/>
    <w:rsid w:val="00362AC8"/>
    <w:rsid w:val="00363EF9"/>
    <w:rsid w:val="00364EDB"/>
    <w:rsid w:val="00364F7A"/>
    <w:rsid w:val="003651D8"/>
    <w:rsid w:val="00366B18"/>
    <w:rsid w:val="00367BF0"/>
    <w:rsid w:val="00370F97"/>
    <w:rsid w:val="00371E98"/>
    <w:rsid w:val="00372313"/>
    <w:rsid w:val="0037265C"/>
    <w:rsid w:val="003730EF"/>
    <w:rsid w:val="003733AD"/>
    <w:rsid w:val="00373892"/>
    <w:rsid w:val="00373E77"/>
    <w:rsid w:val="00373EB3"/>
    <w:rsid w:val="003744A1"/>
    <w:rsid w:val="0037480A"/>
    <w:rsid w:val="00374901"/>
    <w:rsid w:val="00374924"/>
    <w:rsid w:val="003757AA"/>
    <w:rsid w:val="00375F1C"/>
    <w:rsid w:val="003767AE"/>
    <w:rsid w:val="0037741E"/>
    <w:rsid w:val="003812D6"/>
    <w:rsid w:val="00381F8E"/>
    <w:rsid w:val="00382728"/>
    <w:rsid w:val="00382D4D"/>
    <w:rsid w:val="003839C1"/>
    <w:rsid w:val="003847CE"/>
    <w:rsid w:val="00385390"/>
    <w:rsid w:val="0038568D"/>
    <w:rsid w:val="00385CA3"/>
    <w:rsid w:val="003874E4"/>
    <w:rsid w:val="00387880"/>
    <w:rsid w:val="003878AE"/>
    <w:rsid w:val="003901E1"/>
    <w:rsid w:val="003904A0"/>
    <w:rsid w:val="0039059F"/>
    <w:rsid w:val="00391001"/>
    <w:rsid w:val="00391B7E"/>
    <w:rsid w:val="00392330"/>
    <w:rsid w:val="00392A3C"/>
    <w:rsid w:val="00392D15"/>
    <w:rsid w:val="0039357C"/>
    <w:rsid w:val="00393A8F"/>
    <w:rsid w:val="00393E53"/>
    <w:rsid w:val="00397125"/>
    <w:rsid w:val="003972C1"/>
    <w:rsid w:val="00397A79"/>
    <w:rsid w:val="003A03E9"/>
    <w:rsid w:val="003A0A70"/>
    <w:rsid w:val="003A127F"/>
    <w:rsid w:val="003A1DDC"/>
    <w:rsid w:val="003A2326"/>
    <w:rsid w:val="003A258A"/>
    <w:rsid w:val="003A3F89"/>
    <w:rsid w:val="003A3FA6"/>
    <w:rsid w:val="003A4EE7"/>
    <w:rsid w:val="003A51A2"/>
    <w:rsid w:val="003A7E02"/>
    <w:rsid w:val="003B24B8"/>
    <w:rsid w:val="003B25BC"/>
    <w:rsid w:val="003B5008"/>
    <w:rsid w:val="003B5354"/>
    <w:rsid w:val="003B5BE1"/>
    <w:rsid w:val="003B64E6"/>
    <w:rsid w:val="003B6792"/>
    <w:rsid w:val="003B69D7"/>
    <w:rsid w:val="003B721A"/>
    <w:rsid w:val="003B7CA7"/>
    <w:rsid w:val="003C06F8"/>
    <w:rsid w:val="003C1D83"/>
    <w:rsid w:val="003C23A0"/>
    <w:rsid w:val="003C2960"/>
    <w:rsid w:val="003C2A73"/>
    <w:rsid w:val="003C3FBA"/>
    <w:rsid w:val="003C3FDB"/>
    <w:rsid w:val="003C4DD2"/>
    <w:rsid w:val="003C60AE"/>
    <w:rsid w:val="003C66C7"/>
    <w:rsid w:val="003C6A24"/>
    <w:rsid w:val="003C6AC6"/>
    <w:rsid w:val="003C6CD8"/>
    <w:rsid w:val="003C7305"/>
    <w:rsid w:val="003C7D7E"/>
    <w:rsid w:val="003D2346"/>
    <w:rsid w:val="003D2413"/>
    <w:rsid w:val="003D49DD"/>
    <w:rsid w:val="003D4BCC"/>
    <w:rsid w:val="003D51F2"/>
    <w:rsid w:val="003D6098"/>
    <w:rsid w:val="003D7705"/>
    <w:rsid w:val="003D7AC4"/>
    <w:rsid w:val="003E08D0"/>
    <w:rsid w:val="003E09E9"/>
    <w:rsid w:val="003E2327"/>
    <w:rsid w:val="003E26B8"/>
    <w:rsid w:val="003E2B32"/>
    <w:rsid w:val="003E34E7"/>
    <w:rsid w:val="003E363A"/>
    <w:rsid w:val="003E3EDB"/>
    <w:rsid w:val="003E42EE"/>
    <w:rsid w:val="003E4429"/>
    <w:rsid w:val="003E5E0C"/>
    <w:rsid w:val="003E5F75"/>
    <w:rsid w:val="003E61AB"/>
    <w:rsid w:val="003E6564"/>
    <w:rsid w:val="003E65E2"/>
    <w:rsid w:val="003E6FE5"/>
    <w:rsid w:val="003E77AA"/>
    <w:rsid w:val="003E7E64"/>
    <w:rsid w:val="003F094D"/>
    <w:rsid w:val="003F27D3"/>
    <w:rsid w:val="003F2A6E"/>
    <w:rsid w:val="003F2E04"/>
    <w:rsid w:val="003F3021"/>
    <w:rsid w:val="003F3D51"/>
    <w:rsid w:val="003F3DC7"/>
    <w:rsid w:val="003F480E"/>
    <w:rsid w:val="003F4D55"/>
    <w:rsid w:val="003F4FD8"/>
    <w:rsid w:val="003F50FC"/>
    <w:rsid w:val="003F55E9"/>
    <w:rsid w:val="003F5AAD"/>
    <w:rsid w:val="003F666E"/>
    <w:rsid w:val="003F7059"/>
    <w:rsid w:val="003F758E"/>
    <w:rsid w:val="00400AC3"/>
    <w:rsid w:val="004012E1"/>
    <w:rsid w:val="00402450"/>
    <w:rsid w:val="00403003"/>
    <w:rsid w:val="00403ABA"/>
    <w:rsid w:val="00405367"/>
    <w:rsid w:val="00405728"/>
    <w:rsid w:val="00405EA2"/>
    <w:rsid w:val="00406AB3"/>
    <w:rsid w:val="00407E86"/>
    <w:rsid w:val="00411D17"/>
    <w:rsid w:val="00411DDF"/>
    <w:rsid w:val="0041474C"/>
    <w:rsid w:val="00415387"/>
    <w:rsid w:val="004153FE"/>
    <w:rsid w:val="0041660D"/>
    <w:rsid w:val="004171D9"/>
    <w:rsid w:val="00417622"/>
    <w:rsid w:val="00421A2B"/>
    <w:rsid w:val="00422036"/>
    <w:rsid w:val="00422211"/>
    <w:rsid w:val="004229EE"/>
    <w:rsid w:val="00422A75"/>
    <w:rsid w:val="004231B2"/>
    <w:rsid w:val="0042339E"/>
    <w:rsid w:val="004239F9"/>
    <w:rsid w:val="00424D83"/>
    <w:rsid w:val="004257D8"/>
    <w:rsid w:val="00425820"/>
    <w:rsid w:val="00426377"/>
    <w:rsid w:val="0042746A"/>
    <w:rsid w:val="00427631"/>
    <w:rsid w:val="0042797E"/>
    <w:rsid w:val="00427B3F"/>
    <w:rsid w:val="004300B5"/>
    <w:rsid w:val="00430CBC"/>
    <w:rsid w:val="00430E91"/>
    <w:rsid w:val="00431202"/>
    <w:rsid w:val="00431582"/>
    <w:rsid w:val="00431C42"/>
    <w:rsid w:val="00432ACD"/>
    <w:rsid w:val="00432F2B"/>
    <w:rsid w:val="00433121"/>
    <w:rsid w:val="004342E8"/>
    <w:rsid w:val="00434AD2"/>
    <w:rsid w:val="0043603E"/>
    <w:rsid w:val="00436AB9"/>
    <w:rsid w:val="00441681"/>
    <w:rsid w:val="004421DB"/>
    <w:rsid w:val="00442353"/>
    <w:rsid w:val="00443077"/>
    <w:rsid w:val="00443149"/>
    <w:rsid w:val="00444C25"/>
    <w:rsid w:val="00444DAE"/>
    <w:rsid w:val="004453F7"/>
    <w:rsid w:val="004457F1"/>
    <w:rsid w:val="00446385"/>
    <w:rsid w:val="00446424"/>
    <w:rsid w:val="00446BE2"/>
    <w:rsid w:val="00450296"/>
    <w:rsid w:val="00450814"/>
    <w:rsid w:val="00450AF7"/>
    <w:rsid w:val="00450F20"/>
    <w:rsid w:val="00453470"/>
    <w:rsid w:val="004534EE"/>
    <w:rsid w:val="004537E3"/>
    <w:rsid w:val="004545BF"/>
    <w:rsid w:val="004547FE"/>
    <w:rsid w:val="004550F4"/>
    <w:rsid w:val="00455999"/>
    <w:rsid w:val="00457EF0"/>
    <w:rsid w:val="00457F45"/>
    <w:rsid w:val="00460296"/>
    <w:rsid w:val="00460689"/>
    <w:rsid w:val="004606C5"/>
    <w:rsid w:val="00460B8D"/>
    <w:rsid w:val="00461E39"/>
    <w:rsid w:val="0046202C"/>
    <w:rsid w:val="00462E28"/>
    <w:rsid w:val="00463C44"/>
    <w:rsid w:val="00464007"/>
    <w:rsid w:val="004665FA"/>
    <w:rsid w:val="00466F77"/>
    <w:rsid w:val="00470431"/>
    <w:rsid w:val="00470439"/>
    <w:rsid w:val="00470C7D"/>
    <w:rsid w:val="004712FB"/>
    <w:rsid w:val="004719C3"/>
    <w:rsid w:val="00472909"/>
    <w:rsid w:val="00472B28"/>
    <w:rsid w:val="00472F80"/>
    <w:rsid w:val="0047396C"/>
    <w:rsid w:val="00474CF7"/>
    <w:rsid w:val="0047511B"/>
    <w:rsid w:val="00475799"/>
    <w:rsid w:val="00475F51"/>
    <w:rsid w:val="0047644C"/>
    <w:rsid w:val="00476953"/>
    <w:rsid w:val="00476F47"/>
    <w:rsid w:val="0047768D"/>
    <w:rsid w:val="004776C0"/>
    <w:rsid w:val="00477C9A"/>
    <w:rsid w:val="00481278"/>
    <w:rsid w:val="00481A3B"/>
    <w:rsid w:val="00482F65"/>
    <w:rsid w:val="0048306D"/>
    <w:rsid w:val="0048372F"/>
    <w:rsid w:val="00483C77"/>
    <w:rsid w:val="00483DEF"/>
    <w:rsid w:val="00483E91"/>
    <w:rsid w:val="00484A51"/>
    <w:rsid w:val="004859DD"/>
    <w:rsid w:val="004862CD"/>
    <w:rsid w:val="004864B0"/>
    <w:rsid w:val="004876BA"/>
    <w:rsid w:val="004903A3"/>
    <w:rsid w:val="004905E2"/>
    <w:rsid w:val="00490B75"/>
    <w:rsid w:val="00490E79"/>
    <w:rsid w:val="0049144E"/>
    <w:rsid w:val="0049209D"/>
    <w:rsid w:val="00492761"/>
    <w:rsid w:val="00492C3C"/>
    <w:rsid w:val="00493894"/>
    <w:rsid w:val="00493FA4"/>
    <w:rsid w:val="004941EB"/>
    <w:rsid w:val="0049422C"/>
    <w:rsid w:val="00494822"/>
    <w:rsid w:val="004948CE"/>
    <w:rsid w:val="00494EF4"/>
    <w:rsid w:val="00495F41"/>
    <w:rsid w:val="0049626F"/>
    <w:rsid w:val="0049679C"/>
    <w:rsid w:val="004A0598"/>
    <w:rsid w:val="004A17EA"/>
    <w:rsid w:val="004A1B67"/>
    <w:rsid w:val="004A284A"/>
    <w:rsid w:val="004A34A9"/>
    <w:rsid w:val="004A396A"/>
    <w:rsid w:val="004A4CC5"/>
    <w:rsid w:val="004A5CED"/>
    <w:rsid w:val="004A6567"/>
    <w:rsid w:val="004A68B5"/>
    <w:rsid w:val="004A7599"/>
    <w:rsid w:val="004A7698"/>
    <w:rsid w:val="004A7ACE"/>
    <w:rsid w:val="004A7B71"/>
    <w:rsid w:val="004B0D39"/>
    <w:rsid w:val="004B1911"/>
    <w:rsid w:val="004B212C"/>
    <w:rsid w:val="004B3068"/>
    <w:rsid w:val="004B3460"/>
    <w:rsid w:val="004B39E8"/>
    <w:rsid w:val="004B3F82"/>
    <w:rsid w:val="004B42AA"/>
    <w:rsid w:val="004B45DB"/>
    <w:rsid w:val="004B4A5F"/>
    <w:rsid w:val="004B50AB"/>
    <w:rsid w:val="004B697A"/>
    <w:rsid w:val="004B788E"/>
    <w:rsid w:val="004C021C"/>
    <w:rsid w:val="004C1032"/>
    <w:rsid w:val="004C1A0E"/>
    <w:rsid w:val="004C3724"/>
    <w:rsid w:val="004C3FB0"/>
    <w:rsid w:val="004C475B"/>
    <w:rsid w:val="004C4ACB"/>
    <w:rsid w:val="004C4B17"/>
    <w:rsid w:val="004C4F03"/>
    <w:rsid w:val="004C5289"/>
    <w:rsid w:val="004C5545"/>
    <w:rsid w:val="004C5CB2"/>
    <w:rsid w:val="004C6615"/>
    <w:rsid w:val="004C7630"/>
    <w:rsid w:val="004C7773"/>
    <w:rsid w:val="004C7D61"/>
    <w:rsid w:val="004D11F6"/>
    <w:rsid w:val="004D1B9E"/>
    <w:rsid w:val="004D29FC"/>
    <w:rsid w:val="004D338E"/>
    <w:rsid w:val="004D3B1F"/>
    <w:rsid w:val="004D61F3"/>
    <w:rsid w:val="004D73A4"/>
    <w:rsid w:val="004E174A"/>
    <w:rsid w:val="004E2170"/>
    <w:rsid w:val="004E227E"/>
    <w:rsid w:val="004E327B"/>
    <w:rsid w:val="004E3A4E"/>
    <w:rsid w:val="004E52CD"/>
    <w:rsid w:val="004E560C"/>
    <w:rsid w:val="004E5D6B"/>
    <w:rsid w:val="004E6563"/>
    <w:rsid w:val="004E71AE"/>
    <w:rsid w:val="004F087C"/>
    <w:rsid w:val="004F0D36"/>
    <w:rsid w:val="004F19C7"/>
    <w:rsid w:val="004F3945"/>
    <w:rsid w:val="004F467F"/>
    <w:rsid w:val="004F5C48"/>
    <w:rsid w:val="004F6167"/>
    <w:rsid w:val="004F6878"/>
    <w:rsid w:val="004F72B1"/>
    <w:rsid w:val="0050106F"/>
    <w:rsid w:val="00501499"/>
    <w:rsid w:val="00501CB1"/>
    <w:rsid w:val="00501D63"/>
    <w:rsid w:val="005025D5"/>
    <w:rsid w:val="00502664"/>
    <w:rsid w:val="00502665"/>
    <w:rsid w:val="005034CD"/>
    <w:rsid w:val="00504265"/>
    <w:rsid w:val="0050431F"/>
    <w:rsid w:val="00504B74"/>
    <w:rsid w:val="00504F56"/>
    <w:rsid w:val="00507620"/>
    <w:rsid w:val="00507806"/>
    <w:rsid w:val="00507F57"/>
    <w:rsid w:val="00510E2E"/>
    <w:rsid w:val="00510EF7"/>
    <w:rsid w:val="00511F72"/>
    <w:rsid w:val="00512713"/>
    <w:rsid w:val="0051311D"/>
    <w:rsid w:val="00513295"/>
    <w:rsid w:val="00514998"/>
    <w:rsid w:val="00514B67"/>
    <w:rsid w:val="00514D28"/>
    <w:rsid w:val="00514E71"/>
    <w:rsid w:val="00514FE0"/>
    <w:rsid w:val="005150A2"/>
    <w:rsid w:val="005154CB"/>
    <w:rsid w:val="00516896"/>
    <w:rsid w:val="005171EA"/>
    <w:rsid w:val="005176BC"/>
    <w:rsid w:val="00517856"/>
    <w:rsid w:val="005178AB"/>
    <w:rsid w:val="005206C8"/>
    <w:rsid w:val="00521440"/>
    <w:rsid w:val="00521503"/>
    <w:rsid w:val="00521C22"/>
    <w:rsid w:val="00522A21"/>
    <w:rsid w:val="00523148"/>
    <w:rsid w:val="0052451C"/>
    <w:rsid w:val="00525705"/>
    <w:rsid w:val="00526424"/>
    <w:rsid w:val="005266EC"/>
    <w:rsid w:val="005267F9"/>
    <w:rsid w:val="005279B7"/>
    <w:rsid w:val="00531574"/>
    <w:rsid w:val="00532C2D"/>
    <w:rsid w:val="005330F7"/>
    <w:rsid w:val="0053485F"/>
    <w:rsid w:val="00535B84"/>
    <w:rsid w:val="005360B8"/>
    <w:rsid w:val="005363EB"/>
    <w:rsid w:val="00536FF5"/>
    <w:rsid w:val="005377A5"/>
    <w:rsid w:val="0054016D"/>
    <w:rsid w:val="00540DC4"/>
    <w:rsid w:val="00541267"/>
    <w:rsid w:val="0054145B"/>
    <w:rsid w:val="00541490"/>
    <w:rsid w:val="005414E8"/>
    <w:rsid w:val="00541CA8"/>
    <w:rsid w:val="0054217E"/>
    <w:rsid w:val="005450C0"/>
    <w:rsid w:val="005452C8"/>
    <w:rsid w:val="005455BC"/>
    <w:rsid w:val="00545853"/>
    <w:rsid w:val="005459F3"/>
    <w:rsid w:val="00545D00"/>
    <w:rsid w:val="00545D2F"/>
    <w:rsid w:val="0054684D"/>
    <w:rsid w:val="0054698D"/>
    <w:rsid w:val="005469CD"/>
    <w:rsid w:val="00546CA8"/>
    <w:rsid w:val="00550790"/>
    <w:rsid w:val="00550CD7"/>
    <w:rsid w:val="00550D9A"/>
    <w:rsid w:val="005513AB"/>
    <w:rsid w:val="00551D2C"/>
    <w:rsid w:val="00552193"/>
    <w:rsid w:val="00552728"/>
    <w:rsid w:val="005530CB"/>
    <w:rsid w:val="00553DE5"/>
    <w:rsid w:val="0055415F"/>
    <w:rsid w:val="00554311"/>
    <w:rsid w:val="00554EA3"/>
    <w:rsid w:val="005554C3"/>
    <w:rsid w:val="00555578"/>
    <w:rsid w:val="005555C0"/>
    <w:rsid w:val="005567C8"/>
    <w:rsid w:val="00557557"/>
    <w:rsid w:val="00560D1E"/>
    <w:rsid w:val="0056147B"/>
    <w:rsid w:val="005614C4"/>
    <w:rsid w:val="00562D4B"/>
    <w:rsid w:val="00563602"/>
    <w:rsid w:val="00563A8E"/>
    <w:rsid w:val="00564134"/>
    <w:rsid w:val="00565196"/>
    <w:rsid w:val="0056521B"/>
    <w:rsid w:val="00570CBB"/>
    <w:rsid w:val="00571149"/>
    <w:rsid w:val="0057132E"/>
    <w:rsid w:val="0057188A"/>
    <w:rsid w:val="00573CDD"/>
    <w:rsid w:val="005750B1"/>
    <w:rsid w:val="005759DE"/>
    <w:rsid w:val="00575EB8"/>
    <w:rsid w:val="005765F1"/>
    <w:rsid w:val="00580297"/>
    <w:rsid w:val="005805DC"/>
    <w:rsid w:val="0058137D"/>
    <w:rsid w:val="0058295A"/>
    <w:rsid w:val="00582F87"/>
    <w:rsid w:val="0058336E"/>
    <w:rsid w:val="00584092"/>
    <w:rsid w:val="0058488A"/>
    <w:rsid w:val="00585A60"/>
    <w:rsid w:val="00586223"/>
    <w:rsid w:val="005866A7"/>
    <w:rsid w:val="00586C43"/>
    <w:rsid w:val="00586FD5"/>
    <w:rsid w:val="00587186"/>
    <w:rsid w:val="005900D4"/>
    <w:rsid w:val="00590439"/>
    <w:rsid w:val="00590B8A"/>
    <w:rsid w:val="00590FED"/>
    <w:rsid w:val="00591655"/>
    <w:rsid w:val="0059204C"/>
    <w:rsid w:val="00593D9C"/>
    <w:rsid w:val="0059462D"/>
    <w:rsid w:val="0059540E"/>
    <w:rsid w:val="00596D21"/>
    <w:rsid w:val="005972F4"/>
    <w:rsid w:val="00597842"/>
    <w:rsid w:val="00597A23"/>
    <w:rsid w:val="00597DB7"/>
    <w:rsid w:val="00597F99"/>
    <w:rsid w:val="005A0886"/>
    <w:rsid w:val="005A1AA6"/>
    <w:rsid w:val="005A28D4"/>
    <w:rsid w:val="005A2BF0"/>
    <w:rsid w:val="005A2C2E"/>
    <w:rsid w:val="005A345F"/>
    <w:rsid w:val="005A3FCF"/>
    <w:rsid w:val="005A5B3E"/>
    <w:rsid w:val="005A677A"/>
    <w:rsid w:val="005A6989"/>
    <w:rsid w:val="005A70E0"/>
    <w:rsid w:val="005A7B59"/>
    <w:rsid w:val="005B0087"/>
    <w:rsid w:val="005B041E"/>
    <w:rsid w:val="005B0B5F"/>
    <w:rsid w:val="005B0E30"/>
    <w:rsid w:val="005B1203"/>
    <w:rsid w:val="005B2E21"/>
    <w:rsid w:val="005B37D0"/>
    <w:rsid w:val="005B3CA7"/>
    <w:rsid w:val="005B429C"/>
    <w:rsid w:val="005B50BB"/>
    <w:rsid w:val="005B6529"/>
    <w:rsid w:val="005B6D30"/>
    <w:rsid w:val="005B7CC0"/>
    <w:rsid w:val="005C015A"/>
    <w:rsid w:val="005C1887"/>
    <w:rsid w:val="005C1AA5"/>
    <w:rsid w:val="005C1CE3"/>
    <w:rsid w:val="005C1F4E"/>
    <w:rsid w:val="005C2407"/>
    <w:rsid w:val="005C24B8"/>
    <w:rsid w:val="005C2565"/>
    <w:rsid w:val="005C2856"/>
    <w:rsid w:val="005C2927"/>
    <w:rsid w:val="005C2D11"/>
    <w:rsid w:val="005C344A"/>
    <w:rsid w:val="005C3A04"/>
    <w:rsid w:val="005C4579"/>
    <w:rsid w:val="005C52CD"/>
    <w:rsid w:val="005C6507"/>
    <w:rsid w:val="005C7477"/>
    <w:rsid w:val="005C7674"/>
    <w:rsid w:val="005D0012"/>
    <w:rsid w:val="005D0734"/>
    <w:rsid w:val="005D0888"/>
    <w:rsid w:val="005D09B6"/>
    <w:rsid w:val="005D158B"/>
    <w:rsid w:val="005D1645"/>
    <w:rsid w:val="005D1F94"/>
    <w:rsid w:val="005D1FD6"/>
    <w:rsid w:val="005D26E9"/>
    <w:rsid w:val="005D2843"/>
    <w:rsid w:val="005D2D53"/>
    <w:rsid w:val="005D339D"/>
    <w:rsid w:val="005D34CE"/>
    <w:rsid w:val="005D3593"/>
    <w:rsid w:val="005D3D64"/>
    <w:rsid w:val="005D3E03"/>
    <w:rsid w:val="005D519B"/>
    <w:rsid w:val="005D520D"/>
    <w:rsid w:val="005D5387"/>
    <w:rsid w:val="005D53AF"/>
    <w:rsid w:val="005D5941"/>
    <w:rsid w:val="005D5C8C"/>
    <w:rsid w:val="005D6110"/>
    <w:rsid w:val="005D65BD"/>
    <w:rsid w:val="005D679E"/>
    <w:rsid w:val="005D690E"/>
    <w:rsid w:val="005D70B8"/>
    <w:rsid w:val="005D7299"/>
    <w:rsid w:val="005D73B5"/>
    <w:rsid w:val="005D73FF"/>
    <w:rsid w:val="005E041C"/>
    <w:rsid w:val="005E05A6"/>
    <w:rsid w:val="005E08CD"/>
    <w:rsid w:val="005E1826"/>
    <w:rsid w:val="005E1B16"/>
    <w:rsid w:val="005E1ED2"/>
    <w:rsid w:val="005E25F9"/>
    <w:rsid w:val="005E2CF2"/>
    <w:rsid w:val="005E2D5C"/>
    <w:rsid w:val="005E2DE0"/>
    <w:rsid w:val="005E4A6D"/>
    <w:rsid w:val="005F11C8"/>
    <w:rsid w:val="005F1489"/>
    <w:rsid w:val="005F163F"/>
    <w:rsid w:val="005F1F13"/>
    <w:rsid w:val="005F236C"/>
    <w:rsid w:val="005F2980"/>
    <w:rsid w:val="005F2E64"/>
    <w:rsid w:val="005F414D"/>
    <w:rsid w:val="005F534D"/>
    <w:rsid w:val="005F7652"/>
    <w:rsid w:val="00600E4B"/>
    <w:rsid w:val="00601273"/>
    <w:rsid w:val="0060130F"/>
    <w:rsid w:val="00603B77"/>
    <w:rsid w:val="006041FD"/>
    <w:rsid w:val="0060422B"/>
    <w:rsid w:val="006043F4"/>
    <w:rsid w:val="00604479"/>
    <w:rsid w:val="00604AE8"/>
    <w:rsid w:val="00604B30"/>
    <w:rsid w:val="00605427"/>
    <w:rsid w:val="0060584D"/>
    <w:rsid w:val="00605B72"/>
    <w:rsid w:val="0060667B"/>
    <w:rsid w:val="006068DC"/>
    <w:rsid w:val="00606F84"/>
    <w:rsid w:val="00607ABE"/>
    <w:rsid w:val="00607E34"/>
    <w:rsid w:val="0061075B"/>
    <w:rsid w:val="006115B7"/>
    <w:rsid w:val="006121BC"/>
    <w:rsid w:val="006122BC"/>
    <w:rsid w:val="00612A38"/>
    <w:rsid w:val="006140B0"/>
    <w:rsid w:val="0061550F"/>
    <w:rsid w:val="006174C2"/>
    <w:rsid w:val="006178F7"/>
    <w:rsid w:val="00617B6A"/>
    <w:rsid w:val="00617C71"/>
    <w:rsid w:val="00617CD7"/>
    <w:rsid w:val="00620EB1"/>
    <w:rsid w:val="00621A15"/>
    <w:rsid w:val="0062282E"/>
    <w:rsid w:val="00622B46"/>
    <w:rsid w:val="00622F42"/>
    <w:rsid w:val="00623D00"/>
    <w:rsid w:val="00623D54"/>
    <w:rsid w:val="00624DB6"/>
    <w:rsid w:val="00625277"/>
    <w:rsid w:val="00627029"/>
    <w:rsid w:val="0062753F"/>
    <w:rsid w:val="00632B62"/>
    <w:rsid w:val="0063389B"/>
    <w:rsid w:val="0063401F"/>
    <w:rsid w:val="00634184"/>
    <w:rsid w:val="00634289"/>
    <w:rsid w:val="00636E5F"/>
    <w:rsid w:val="00637600"/>
    <w:rsid w:val="0064004C"/>
    <w:rsid w:val="00640CE2"/>
    <w:rsid w:val="0064134A"/>
    <w:rsid w:val="00642443"/>
    <w:rsid w:val="0064262A"/>
    <w:rsid w:val="00642952"/>
    <w:rsid w:val="006429FA"/>
    <w:rsid w:val="00643510"/>
    <w:rsid w:val="0064381D"/>
    <w:rsid w:val="00645022"/>
    <w:rsid w:val="0064520E"/>
    <w:rsid w:val="006457DC"/>
    <w:rsid w:val="006458E7"/>
    <w:rsid w:val="00645DC1"/>
    <w:rsid w:val="006469BF"/>
    <w:rsid w:val="00647969"/>
    <w:rsid w:val="00647BB0"/>
    <w:rsid w:val="006505D6"/>
    <w:rsid w:val="00650657"/>
    <w:rsid w:val="0065070F"/>
    <w:rsid w:val="006507C5"/>
    <w:rsid w:val="00651288"/>
    <w:rsid w:val="0065270F"/>
    <w:rsid w:val="00652A81"/>
    <w:rsid w:val="006531FE"/>
    <w:rsid w:val="0065478A"/>
    <w:rsid w:val="00654DDE"/>
    <w:rsid w:val="00654E61"/>
    <w:rsid w:val="00654FE4"/>
    <w:rsid w:val="00656974"/>
    <w:rsid w:val="0065709B"/>
    <w:rsid w:val="006572DE"/>
    <w:rsid w:val="00657768"/>
    <w:rsid w:val="00657AEF"/>
    <w:rsid w:val="00657D62"/>
    <w:rsid w:val="00657F9A"/>
    <w:rsid w:val="00660141"/>
    <w:rsid w:val="006611A4"/>
    <w:rsid w:val="006613EB"/>
    <w:rsid w:val="006616E5"/>
    <w:rsid w:val="00662497"/>
    <w:rsid w:val="006646C5"/>
    <w:rsid w:val="00664771"/>
    <w:rsid w:val="00664A00"/>
    <w:rsid w:val="00665476"/>
    <w:rsid w:val="00665A31"/>
    <w:rsid w:val="00666357"/>
    <w:rsid w:val="006667AA"/>
    <w:rsid w:val="006672AF"/>
    <w:rsid w:val="00670389"/>
    <w:rsid w:val="00670A9E"/>
    <w:rsid w:val="00671BB7"/>
    <w:rsid w:val="00671F53"/>
    <w:rsid w:val="006722B4"/>
    <w:rsid w:val="006733DC"/>
    <w:rsid w:val="006733F3"/>
    <w:rsid w:val="006735DC"/>
    <w:rsid w:val="00676326"/>
    <w:rsid w:val="00677089"/>
    <w:rsid w:val="006771A4"/>
    <w:rsid w:val="00677970"/>
    <w:rsid w:val="00680475"/>
    <w:rsid w:val="006806C9"/>
    <w:rsid w:val="00682359"/>
    <w:rsid w:val="006823FC"/>
    <w:rsid w:val="00682EA7"/>
    <w:rsid w:val="0068377A"/>
    <w:rsid w:val="006861CE"/>
    <w:rsid w:val="00686C8F"/>
    <w:rsid w:val="006871DF"/>
    <w:rsid w:val="006871E9"/>
    <w:rsid w:val="00690645"/>
    <w:rsid w:val="0069095C"/>
    <w:rsid w:val="00691F3B"/>
    <w:rsid w:val="0069200F"/>
    <w:rsid w:val="0069286F"/>
    <w:rsid w:val="00692C59"/>
    <w:rsid w:val="00693E04"/>
    <w:rsid w:val="00693FE3"/>
    <w:rsid w:val="00694514"/>
    <w:rsid w:val="00694681"/>
    <w:rsid w:val="006956AB"/>
    <w:rsid w:val="00695E26"/>
    <w:rsid w:val="00697404"/>
    <w:rsid w:val="00697619"/>
    <w:rsid w:val="006979F4"/>
    <w:rsid w:val="006A114C"/>
    <w:rsid w:val="006A23C2"/>
    <w:rsid w:val="006A24F4"/>
    <w:rsid w:val="006A3747"/>
    <w:rsid w:val="006A3ACD"/>
    <w:rsid w:val="006A3BD9"/>
    <w:rsid w:val="006A4FCE"/>
    <w:rsid w:val="006A606A"/>
    <w:rsid w:val="006A6A85"/>
    <w:rsid w:val="006A6BA2"/>
    <w:rsid w:val="006B00B8"/>
    <w:rsid w:val="006B255B"/>
    <w:rsid w:val="006B25E0"/>
    <w:rsid w:val="006B2A3E"/>
    <w:rsid w:val="006B2D68"/>
    <w:rsid w:val="006B2ED5"/>
    <w:rsid w:val="006B3778"/>
    <w:rsid w:val="006B4892"/>
    <w:rsid w:val="006B4899"/>
    <w:rsid w:val="006B4DD4"/>
    <w:rsid w:val="006B5342"/>
    <w:rsid w:val="006B5401"/>
    <w:rsid w:val="006B61E4"/>
    <w:rsid w:val="006B6BF1"/>
    <w:rsid w:val="006B6FD2"/>
    <w:rsid w:val="006B7424"/>
    <w:rsid w:val="006B7E92"/>
    <w:rsid w:val="006C082B"/>
    <w:rsid w:val="006C0924"/>
    <w:rsid w:val="006C0D35"/>
    <w:rsid w:val="006C10CC"/>
    <w:rsid w:val="006C1257"/>
    <w:rsid w:val="006C142E"/>
    <w:rsid w:val="006C163E"/>
    <w:rsid w:val="006C22EB"/>
    <w:rsid w:val="006C3338"/>
    <w:rsid w:val="006C411C"/>
    <w:rsid w:val="006C4135"/>
    <w:rsid w:val="006C5170"/>
    <w:rsid w:val="006C531C"/>
    <w:rsid w:val="006C7535"/>
    <w:rsid w:val="006C753B"/>
    <w:rsid w:val="006C7818"/>
    <w:rsid w:val="006C7867"/>
    <w:rsid w:val="006D15D2"/>
    <w:rsid w:val="006D3F01"/>
    <w:rsid w:val="006D3FF1"/>
    <w:rsid w:val="006D455A"/>
    <w:rsid w:val="006D5060"/>
    <w:rsid w:val="006D5785"/>
    <w:rsid w:val="006D5DCE"/>
    <w:rsid w:val="006D6C7F"/>
    <w:rsid w:val="006D7522"/>
    <w:rsid w:val="006E08E8"/>
    <w:rsid w:val="006E0AC3"/>
    <w:rsid w:val="006E1015"/>
    <w:rsid w:val="006E169C"/>
    <w:rsid w:val="006E1C93"/>
    <w:rsid w:val="006E1FB4"/>
    <w:rsid w:val="006E2625"/>
    <w:rsid w:val="006E2B22"/>
    <w:rsid w:val="006E2E56"/>
    <w:rsid w:val="006E3E2E"/>
    <w:rsid w:val="006E3EA1"/>
    <w:rsid w:val="006E458C"/>
    <w:rsid w:val="006E45F2"/>
    <w:rsid w:val="006E4760"/>
    <w:rsid w:val="006E7045"/>
    <w:rsid w:val="006E7DB2"/>
    <w:rsid w:val="006F09C3"/>
    <w:rsid w:val="006F16D0"/>
    <w:rsid w:val="006F1CD7"/>
    <w:rsid w:val="006F26A2"/>
    <w:rsid w:val="006F3C7A"/>
    <w:rsid w:val="006F4881"/>
    <w:rsid w:val="006F5122"/>
    <w:rsid w:val="006F59B1"/>
    <w:rsid w:val="006F659D"/>
    <w:rsid w:val="006F6735"/>
    <w:rsid w:val="006F74C7"/>
    <w:rsid w:val="006F7C72"/>
    <w:rsid w:val="007017E2"/>
    <w:rsid w:val="00701938"/>
    <w:rsid w:val="0070307A"/>
    <w:rsid w:val="00703C85"/>
    <w:rsid w:val="00704361"/>
    <w:rsid w:val="007053A2"/>
    <w:rsid w:val="00705E0B"/>
    <w:rsid w:val="00705FB4"/>
    <w:rsid w:val="00706445"/>
    <w:rsid w:val="00706536"/>
    <w:rsid w:val="00706720"/>
    <w:rsid w:val="007079FE"/>
    <w:rsid w:val="0071103A"/>
    <w:rsid w:val="00711606"/>
    <w:rsid w:val="0071336F"/>
    <w:rsid w:val="00713D8A"/>
    <w:rsid w:val="00713FDA"/>
    <w:rsid w:val="00714C2A"/>
    <w:rsid w:val="0071503C"/>
    <w:rsid w:val="00716029"/>
    <w:rsid w:val="00716F89"/>
    <w:rsid w:val="00717AA9"/>
    <w:rsid w:val="007201D7"/>
    <w:rsid w:val="007203FD"/>
    <w:rsid w:val="007204DA"/>
    <w:rsid w:val="00721657"/>
    <w:rsid w:val="007217BB"/>
    <w:rsid w:val="007218B0"/>
    <w:rsid w:val="00721E3B"/>
    <w:rsid w:val="0072221F"/>
    <w:rsid w:val="0072229A"/>
    <w:rsid w:val="007224C2"/>
    <w:rsid w:val="0072277E"/>
    <w:rsid w:val="007230CF"/>
    <w:rsid w:val="007236E6"/>
    <w:rsid w:val="00723E5E"/>
    <w:rsid w:val="00724176"/>
    <w:rsid w:val="007249FC"/>
    <w:rsid w:val="007251FF"/>
    <w:rsid w:val="007262BB"/>
    <w:rsid w:val="0072715A"/>
    <w:rsid w:val="00727536"/>
    <w:rsid w:val="007314E9"/>
    <w:rsid w:val="00731801"/>
    <w:rsid w:val="00731D40"/>
    <w:rsid w:val="007329AD"/>
    <w:rsid w:val="00732A33"/>
    <w:rsid w:val="00733CAB"/>
    <w:rsid w:val="00735FB8"/>
    <w:rsid w:val="007374E5"/>
    <w:rsid w:val="0073776E"/>
    <w:rsid w:val="007404B0"/>
    <w:rsid w:val="00740754"/>
    <w:rsid w:val="00740A6D"/>
    <w:rsid w:val="00741061"/>
    <w:rsid w:val="007419F5"/>
    <w:rsid w:val="00741BB7"/>
    <w:rsid w:val="00742181"/>
    <w:rsid w:val="007425A6"/>
    <w:rsid w:val="007428D0"/>
    <w:rsid w:val="00742DEB"/>
    <w:rsid w:val="00742E73"/>
    <w:rsid w:val="00743337"/>
    <w:rsid w:val="00743D84"/>
    <w:rsid w:val="00744D9B"/>
    <w:rsid w:val="0074550A"/>
    <w:rsid w:val="007455FE"/>
    <w:rsid w:val="00745AD4"/>
    <w:rsid w:val="00745E99"/>
    <w:rsid w:val="007463A3"/>
    <w:rsid w:val="007468F0"/>
    <w:rsid w:val="007500F3"/>
    <w:rsid w:val="007502A3"/>
    <w:rsid w:val="00750B7B"/>
    <w:rsid w:val="00750CDF"/>
    <w:rsid w:val="007512AA"/>
    <w:rsid w:val="007516DA"/>
    <w:rsid w:val="00751F52"/>
    <w:rsid w:val="00752100"/>
    <w:rsid w:val="007521BE"/>
    <w:rsid w:val="00753711"/>
    <w:rsid w:val="00753A99"/>
    <w:rsid w:val="00754654"/>
    <w:rsid w:val="007551EE"/>
    <w:rsid w:val="00755963"/>
    <w:rsid w:val="007569A1"/>
    <w:rsid w:val="00756B2A"/>
    <w:rsid w:val="00756F01"/>
    <w:rsid w:val="00760A0E"/>
    <w:rsid w:val="00760D19"/>
    <w:rsid w:val="00761BE4"/>
    <w:rsid w:val="00761E07"/>
    <w:rsid w:val="00762880"/>
    <w:rsid w:val="00762FE6"/>
    <w:rsid w:val="007631AE"/>
    <w:rsid w:val="00763412"/>
    <w:rsid w:val="007640D0"/>
    <w:rsid w:val="007640D7"/>
    <w:rsid w:val="00764D13"/>
    <w:rsid w:val="00766268"/>
    <w:rsid w:val="00766CDA"/>
    <w:rsid w:val="00766DDB"/>
    <w:rsid w:val="00771043"/>
    <w:rsid w:val="00771E86"/>
    <w:rsid w:val="007724D4"/>
    <w:rsid w:val="007728D3"/>
    <w:rsid w:val="00774071"/>
    <w:rsid w:val="00774B87"/>
    <w:rsid w:val="00774E15"/>
    <w:rsid w:val="00775000"/>
    <w:rsid w:val="00775303"/>
    <w:rsid w:val="007757AA"/>
    <w:rsid w:val="0077707B"/>
    <w:rsid w:val="00777CAB"/>
    <w:rsid w:val="00780404"/>
    <w:rsid w:val="0078186E"/>
    <w:rsid w:val="00782CEA"/>
    <w:rsid w:val="00782E5B"/>
    <w:rsid w:val="0078330F"/>
    <w:rsid w:val="00784080"/>
    <w:rsid w:val="0078540D"/>
    <w:rsid w:val="00785410"/>
    <w:rsid w:val="00785A57"/>
    <w:rsid w:val="00785E9A"/>
    <w:rsid w:val="007869BB"/>
    <w:rsid w:val="00790D77"/>
    <w:rsid w:val="007911E3"/>
    <w:rsid w:val="007913EB"/>
    <w:rsid w:val="00791F77"/>
    <w:rsid w:val="007941C8"/>
    <w:rsid w:val="0079434A"/>
    <w:rsid w:val="007948D7"/>
    <w:rsid w:val="00794D39"/>
    <w:rsid w:val="0079567F"/>
    <w:rsid w:val="007978B4"/>
    <w:rsid w:val="00797D14"/>
    <w:rsid w:val="00797D53"/>
    <w:rsid w:val="007A05A1"/>
    <w:rsid w:val="007A075E"/>
    <w:rsid w:val="007A0DB2"/>
    <w:rsid w:val="007A1026"/>
    <w:rsid w:val="007A1CB5"/>
    <w:rsid w:val="007A1E22"/>
    <w:rsid w:val="007A2762"/>
    <w:rsid w:val="007A2D8C"/>
    <w:rsid w:val="007A347E"/>
    <w:rsid w:val="007A3DCE"/>
    <w:rsid w:val="007A4123"/>
    <w:rsid w:val="007A4893"/>
    <w:rsid w:val="007A48A1"/>
    <w:rsid w:val="007A5F33"/>
    <w:rsid w:val="007A6AB8"/>
    <w:rsid w:val="007A6E7A"/>
    <w:rsid w:val="007A7938"/>
    <w:rsid w:val="007A7E00"/>
    <w:rsid w:val="007B0D06"/>
    <w:rsid w:val="007B0E22"/>
    <w:rsid w:val="007B21F3"/>
    <w:rsid w:val="007B4167"/>
    <w:rsid w:val="007B435F"/>
    <w:rsid w:val="007B447E"/>
    <w:rsid w:val="007B45C0"/>
    <w:rsid w:val="007B4852"/>
    <w:rsid w:val="007B5DF9"/>
    <w:rsid w:val="007B65B3"/>
    <w:rsid w:val="007B6DB0"/>
    <w:rsid w:val="007B71AA"/>
    <w:rsid w:val="007C14C2"/>
    <w:rsid w:val="007C1F5B"/>
    <w:rsid w:val="007C3540"/>
    <w:rsid w:val="007C3CD3"/>
    <w:rsid w:val="007C530F"/>
    <w:rsid w:val="007C5BA4"/>
    <w:rsid w:val="007C6613"/>
    <w:rsid w:val="007C6B01"/>
    <w:rsid w:val="007C6B7B"/>
    <w:rsid w:val="007C70E8"/>
    <w:rsid w:val="007C754B"/>
    <w:rsid w:val="007D0D32"/>
    <w:rsid w:val="007D183A"/>
    <w:rsid w:val="007D2E92"/>
    <w:rsid w:val="007D2F1A"/>
    <w:rsid w:val="007D358A"/>
    <w:rsid w:val="007D4892"/>
    <w:rsid w:val="007D51CB"/>
    <w:rsid w:val="007D546E"/>
    <w:rsid w:val="007D54CD"/>
    <w:rsid w:val="007D5B51"/>
    <w:rsid w:val="007D5B7A"/>
    <w:rsid w:val="007D64CA"/>
    <w:rsid w:val="007D6D29"/>
    <w:rsid w:val="007D7684"/>
    <w:rsid w:val="007E035D"/>
    <w:rsid w:val="007E099C"/>
    <w:rsid w:val="007E2537"/>
    <w:rsid w:val="007E314D"/>
    <w:rsid w:val="007E346E"/>
    <w:rsid w:val="007E407D"/>
    <w:rsid w:val="007E59E7"/>
    <w:rsid w:val="007E7978"/>
    <w:rsid w:val="007F0B66"/>
    <w:rsid w:val="007F123F"/>
    <w:rsid w:val="007F1949"/>
    <w:rsid w:val="007F23C8"/>
    <w:rsid w:val="007F2F2E"/>
    <w:rsid w:val="007F3550"/>
    <w:rsid w:val="007F4032"/>
    <w:rsid w:val="007F4DA9"/>
    <w:rsid w:val="007F5561"/>
    <w:rsid w:val="007F5F6D"/>
    <w:rsid w:val="007F78C2"/>
    <w:rsid w:val="007F7A51"/>
    <w:rsid w:val="007F7F57"/>
    <w:rsid w:val="00801156"/>
    <w:rsid w:val="00801202"/>
    <w:rsid w:val="0080123C"/>
    <w:rsid w:val="008024B8"/>
    <w:rsid w:val="008033AD"/>
    <w:rsid w:val="00804A69"/>
    <w:rsid w:val="00804CA8"/>
    <w:rsid w:val="00805408"/>
    <w:rsid w:val="00805599"/>
    <w:rsid w:val="00805C38"/>
    <w:rsid w:val="00805F3A"/>
    <w:rsid w:val="008101E9"/>
    <w:rsid w:val="008111F4"/>
    <w:rsid w:val="00814686"/>
    <w:rsid w:val="0081562C"/>
    <w:rsid w:val="008157F3"/>
    <w:rsid w:val="00816D1A"/>
    <w:rsid w:val="00817941"/>
    <w:rsid w:val="00817A71"/>
    <w:rsid w:val="00817F10"/>
    <w:rsid w:val="00820F01"/>
    <w:rsid w:val="00821D84"/>
    <w:rsid w:val="008220CD"/>
    <w:rsid w:val="00823993"/>
    <w:rsid w:val="00823D1C"/>
    <w:rsid w:val="008256DD"/>
    <w:rsid w:val="00825E22"/>
    <w:rsid w:val="0082621B"/>
    <w:rsid w:val="00826E3E"/>
    <w:rsid w:val="00827DB5"/>
    <w:rsid w:val="00830557"/>
    <w:rsid w:val="008321A5"/>
    <w:rsid w:val="008321BE"/>
    <w:rsid w:val="008323BA"/>
    <w:rsid w:val="008327DA"/>
    <w:rsid w:val="00833413"/>
    <w:rsid w:val="008335BF"/>
    <w:rsid w:val="00833C8C"/>
    <w:rsid w:val="0083459D"/>
    <w:rsid w:val="00834841"/>
    <w:rsid w:val="008351E5"/>
    <w:rsid w:val="00835AFC"/>
    <w:rsid w:val="00836186"/>
    <w:rsid w:val="008366B6"/>
    <w:rsid w:val="0083713E"/>
    <w:rsid w:val="00837278"/>
    <w:rsid w:val="00837318"/>
    <w:rsid w:val="008401F0"/>
    <w:rsid w:val="00840207"/>
    <w:rsid w:val="00840A3F"/>
    <w:rsid w:val="00840D8B"/>
    <w:rsid w:val="0084164E"/>
    <w:rsid w:val="00843A34"/>
    <w:rsid w:val="00843C0F"/>
    <w:rsid w:val="00844EBD"/>
    <w:rsid w:val="008453B4"/>
    <w:rsid w:val="0084605D"/>
    <w:rsid w:val="00846233"/>
    <w:rsid w:val="00846B41"/>
    <w:rsid w:val="008471E4"/>
    <w:rsid w:val="008477A9"/>
    <w:rsid w:val="00850BE0"/>
    <w:rsid w:val="008519C2"/>
    <w:rsid w:val="008524D8"/>
    <w:rsid w:val="00854C25"/>
    <w:rsid w:val="00855011"/>
    <w:rsid w:val="008562E2"/>
    <w:rsid w:val="00857835"/>
    <w:rsid w:val="0086002A"/>
    <w:rsid w:val="00860088"/>
    <w:rsid w:val="0086069C"/>
    <w:rsid w:val="00860E61"/>
    <w:rsid w:val="0086127D"/>
    <w:rsid w:val="008624C2"/>
    <w:rsid w:val="0086274D"/>
    <w:rsid w:val="008640F3"/>
    <w:rsid w:val="008645BE"/>
    <w:rsid w:val="00866B4F"/>
    <w:rsid w:val="00867A10"/>
    <w:rsid w:val="00867A5F"/>
    <w:rsid w:val="00871410"/>
    <w:rsid w:val="008716F6"/>
    <w:rsid w:val="00871E7E"/>
    <w:rsid w:val="00875469"/>
    <w:rsid w:val="00875AC9"/>
    <w:rsid w:val="00876234"/>
    <w:rsid w:val="0087627C"/>
    <w:rsid w:val="0087683C"/>
    <w:rsid w:val="00876E82"/>
    <w:rsid w:val="00877213"/>
    <w:rsid w:val="00877922"/>
    <w:rsid w:val="00877ADF"/>
    <w:rsid w:val="00877B57"/>
    <w:rsid w:val="008804D0"/>
    <w:rsid w:val="008805CC"/>
    <w:rsid w:val="00881D17"/>
    <w:rsid w:val="00882FC7"/>
    <w:rsid w:val="0088336E"/>
    <w:rsid w:val="008836BE"/>
    <w:rsid w:val="00884784"/>
    <w:rsid w:val="008849CA"/>
    <w:rsid w:val="00884F89"/>
    <w:rsid w:val="00885F3F"/>
    <w:rsid w:val="0088606D"/>
    <w:rsid w:val="00891148"/>
    <w:rsid w:val="00891506"/>
    <w:rsid w:val="008915E4"/>
    <w:rsid w:val="0089191D"/>
    <w:rsid w:val="00891982"/>
    <w:rsid w:val="00891C35"/>
    <w:rsid w:val="00891D27"/>
    <w:rsid w:val="00891F92"/>
    <w:rsid w:val="008921BB"/>
    <w:rsid w:val="008925DD"/>
    <w:rsid w:val="008927E4"/>
    <w:rsid w:val="008932BC"/>
    <w:rsid w:val="00894124"/>
    <w:rsid w:val="008963DE"/>
    <w:rsid w:val="00896CB9"/>
    <w:rsid w:val="008A146C"/>
    <w:rsid w:val="008A1656"/>
    <w:rsid w:val="008A24CC"/>
    <w:rsid w:val="008A4EF7"/>
    <w:rsid w:val="008A51F9"/>
    <w:rsid w:val="008A5835"/>
    <w:rsid w:val="008A58FF"/>
    <w:rsid w:val="008A5926"/>
    <w:rsid w:val="008A5C85"/>
    <w:rsid w:val="008A671F"/>
    <w:rsid w:val="008A6D7A"/>
    <w:rsid w:val="008A6EC3"/>
    <w:rsid w:val="008A739A"/>
    <w:rsid w:val="008A74FA"/>
    <w:rsid w:val="008B035E"/>
    <w:rsid w:val="008B0FB7"/>
    <w:rsid w:val="008B111B"/>
    <w:rsid w:val="008B3BD8"/>
    <w:rsid w:val="008B4381"/>
    <w:rsid w:val="008B4985"/>
    <w:rsid w:val="008B53B3"/>
    <w:rsid w:val="008B5DD1"/>
    <w:rsid w:val="008B613C"/>
    <w:rsid w:val="008B64C7"/>
    <w:rsid w:val="008B76BF"/>
    <w:rsid w:val="008C109F"/>
    <w:rsid w:val="008C1730"/>
    <w:rsid w:val="008C197C"/>
    <w:rsid w:val="008C2EFD"/>
    <w:rsid w:val="008C2FA6"/>
    <w:rsid w:val="008C3A02"/>
    <w:rsid w:val="008C3C7A"/>
    <w:rsid w:val="008C4496"/>
    <w:rsid w:val="008C4827"/>
    <w:rsid w:val="008C588A"/>
    <w:rsid w:val="008C5B7C"/>
    <w:rsid w:val="008C75DC"/>
    <w:rsid w:val="008C7BBD"/>
    <w:rsid w:val="008D1984"/>
    <w:rsid w:val="008D1C42"/>
    <w:rsid w:val="008D25D6"/>
    <w:rsid w:val="008D3358"/>
    <w:rsid w:val="008D38CF"/>
    <w:rsid w:val="008D3FAF"/>
    <w:rsid w:val="008D4976"/>
    <w:rsid w:val="008D4D46"/>
    <w:rsid w:val="008D63E0"/>
    <w:rsid w:val="008D69B1"/>
    <w:rsid w:val="008D70BB"/>
    <w:rsid w:val="008D71C2"/>
    <w:rsid w:val="008D7D4C"/>
    <w:rsid w:val="008E0F8A"/>
    <w:rsid w:val="008E12F5"/>
    <w:rsid w:val="008E157A"/>
    <w:rsid w:val="008E157D"/>
    <w:rsid w:val="008E1C38"/>
    <w:rsid w:val="008E3B45"/>
    <w:rsid w:val="008E422E"/>
    <w:rsid w:val="008E558B"/>
    <w:rsid w:val="008E6833"/>
    <w:rsid w:val="008E694F"/>
    <w:rsid w:val="008E6DE7"/>
    <w:rsid w:val="008E7D57"/>
    <w:rsid w:val="008E7E12"/>
    <w:rsid w:val="008F1ACB"/>
    <w:rsid w:val="008F1E61"/>
    <w:rsid w:val="008F24B0"/>
    <w:rsid w:val="008F2D6C"/>
    <w:rsid w:val="008F4AF9"/>
    <w:rsid w:val="008F5359"/>
    <w:rsid w:val="008F5C39"/>
    <w:rsid w:val="008F66E3"/>
    <w:rsid w:val="008F6E5F"/>
    <w:rsid w:val="008F6FBF"/>
    <w:rsid w:val="00900A62"/>
    <w:rsid w:val="00900CA2"/>
    <w:rsid w:val="00900EC4"/>
    <w:rsid w:val="009012E4"/>
    <w:rsid w:val="00901BF0"/>
    <w:rsid w:val="00902047"/>
    <w:rsid w:val="00902441"/>
    <w:rsid w:val="0090376D"/>
    <w:rsid w:val="009042A8"/>
    <w:rsid w:val="00905285"/>
    <w:rsid w:val="00905DDC"/>
    <w:rsid w:val="00905E05"/>
    <w:rsid w:val="00907258"/>
    <w:rsid w:val="00910279"/>
    <w:rsid w:val="00910615"/>
    <w:rsid w:val="009108BE"/>
    <w:rsid w:val="00911A5F"/>
    <w:rsid w:val="00911C9D"/>
    <w:rsid w:val="00912234"/>
    <w:rsid w:val="00912C9D"/>
    <w:rsid w:val="009131D1"/>
    <w:rsid w:val="00913990"/>
    <w:rsid w:val="0091400F"/>
    <w:rsid w:val="009157F4"/>
    <w:rsid w:val="00916300"/>
    <w:rsid w:val="009168B9"/>
    <w:rsid w:val="009175E0"/>
    <w:rsid w:val="00920497"/>
    <w:rsid w:val="00921523"/>
    <w:rsid w:val="00922CDA"/>
    <w:rsid w:val="00923842"/>
    <w:rsid w:val="00923C8B"/>
    <w:rsid w:val="00924848"/>
    <w:rsid w:val="00924A1C"/>
    <w:rsid w:val="00925CA5"/>
    <w:rsid w:val="00925EAC"/>
    <w:rsid w:val="00926174"/>
    <w:rsid w:val="00926314"/>
    <w:rsid w:val="0092664C"/>
    <w:rsid w:val="00926791"/>
    <w:rsid w:val="00926D1E"/>
    <w:rsid w:val="0093084A"/>
    <w:rsid w:val="00931581"/>
    <w:rsid w:val="0093219A"/>
    <w:rsid w:val="00932B4B"/>
    <w:rsid w:val="00932CA9"/>
    <w:rsid w:val="009343E9"/>
    <w:rsid w:val="00934C06"/>
    <w:rsid w:val="00934E75"/>
    <w:rsid w:val="009364F9"/>
    <w:rsid w:val="009366F9"/>
    <w:rsid w:val="0093693D"/>
    <w:rsid w:val="00937C54"/>
    <w:rsid w:val="009409F1"/>
    <w:rsid w:val="00940DAC"/>
    <w:rsid w:val="00941030"/>
    <w:rsid w:val="00941318"/>
    <w:rsid w:val="00941818"/>
    <w:rsid w:val="00943751"/>
    <w:rsid w:val="00943CD2"/>
    <w:rsid w:val="009444CA"/>
    <w:rsid w:val="009445B2"/>
    <w:rsid w:val="00945686"/>
    <w:rsid w:val="00947368"/>
    <w:rsid w:val="00947847"/>
    <w:rsid w:val="009505DF"/>
    <w:rsid w:val="009515F0"/>
    <w:rsid w:val="00951DD0"/>
    <w:rsid w:val="00952387"/>
    <w:rsid w:val="00952D30"/>
    <w:rsid w:val="00952D7D"/>
    <w:rsid w:val="009532ED"/>
    <w:rsid w:val="0095468B"/>
    <w:rsid w:val="0095569F"/>
    <w:rsid w:val="00955B2E"/>
    <w:rsid w:val="00955D48"/>
    <w:rsid w:val="00955E97"/>
    <w:rsid w:val="009564BA"/>
    <w:rsid w:val="00956C2C"/>
    <w:rsid w:val="009572D7"/>
    <w:rsid w:val="009603B4"/>
    <w:rsid w:val="00960753"/>
    <w:rsid w:val="00960F85"/>
    <w:rsid w:val="00962E2F"/>
    <w:rsid w:val="009632F1"/>
    <w:rsid w:val="00963325"/>
    <w:rsid w:val="00965061"/>
    <w:rsid w:val="009651A6"/>
    <w:rsid w:val="009651F5"/>
    <w:rsid w:val="009678A3"/>
    <w:rsid w:val="00967935"/>
    <w:rsid w:val="00967ACD"/>
    <w:rsid w:val="00970B75"/>
    <w:rsid w:val="00970F7D"/>
    <w:rsid w:val="00972C1F"/>
    <w:rsid w:val="0097422A"/>
    <w:rsid w:val="00974992"/>
    <w:rsid w:val="009749FC"/>
    <w:rsid w:val="00974B96"/>
    <w:rsid w:val="00974FB0"/>
    <w:rsid w:val="00974FCD"/>
    <w:rsid w:val="00975DFC"/>
    <w:rsid w:val="00976016"/>
    <w:rsid w:val="0097614B"/>
    <w:rsid w:val="00976BE3"/>
    <w:rsid w:val="0097716C"/>
    <w:rsid w:val="00977423"/>
    <w:rsid w:val="00977445"/>
    <w:rsid w:val="009779EB"/>
    <w:rsid w:val="00977BC5"/>
    <w:rsid w:val="00980507"/>
    <w:rsid w:val="009808DF"/>
    <w:rsid w:val="00980949"/>
    <w:rsid w:val="00981C91"/>
    <w:rsid w:val="00982663"/>
    <w:rsid w:val="0098348E"/>
    <w:rsid w:val="009837DB"/>
    <w:rsid w:val="009846E0"/>
    <w:rsid w:val="00985143"/>
    <w:rsid w:val="00985B7C"/>
    <w:rsid w:val="00985F78"/>
    <w:rsid w:val="009863CD"/>
    <w:rsid w:val="009868EE"/>
    <w:rsid w:val="00987AC6"/>
    <w:rsid w:val="009906C4"/>
    <w:rsid w:val="0099095C"/>
    <w:rsid w:val="0099166F"/>
    <w:rsid w:val="00991D8B"/>
    <w:rsid w:val="00992351"/>
    <w:rsid w:val="009926B0"/>
    <w:rsid w:val="009936DD"/>
    <w:rsid w:val="00993EA1"/>
    <w:rsid w:val="009940A4"/>
    <w:rsid w:val="00995301"/>
    <w:rsid w:val="009958DB"/>
    <w:rsid w:val="00995BD8"/>
    <w:rsid w:val="00996787"/>
    <w:rsid w:val="009A1CF5"/>
    <w:rsid w:val="009A1DBA"/>
    <w:rsid w:val="009A2199"/>
    <w:rsid w:val="009A29CC"/>
    <w:rsid w:val="009A4015"/>
    <w:rsid w:val="009A410E"/>
    <w:rsid w:val="009A51FF"/>
    <w:rsid w:val="009A5200"/>
    <w:rsid w:val="009A64F7"/>
    <w:rsid w:val="009A6633"/>
    <w:rsid w:val="009A690D"/>
    <w:rsid w:val="009A6EA3"/>
    <w:rsid w:val="009A7909"/>
    <w:rsid w:val="009B0E48"/>
    <w:rsid w:val="009B1032"/>
    <w:rsid w:val="009B1886"/>
    <w:rsid w:val="009B1973"/>
    <w:rsid w:val="009B1A52"/>
    <w:rsid w:val="009B2950"/>
    <w:rsid w:val="009B2F14"/>
    <w:rsid w:val="009B3C4E"/>
    <w:rsid w:val="009B41A8"/>
    <w:rsid w:val="009B4932"/>
    <w:rsid w:val="009B4FA3"/>
    <w:rsid w:val="009B556B"/>
    <w:rsid w:val="009B5718"/>
    <w:rsid w:val="009B5920"/>
    <w:rsid w:val="009B61CA"/>
    <w:rsid w:val="009B67AE"/>
    <w:rsid w:val="009B732D"/>
    <w:rsid w:val="009C0DBE"/>
    <w:rsid w:val="009C1120"/>
    <w:rsid w:val="009C153E"/>
    <w:rsid w:val="009C1582"/>
    <w:rsid w:val="009C20CF"/>
    <w:rsid w:val="009C2B5A"/>
    <w:rsid w:val="009C2BD5"/>
    <w:rsid w:val="009C3003"/>
    <w:rsid w:val="009C43EC"/>
    <w:rsid w:val="009C51BB"/>
    <w:rsid w:val="009C5EDD"/>
    <w:rsid w:val="009C5F7D"/>
    <w:rsid w:val="009C6C6B"/>
    <w:rsid w:val="009D0085"/>
    <w:rsid w:val="009D00C1"/>
    <w:rsid w:val="009D0C7C"/>
    <w:rsid w:val="009D1F80"/>
    <w:rsid w:val="009D2368"/>
    <w:rsid w:val="009D27E1"/>
    <w:rsid w:val="009D2D59"/>
    <w:rsid w:val="009D36F6"/>
    <w:rsid w:val="009D4388"/>
    <w:rsid w:val="009D464A"/>
    <w:rsid w:val="009D4722"/>
    <w:rsid w:val="009D506F"/>
    <w:rsid w:val="009D5400"/>
    <w:rsid w:val="009D54DF"/>
    <w:rsid w:val="009D551F"/>
    <w:rsid w:val="009D5563"/>
    <w:rsid w:val="009D6C85"/>
    <w:rsid w:val="009D70A3"/>
    <w:rsid w:val="009E0494"/>
    <w:rsid w:val="009E0EF5"/>
    <w:rsid w:val="009E1B63"/>
    <w:rsid w:val="009E1E3F"/>
    <w:rsid w:val="009E34F4"/>
    <w:rsid w:val="009E35F0"/>
    <w:rsid w:val="009E3BCC"/>
    <w:rsid w:val="009E40FE"/>
    <w:rsid w:val="009E5C5C"/>
    <w:rsid w:val="009E695B"/>
    <w:rsid w:val="009F0512"/>
    <w:rsid w:val="009F0C6F"/>
    <w:rsid w:val="009F14E4"/>
    <w:rsid w:val="009F1B36"/>
    <w:rsid w:val="009F212E"/>
    <w:rsid w:val="009F2637"/>
    <w:rsid w:val="009F2DF1"/>
    <w:rsid w:val="009F3A32"/>
    <w:rsid w:val="009F4623"/>
    <w:rsid w:val="009F495C"/>
    <w:rsid w:val="009F5939"/>
    <w:rsid w:val="009F5FAA"/>
    <w:rsid w:val="009F68D8"/>
    <w:rsid w:val="009F6F15"/>
    <w:rsid w:val="009F7EBA"/>
    <w:rsid w:val="00A00B64"/>
    <w:rsid w:val="00A012F9"/>
    <w:rsid w:val="00A01BC4"/>
    <w:rsid w:val="00A02B11"/>
    <w:rsid w:val="00A039C5"/>
    <w:rsid w:val="00A03A12"/>
    <w:rsid w:val="00A05175"/>
    <w:rsid w:val="00A0638A"/>
    <w:rsid w:val="00A06C51"/>
    <w:rsid w:val="00A07B7A"/>
    <w:rsid w:val="00A07C9F"/>
    <w:rsid w:val="00A108AC"/>
    <w:rsid w:val="00A117EE"/>
    <w:rsid w:val="00A1214F"/>
    <w:rsid w:val="00A121A9"/>
    <w:rsid w:val="00A127D1"/>
    <w:rsid w:val="00A12A56"/>
    <w:rsid w:val="00A1318D"/>
    <w:rsid w:val="00A136AF"/>
    <w:rsid w:val="00A137F9"/>
    <w:rsid w:val="00A13C49"/>
    <w:rsid w:val="00A162AD"/>
    <w:rsid w:val="00A167CC"/>
    <w:rsid w:val="00A17067"/>
    <w:rsid w:val="00A17413"/>
    <w:rsid w:val="00A17DFA"/>
    <w:rsid w:val="00A20FFF"/>
    <w:rsid w:val="00A2119C"/>
    <w:rsid w:val="00A21D60"/>
    <w:rsid w:val="00A233C3"/>
    <w:rsid w:val="00A23B94"/>
    <w:rsid w:val="00A23C35"/>
    <w:rsid w:val="00A23DB9"/>
    <w:rsid w:val="00A23E4D"/>
    <w:rsid w:val="00A245E8"/>
    <w:rsid w:val="00A253E4"/>
    <w:rsid w:val="00A25CD2"/>
    <w:rsid w:val="00A264A5"/>
    <w:rsid w:val="00A26619"/>
    <w:rsid w:val="00A27BD8"/>
    <w:rsid w:val="00A300A0"/>
    <w:rsid w:val="00A30342"/>
    <w:rsid w:val="00A3039F"/>
    <w:rsid w:val="00A314A0"/>
    <w:rsid w:val="00A3152A"/>
    <w:rsid w:val="00A3153D"/>
    <w:rsid w:val="00A31A3F"/>
    <w:rsid w:val="00A31B4F"/>
    <w:rsid w:val="00A31D1D"/>
    <w:rsid w:val="00A32EB3"/>
    <w:rsid w:val="00A32FC9"/>
    <w:rsid w:val="00A35221"/>
    <w:rsid w:val="00A353B8"/>
    <w:rsid w:val="00A35811"/>
    <w:rsid w:val="00A35AA4"/>
    <w:rsid w:val="00A36626"/>
    <w:rsid w:val="00A376D9"/>
    <w:rsid w:val="00A37C9F"/>
    <w:rsid w:val="00A413B1"/>
    <w:rsid w:val="00A41450"/>
    <w:rsid w:val="00A414EF"/>
    <w:rsid w:val="00A417B0"/>
    <w:rsid w:val="00A41FE6"/>
    <w:rsid w:val="00A42E41"/>
    <w:rsid w:val="00A43100"/>
    <w:rsid w:val="00A440EB"/>
    <w:rsid w:val="00A46150"/>
    <w:rsid w:val="00A46258"/>
    <w:rsid w:val="00A46F36"/>
    <w:rsid w:val="00A5018B"/>
    <w:rsid w:val="00A52422"/>
    <w:rsid w:val="00A53616"/>
    <w:rsid w:val="00A53A1E"/>
    <w:rsid w:val="00A56544"/>
    <w:rsid w:val="00A569F4"/>
    <w:rsid w:val="00A571A8"/>
    <w:rsid w:val="00A57962"/>
    <w:rsid w:val="00A60E50"/>
    <w:rsid w:val="00A62617"/>
    <w:rsid w:val="00A64DA5"/>
    <w:rsid w:val="00A64DFE"/>
    <w:rsid w:val="00A65B95"/>
    <w:rsid w:val="00A65F66"/>
    <w:rsid w:val="00A66F08"/>
    <w:rsid w:val="00A66FBC"/>
    <w:rsid w:val="00A677D5"/>
    <w:rsid w:val="00A679F8"/>
    <w:rsid w:val="00A71C9D"/>
    <w:rsid w:val="00A7250D"/>
    <w:rsid w:val="00A73336"/>
    <w:rsid w:val="00A735FD"/>
    <w:rsid w:val="00A74178"/>
    <w:rsid w:val="00A74888"/>
    <w:rsid w:val="00A75066"/>
    <w:rsid w:val="00A75104"/>
    <w:rsid w:val="00A757BC"/>
    <w:rsid w:val="00A775A5"/>
    <w:rsid w:val="00A775CD"/>
    <w:rsid w:val="00A800AA"/>
    <w:rsid w:val="00A8189A"/>
    <w:rsid w:val="00A81F1C"/>
    <w:rsid w:val="00A83318"/>
    <w:rsid w:val="00A836A3"/>
    <w:rsid w:val="00A8381E"/>
    <w:rsid w:val="00A838DE"/>
    <w:rsid w:val="00A83C6E"/>
    <w:rsid w:val="00A84932"/>
    <w:rsid w:val="00A84B09"/>
    <w:rsid w:val="00A852AF"/>
    <w:rsid w:val="00A856FC"/>
    <w:rsid w:val="00A85B08"/>
    <w:rsid w:val="00A86E3A"/>
    <w:rsid w:val="00A86F27"/>
    <w:rsid w:val="00A87807"/>
    <w:rsid w:val="00A9112B"/>
    <w:rsid w:val="00A91580"/>
    <w:rsid w:val="00A927EB"/>
    <w:rsid w:val="00A93184"/>
    <w:rsid w:val="00A93C70"/>
    <w:rsid w:val="00A948F9"/>
    <w:rsid w:val="00A94F25"/>
    <w:rsid w:val="00A95AAE"/>
    <w:rsid w:val="00A95B52"/>
    <w:rsid w:val="00A95D57"/>
    <w:rsid w:val="00A95EE8"/>
    <w:rsid w:val="00A9722F"/>
    <w:rsid w:val="00AA0D7B"/>
    <w:rsid w:val="00AA1AA2"/>
    <w:rsid w:val="00AA1E88"/>
    <w:rsid w:val="00AA23D9"/>
    <w:rsid w:val="00AA33A2"/>
    <w:rsid w:val="00AA3F05"/>
    <w:rsid w:val="00AA45E3"/>
    <w:rsid w:val="00AA4861"/>
    <w:rsid w:val="00AA4921"/>
    <w:rsid w:val="00AA51A4"/>
    <w:rsid w:val="00AA5351"/>
    <w:rsid w:val="00AA56C3"/>
    <w:rsid w:val="00AA73D2"/>
    <w:rsid w:val="00AA73EA"/>
    <w:rsid w:val="00AA7442"/>
    <w:rsid w:val="00AA7E78"/>
    <w:rsid w:val="00AB0CE1"/>
    <w:rsid w:val="00AB0D2E"/>
    <w:rsid w:val="00AB31D4"/>
    <w:rsid w:val="00AB340F"/>
    <w:rsid w:val="00AB3834"/>
    <w:rsid w:val="00AB3D29"/>
    <w:rsid w:val="00AB3DB5"/>
    <w:rsid w:val="00AB3F53"/>
    <w:rsid w:val="00AB5569"/>
    <w:rsid w:val="00AB5660"/>
    <w:rsid w:val="00AB59A7"/>
    <w:rsid w:val="00AB63B4"/>
    <w:rsid w:val="00AB7FA8"/>
    <w:rsid w:val="00AC064D"/>
    <w:rsid w:val="00AC0BD3"/>
    <w:rsid w:val="00AC216A"/>
    <w:rsid w:val="00AC32E6"/>
    <w:rsid w:val="00AC3375"/>
    <w:rsid w:val="00AC4232"/>
    <w:rsid w:val="00AC4F76"/>
    <w:rsid w:val="00AC5683"/>
    <w:rsid w:val="00AC64A7"/>
    <w:rsid w:val="00AC69CF"/>
    <w:rsid w:val="00AC7CD2"/>
    <w:rsid w:val="00AD00A1"/>
    <w:rsid w:val="00AD08A8"/>
    <w:rsid w:val="00AD0A64"/>
    <w:rsid w:val="00AD17FA"/>
    <w:rsid w:val="00AD3E4A"/>
    <w:rsid w:val="00AD4144"/>
    <w:rsid w:val="00AD4A35"/>
    <w:rsid w:val="00AD601A"/>
    <w:rsid w:val="00AD6276"/>
    <w:rsid w:val="00AD6932"/>
    <w:rsid w:val="00AD7EF4"/>
    <w:rsid w:val="00AE02C3"/>
    <w:rsid w:val="00AE0FAB"/>
    <w:rsid w:val="00AE182A"/>
    <w:rsid w:val="00AE228A"/>
    <w:rsid w:val="00AE3B21"/>
    <w:rsid w:val="00AE432D"/>
    <w:rsid w:val="00AE4C7B"/>
    <w:rsid w:val="00AE56F9"/>
    <w:rsid w:val="00AE6066"/>
    <w:rsid w:val="00AE6248"/>
    <w:rsid w:val="00AE7541"/>
    <w:rsid w:val="00AE7F64"/>
    <w:rsid w:val="00AE7F9A"/>
    <w:rsid w:val="00AF06FC"/>
    <w:rsid w:val="00AF1D0F"/>
    <w:rsid w:val="00AF1F91"/>
    <w:rsid w:val="00AF221C"/>
    <w:rsid w:val="00AF2CC4"/>
    <w:rsid w:val="00AF2F42"/>
    <w:rsid w:val="00AF3A9F"/>
    <w:rsid w:val="00AF3CA5"/>
    <w:rsid w:val="00AF4617"/>
    <w:rsid w:val="00AF5416"/>
    <w:rsid w:val="00AF5DDD"/>
    <w:rsid w:val="00AF710E"/>
    <w:rsid w:val="00AF7141"/>
    <w:rsid w:val="00B00C0B"/>
    <w:rsid w:val="00B01143"/>
    <w:rsid w:val="00B0230A"/>
    <w:rsid w:val="00B0254F"/>
    <w:rsid w:val="00B0297E"/>
    <w:rsid w:val="00B02B79"/>
    <w:rsid w:val="00B03E3C"/>
    <w:rsid w:val="00B03F20"/>
    <w:rsid w:val="00B05A73"/>
    <w:rsid w:val="00B062C9"/>
    <w:rsid w:val="00B077D6"/>
    <w:rsid w:val="00B07C32"/>
    <w:rsid w:val="00B105B8"/>
    <w:rsid w:val="00B10683"/>
    <w:rsid w:val="00B10833"/>
    <w:rsid w:val="00B11E37"/>
    <w:rsid w:val="00B122A2"/>
    <w:rsid w:val="00B1296E"/>
    <w:rsid w:val="00B12C57"/>
    <w:rsid w:val="00B12E17"/>
    <w:rsid w:val="00B14274"/>
    <w:rsid w:val="00B142A1"/>
    <w:rsid w:val="00B14937"/>
    <w:rsid w:val="00B14998"/>
    <w:rsid w:val="00B15326"/>
    <w:rsid w:val="00B15835"/>
    <w:rsid w:val="00B15D5E"/>
    <w:rsid w:val="00B16620"/>
    <w:rsid w:val="00B16F11"/>
    <w:rsid w:val="00B16FA0"/>
    <w:rsid w:val="00B171C1"/>
    <w:rsid w:val="00B21442"/>
    <w:rsid w:val="00B22465"/>
    <w:rsid w:val="00B23B88"/>
    <w:rsid w:val="00B24077"/>
    <w:rsid w:val="00B24114"/>
    <w:rsid w:val="00B24229"/>
    <w:rsid w:val="00B243BA"/>
    <w:rsid w:val="00B24661"/>
    <w:rsid w:val="00B24C1F"/>
    <w:rsid w:val="00B25080"/>
    <w:rsid w:val="00B25606"/>
    <w:rsid w:val="00B25887"/>
    <w:rsid w:val="00B260C3"/>
    <w:rsid w:val="00B26FDB"/>
    <w:rsid w:val="00B27CF3"/>
    <w:rsid w:val="00B308BF"/>
    <w:rsid w:val="00B309F7"/>
    <w:rsid w:val="00B312D1"/>
    <w:rsid w:val="00B313A8"/>
    <w:rsid w:val="00B319D0"/>
    <w:rsid w:val="00B31D9F"/>
    <w:rsid w:val="00B322C1"/>
    <w:rsid w:val="00B323BF"/>
    <w:rsid w:val="00B331E4"/>
    <w:rsid w:val="00B337F1"/>
    <w:rsid w:val="00B34B20"/>
    <w:rsid w:val="00B369C0"/>
    <w:rsid w:val="00B36A64"/>
    <w:rsid w:val="00B4018A"/>
    <w:rsid w:val="00B41051"/>
    <w:rsid w:val="00B41ED7"/>
    <w:rsid w:val="00B42527"/>
    <w:rsid w:val="00B42DAD"/>
    <w:rsid w:val="00B42E97"/>
    <w:rsid w:val="00B4360B"/>
    <w:rsid w:val="00B43F77"/>
    <w:rsid w:val="00B4507E"/>
    <w:rsid w:val="00B451B5"/>
    <w:rsid w:val="00B4561D"/>
    <w:rsid w:val="00B45710"/>
    <w:rsid w:val="00B46212"/>
    <w:rsid w:val="00B47A50"/>
    <w:rsid w:val="00B5023E"/>
    <w:rsid w:val="00B509B8"/>
    <w:rsid w:val="00B51BED"/>
    <w:rsid w:val="00B52926"/>
    <w:rsid w:val="00B52B91"/>
    <w:rsid w:val="00B53333"/>
    <w:rsid w:val="00B53CA4"/>
    <w:rsid w:val="00B552D8"/>
    <w:rsid w:val="00B558AA"/>
    <w:rsid w:val="00B569DD"/>
    <w:rsid w:val="00B57311"/>
    <w:rsid w:val="00B601CD"/>
    <w:rsid w:val="00B60912"/>
    <w:rsid w:val="00B60AC9"/>
    <w:rsid w:val="00B61150"/>
    <w:rsid w:val="00B61C73"/>
    <w:rsid w:val="00B61C9B"/>
    <w:rsid w:val="00B624C7"/>
    <w:rsid w:val="00B63617"/>
    <w:rsid w:val="00B63A47"/>
    <w:rsid w:val="00B640B9"/>
    <w:rsid w:val="00B64FB2"/>
    <w:rsid w:val="00B661B4"/>
    <w:rsid w:val="00B66BE5"/>
    <w:rsid w:val="00B67D1D"/>
    <w:rsid w:val="00B70F21"/>
    <w:rsid w:val="00B727F8"/>
    <w:rsid w:val="00B72C68"/>
    <w:rsid w:val="00B72E22"/>
    <w:rsid w:val="00B72F87"/>
    <w:rsid w:val="00B747D7"/>
    <w:rsid w:val="00B754A4"/>
    <w:rsid w:val="00B76B44"/>
    <w:rsid w:val="00B76BDA"/>
    <w:rsid w:val="00B76F93"/>
    <w:rsid w:val="00B7710E"/>
    <w:rsid w:val="00B80FCC"/>
    <w:rsid w:val="00B81E63"/>
    <w:rsid w:val="00B81F66"/>
    <w:rsid w:val="00B82249"/>
    <w:rsid w:val="00B8442D"/>
    <w:rsid w:val="00B8455F"/>
    <w:rsid w:val="00B84696"/>
    <w:rsid w:val="00B84A28"/>
    <w:rsid w:val="00B84B59"/>
    <w:rsid w:val="00B84CE8"/>
    <w:rsid w:val="00B8606F"/>
    <w:rsid w:val="00B860EF"/>
    <w:rsid w:val="00B86D38"/>
    <w:rsid w:val="00B877A7"/>
    <w:rsid w:val="00B900FF"/>
    <w:rsid w:val="00B90E13"/>
    <w:rsid w:val="00B92105"/>
    <w:rsid w:val="00B92D33"/>
    <w:rsid w:val="00B93CEF"/>
    <w:rsid w:val="00B96C8F"/>
    <w:rsid w:val="00B97146"/>
    <w:rsid w:val="00B976C2"/>
    <w:rsid w:val="00BA00BA"/>
    <w:rsid w:val="00BA08A6"/>
    <w:rsid w:val="00BA27E1"/>
    <w:rsid w:val="00BA2C87"/>
    <w:rsid w:val="00BA3DED"/>
    <w:rsid w:val="00BA3E12"/>
    <w:rsid w:val="00BA443E"/>
    <w:rsid w:val="00BA5CA7"/>
    <w:rsid w:val="00BA66B7"/>
    <w:rsid w:val="00BA6859"/>
    <w:rsid w:val="00BA705C"/>
    <w:rsid w:val="00BA733C"/>
    <w:rsid w:val="00BA76AF"/>
    <w:rsid w:val="00BB045C"/>
    <w:rsid w:val="00BB06ED"/>
    <w:rsid w:val="00BB0BBD"/>
    <w:rsid w:val="00BB1679"/>
    <w:rsid w:val="00BB19B4"/>
    <w:rsid w:val="00BB208E"/>
    <w:rsid w:val="00BB2616"/>
    <w:rsid w:val="00BB26C7"/>
    <w:rsid w:val="00BB2747"/>
    <w:rsid w:val="00BB311D"/>
    <w:rsid w:val="00BB3901"/>
    <w:rsid w:val="00BB3CD3"/>
    <w:rsid w:val="00BB4FA7"/>
    <w:rsid w:val="00BB6214"/>
    <w:rsid w:val="00BB6A40"/>
    <w:rsid w:val="00BB758B"/>
    <w:rsid w:val="00BC1292"/>
    <w:rsid w:val="00BC1B1A"/>
    <w:rsid w:val="00BC1BAF"/>
    <w:rsid w:val="00BC2186"/>
    <w:rsid w:val="00BC352F"/>
    <w:rsid w:val="00BC3A19"/>
    <w:rsid w:val="00BC3C60"/>
    <w:rsid w:val="00BC45A1"/>
    <w:rsid w:val="00BC4A71"/>
    <w:rsid w:val="00BC58F7"/>
    <w:rsid w:val="00BC6482"/>
    <w:rsid w:val="00BD192C"/>
    <w:rsid w:val="00BD1E3B"/>
    <w:rsid w:val="00BD1FE0"/>
    <w:rsid w:val="00BD2422"/>
    <w:rsid w:val="00BD2847"/>
    <w:rsid w:val="00BD2CE4"/>
    <w:rsid w:val="00BD3BDE"/>
    <w:rsid w:val="00BD3F4A"/>
    <w:rsid w:val="00BD49EB"/>
    <w:rsid w:val="00BD4B4D"/>
    <w:rsid w:val="00BD4F11"/>
    <w:rsid w:val="00BD58C3"/>
    <w:rsid w:val="00BD59BD"/>
    <w:rsid w:val="00BD5C04"/>
    <w:rsid w:val="00BD5F84"/>
    <w:rsid w:val="00BD6571"/>
    <w:rsid w:val="00BD658C"/>
    <w:rsid w:val="00BD6A29"/>
    <w:rsid w:val="00BE083C"/>
    <w:rsid w:val="00BE18C6"/>
    <w:rsid w:val="00BE2296"/>
    <w:rsid w:val="00BE3149"/>
    <w:rsid w:val="00BE4C2B"/>
    <w:rsid w:val="00BE679D"/>
    <w:rsid w:val="00BE7A14"/>
    <w:rsid w:val="00BF17A0"/>
    <w:rsid w:val="00BF211B"/>
    <w:rsid w:val="00BF2B14"/>
    <w:rsid w:val="00BF2B77"/>
    <w:rsid w:val="00BF2BF1"/>
    <w:rsid w:val="00BF3DAB"/>
    <w:rsid w:val="00BF4006"/>
    <w:rsid w:val="00BF410A"/>
    <w:rsid w:val="00BF4144"/>
    <w:rsid w:val="00BF4694"/>
    <w:rsid w:val="00BF46C5"/>
    <w:rsid w:val="00BF5521"/>
    <w:rsid w:val="00BF5A39"/>
    <w:rsid w:val="00BF6347"/>
    <w:rsid w:val="00BF6763"/>
    <w:rsid w:val="00BF6B8A"/>
    <w:rsid w:val="00BF7283"/>
    <w:rsid w:val="00BF787F"/>
    <w:rsid w:val="00C0044D"/>
    <w:rsid w:val="00C00A04"/>
    <w:rsid w:val="00C00F3E"/>
    <w:rsid w:val="00C012B0"/>
    <w:rsid w:val="00C018A4"/>
    <w:rsid w:val="00C028A2"/>
    <w:rsid w:val="00C02EFE"/>
    <w:rsid w:val="00C03275"/>
    <w:rsid w:val="00C04608"/>
    <w:rsid w:val="00C057C0"/>
    <w:rsid w:val="00C0614E"/>
    <w:rsid w:val="00C0704A"/>
    <w:rsid w:val="00C07929"/>
    <w:rsid w:val="00C079AB"/>
    <w:rsid w:val="00C07A86"/>
    <w:rsid w:val="00C07B00"/>
    <w:rsid w:val="00C10581"/>
    <w:rsid w:val="00C11198"/>
    <w:rsid w:val="00C124EC"/>
    <w:rsid w:val="00C127C7"/>
    <w:rsid w:val="00C127FE"/>
    <w:rsid w:val="00C13042"/>
    <w:rsid w:val="00C130A7"/>
    <w:rsid w:val="00C131D2"/>
    <w:rsid w:val="00C169BB"/>
    <w:rsid w:val="00C16F9A"/>
    <w:rsid w:val="00C17088"/>
    <w:rsid w:val="00C17986"/>
    <w:rsid w:val="00C202C6"/>
    <w:rsid w:val="00C2040E"/>
    <w:rsid w:val="00C2101E"/>
    <w:rsid w:val="00C210AA"/>
    <w:rsid w:val="00C2136F"/>
    <w:rsid w:val="00C21634"/>
    <w:rsid w:val="00C21BEE"/>
    <w:rsid w:val="00C21EF4"/>
    <w:rsid w:val="00C22A3B"/>
    <w:rsid w:val="00C2326F"/>
    <w:rsid w:val="00C24037"/>
    <w:rsid w:val="00C240BB"/>
    <w:rsid w:val="00C24247"/>
    <w:rsid w:val="00C245F4"/>
    <w:rsid w:val="00C24B50"/>
    <w:rsid w:val="00C24D03"/>
    <w:rsid w:val="00C25916"/>
    <w:rsid w:val="00C2675A"/>
    <w:rsid w:val="00C27113"/>
    <w:rsid w:val="00C2730C"/>
    <w:rsid w:val="00C27E49"/>
    <w:rsid w:val="00C31D08"/>
    <w:rsid w:val="00C325CE"/>
    <w:rsid w:val="00C36E27"/>
    <w:rsid w:val="00C40951"/>
    <w:rsid w:val="00C41F1B"/>
    <w:rsid w:val="00C42BDA"/>
    <w:rsid w:val="00C4305B"/>
    <w:rsid w:val="00C431A3"/>
    <w:rsid w:val="00C431AD"/>
    <w:rsid w:val="00C438E5"/>
    <w:rsid w:val="00C45513"/>
    <w:rsid w:val="00C46B5D"/>
    <w:rsid w:val="00C47235"/>
    <w:rsid w:val="00C47F18"/>
    <w:rsid w:val="00C500F4"/>
    <w:rsid w:val="00C50CD4"/>
    <w:rsid w:val="00C51FE9"/>
    <w:rsid w:val="00C52554"/>
    <w:rsid w:val="00C52DBC"/>
    <w:rsid w:val="00C534F1"/>
    <w:rsid w:val="00C53AAD"/>
    <w:rsid w:val="00C5417C"/>
    <w:rsid w:val="00C5436C"/>
    <w:rsid w:val="00C54B0E"/>
    <w:rsid w:val="00C5520E"/>
    <w:rsid w:val="00C5552D"/>
    <w:rsid w:val="00C55807"/>
    <w:rsid w:val="00C5584F"/>
    <w:rsid w:val="00C558D4"/>
    <w:rsid w:val="00C5607E"/>
    <w:rsid w:val="00C56936"/>
    <w:rsid w:val="00C56B61"/>
    <w:rsid w:val="00C57062"/>
    <w:rsid w:val="00C57812"/>
    <w:rsid w:val="00C5796F"/>
    <w:rsid w:val="00C60078"/>
    <w:rsid w:val="00C600C5"/>
    <w:rsid w:val="00C60734"/>
    <w:rsid w:val="00C60D67"/>
    <w:rsid w:val="00C61037"/>
    <w:rsid w:val="00C62CF1"/>
    <w:rsid w:val="00C640DB"/>
    <w:rsid w:val="00C64835"/>
    <w:rsid w:val="00C653A5"/>
    <w:rsid w:val="00C65A2F"/>
    <w:rsid w:val="00C65BE6"/>
    <w:rsid w:val="00C6622B"/>
    <w:rsid w:val="00C663EF"/>
    <w:rsid w:val="00C668E3"/>
    <w:rsid w:val="00C6691D"/>
    <w:rsid w:val="00C67904"/>
    <w:rsid w:val="00C67F52"/>
    <w:rsid w:val="00C713B4"/>
    <w:rsid w:val="00C71661"/>
    <w:rsid w:val="00C72909"/>
    <w:rsid w:val="00C72A59"/>
    <w:rsid w:val="00C7397C"/>
    <w:rsid w:val="00C73C64"/>
    <w:rsid w:val="00C73E16"/>
    <w:rsid w:val="00C746C1"/>
    <w:rsid w:val="00C7483E"/>
    <w:rsid w:val="00C74892"/>
    <w:rsid w:val="00C74984"/>
    <w:rsid w:val="00C74B90"/>
    <w:rsid w:val="00C778E9"/>
    <w:rsid w:val="00C77C69"/>
    <w:rsid w:val="00C80230"/>
    <w:rsid w:val="00C80622"/>
    <w:rsid w:val="00C80740"/>
    <w:rsid w:val="00C81E66"/>
    <w:rsid w:val="00C825B2"/>
    <w:rsid w:val="00C82A75"/>
    <w:rsid w:val="00C82D6A"/>
    <w:rsid w:val="00C82F63"/>
    <w:rsid w:val="00C84FA8"/>
    <w:rsid w:val="00C851ED"/>
    <w:rsid w:val="00C85DFE"/>
    <w:rsid w:val="00C85EA9"/>
    <w:rsid w:val="00C85FA7"/>
    <w:rsid w:val="00C86CEA"/>
    <w:rsid w:val="00C87811"/>
    <w:rsid w:val="00C87C4D"/>
    <w:rsid w:val="00C92409"/>
    <w:rsid w:val="00C925B2"/>
    <w:rsid w:val="00C92D83"/>
    <w:rsid w:val="00C93011"/>
    <w:rsid w:val="00C950B9"/>
    <w:rsid w:val="00CA07A9"/>
    <w:rsid w:val="00CA0FE3"/>
    <w:rsid w:val="00CA1609"/>
    <w:rsid w:val="00CA1EF8"/>
    <w:rsid w:val="00CA276D"/>
    <w:rsid w:val="00CA2CBF"/>
    <w:rsid w:val="00CA2E59"/>
    <w:rsid w:val="00CA5EBB"/>
    <w:rsid w:val="00CA6FE3"/>
    <w:rsid w:val="00CA76E9"/>
    <w:rsid w:val="00CB0C70"/>
    <w:rsid w:val="00CB0EC8"/>
    <w:rsid w:val="00CB2256"/>
    <w:rsid w:val="00CB2B98"/>
    <w:rsid w:val="00CB32FC"/>
    <w:rsid w:val="00CB3818"/>
    <w:rsid w:val="00CB3A91"/>
    <w:rsid w:val="00CB449F"/>
    <w:rsid w:val="00CB5063"/>
    <w:rsid w:val="00CB553A"/>
    <w:rsid w:val="00CB6467"/>
    <w:rsid w:val="00CB68FF"/>
    <w:rsid w:val="00CB717D"/>
    <w:rsid w:val="00CC0F4A"/>
    <w:rsid w:val="00CC11B0"/>
    <w:rsid w:val="00CC1B03"/>
    <w:rsid w:val="00CC2097"/>
    <w:rsid w:val="00CC2EAE"/>
    <w:rsid w:val="00CC3A2E"/>
    <w:rsid w:val="00CC3C45"/>
    <w:rsid w:val="00CC4517"/>
    <w:rsid w:val="00CC4A8B"/>
    <w:rsid w:val="00CC5DB4"/>
    <w:rsid w:val="00CC69A2"/>
    <w:rsid w:val="00CC750C"/>
    <w:rsid w:val="00CC768F"/>
    <w:rsid w:val="00CD0716"/>
    <w:rsid w:val="00CD1B44"/>
    <w:rsid w:val="00CD1C23"/>
    <w:rsid w:val="00CD2260"/>
    <w:rsid w:val="00CD262C"/>
    <w:rsid w:val="00CD2940"/>
    <w:rsid w:val="00CD341E"/>
    <w:rsid w:val="00CD3CEF"/>
    <w:rsid w:val="00CD50C8"/>
    <w:rsid w:val="00CD5610"/>
    <w:rsid w:val="00CD5781"/>
    <w:rsid w:val="00CD60AF"/>
    <w:rsid w:val="00CD6466"/>
    <w:rsid w:val="00CD6FBA"/>
    <w:rsid w:val="00CD75F6"/>
    <w:rsid w:val="00CE087E"/>
    <w:rsid w:val="00CE123F"/>
    <w:rsid w:val="00CE1DC8"/>
    <w:rsid w:val="00CE26BC"/>
    <w:rsid w:val="00CE29A2"/>
    <w:rsid w:val="00CE2EAB"/>
    <w:rsid w:val="00CE411D"/>
    <w:rsid w:val="00CE4DEC"/>
    <w:rsid w:val="00CE5A09"/>
    <w:rsid w:val="00CE6329"/>
    <w:rsid w:val="00CE66BA"/>
    <w:rsid w:val="00CE6A47"/>
    <w:rsid w:val="00CE6F48"/>
    <w:rsid w:val="00CE7304"/>
    <w:rsid w:val="00CE7FA6"/>
    <w:rsid w:val="00CF017A"/>
    <w:rsid w:val="00CF0E64"/>
    <w:rsid w:val="00CF181C"/>
    <w:rsid w:val="00CF1E1E"/>
    <w:rsid w:val="00CF2851"/>
    <w:rsid w:val="00CF308B"/>
    <w:rsid w:val="00CF34A7"/>
    <w:rsid w:val="00CF4B8A"/>
    <w:rsid w:val="00CF4DD8"/>
    <w:rsid w:val="00CF54E3"/>
    <w:rsid w:val="00CF70A9"/>
    <w:rsid w:val="00CF787C"/>
    <w:rsid w:val="00CF7CAC"/>
    <w:rsid w:val="00D00B57"/>
    <w:rsid w:val="00D00B64"/>
    <w:rsid w:val="00D01BCB"/>
    <w:rsid w:val="00D027E0"/>
    <w:rsid w:val="00D02AA9"/>
    <w:rsid w:val="00D0341E"/>
    <w:rsid w:val="00D03656"/>
    <w:rsid w:val="00D045EC"/>
    <w:rsid w:val="00D04C01"/>
    <w:rsid w:val="00D05269"/>
    <w:rsid w:val="00D05411"/>
    <w:rsid w:val="00D060D2"/>
    <w:rsid w:val="00D061BD"/>
    <w:rsid w:val="00D06818"/>
    <w:rsid w:val="00D10F09"/>
    <w:rsid w:val="00D117DB"/>
    <w:rsid w:val="00D11CE2"/>
    <w:rsid w:val="00D11E61"/>
    <w:rsid w:val="00D12F24"/>
    <w:rsid w:val="00D13618"/>
    <w:rsid w:val="00D13EC2"/>
    <w:rsid w:val="00D13FAB"/>
    <w:rsid w:val="00D1481B"/>
    <w:rsid w:val="00D15957"/>
    <w:rsid w:val="00D15AB1"/>
    <w:rsid w:val="00D15D8B"/>
    <w:rsid w:val="00D17D3B"/>
    <w:rsid w:val="00D208B9"/>
    <w:rsid w:val="00D20CED"/>
    <w:rsid w:val="00D20F3F"/>
    <w:rsid w:val="00D22176"/>
    <w:rsid w:val="00D221E6"/>
    <w:rsid w:val="00D22BD2"/>
    <w:rsid w:val="00D2341E"/>
    <w:rsid w:val="00D2512A"/>
    <w:rsid w:val="00D251EB"/>
    <w:rsid w:val="00D25412"/>
    <w:rsid w:val="00D260FA"/>
    <w:rsid w:val="00D261B9"/>
    <w:rsid w:val="00D30102"/>
    <w:rsid w:val="00D30407"/>
    <w:rsid w:val="00D30473"/>
    <w:rsid w:val="00D3094E"/>
    <w:rsid w:val="00D30A67"/>
    <w:rsid w:val="00D31E11"/>
    <w:rsid w:val="00D3218E"/>
    <w:rsid w:val="00D33C61"/>
    <w:rsid w:val="00D33E08"/>
    <w:rsid w:val="00D341BE"/>
    <w:rsid w:val="00D34C60"/>
    <w:rsid w:val="00D3504B"/>
    <w:rsid w:val="00D3514F"/>
    <w:rsid w:val="00D35E60"/>
    <w:rsid w:val="00D3618F"/>
    <w:rsid w:val="00D36991"/>
    <w:rsid w:val="00D376AD"/>
    <w:rsid w:val="00D43049"/>
    <w:rsid w:val="00D43227"/>
    <w:rsid w:val="00D43404"/>
    <w:rsid w:val="00D43AC7"/>
    <w:rsid w:val="00D448D8"/>
    <w:rsid w:val="00D459A4"/>
    <w:rsid w:val="00D46EB9"/>
    <w:rsid w:val="00D47D9B"/>
    <w:rsid w:val="00D47DAA"/>
    <w:rsid w:val="00D500A3"/>
    <w:rsid w:val="00D5031C"/>
    <w:rsid w:val="00D51148"/>
    <w:rsid w:val="00D51723"/>
    <w:rsid w:val="00D51B82"/>
    <w:rsid w:val="00D52725"/>
    <w:rsid w:val="00D527FA"/>
    <w:rsid w:val="00D52BC0"/>
    <w:rsid w:val="00D52FD6"/>
    <w:rsid w:val="00D53075"/>
    <w:rsid w:val="00D54856"/>
    <w:rsid w:val="00D55D0B"/>
    <w:rsid w:val="00D55E69"/>
    <w:rsid w:val="00D55F43"/>
    <w:rsid w:val="00D56442"/>
    <w:rsid w:val="00D56F4D"/>
    <w:rsid w:val="00D57BE6"/>
    <w:rsid w:val="00D61C5A"/>
    <w:rsid w:val="00D61F8C"/>
    <w:rsid w:val="00D622E1"/>
    <w:rsid w:val="00D6233B"/>
    <w:rsid w:val="00D63646"/>
    <w:rsid w:val="00D63C71"/>
    <w:rsid w:val="00D64527"/>
    <w:rsid w:val="00D64E89"/>
    <w:rsid w:val="00D652E5"/>
    <w:rsid w:val="00D65377"/>
    <w:rsid w:val="00D6717F"/>
    <w:rsid w:val="00D701E7"/>
    <w:rsid w:val="00D70A98"/>
    <w:rsid w:val="00D71BA9"/>
    <w:rsid w:val="00D71CBF"/>
    <w:rsid w:val="00D71D5C"/>
    <w:rsid w:val="00D73392"/>
    <w:rsid w:val="00D73F3A"/>
    <w:rsid w:val="00D74240"/>
    <w:rsid w:val="00D7521C"/>
    <w:rsid w:val="00D756C1"/>
    <w:rsid w:val="00D75B08"/>
    <w:rsid w:val="00D76437"/>
    <w:rsid w:val="00D76575"/>
    <w:rsid w:val="00D76D88"/>
    <w:rsid w:val="00D809D0"/>
    <w:rsid w:val="00D82A58"/>
    <w:rsid w:val="00D82BCD"/>
    <w:rsid w:val="00D8376A"/>
    <w:rsid w:val="00D8401F"/>
    <w:rsid w:val="00D84082"/>
    <w:rsid w:val="00D8451B"/>
    <w:rsid w:val="00D84D7F"/>
    <w:rsid w:val="00D8640F"/>
    <w:rsid w:val="00D876DC"/>
    <w:rsid w:val="00D92E41"/>
    <w:rsid w:val="00D93989"/>
    <w:rsid w:val="00D943CB"/>
    <w:rsid w:val="00D9594C"/>
    <w:rsid w:val="00D960AC"/>
    <w:rsid w:val="00D976ED"/>
    <w:rsid w:val="00DA046E"/>
    <w:rsid w:val="00DA0BFA"/>
    <w:rsid w:val="00DA1B78"/>
    <w:rsid w:val="00DA273B"/>
    <w:rsid w:val="00DA2F1E"/>
    <w:rsid w:val="00DA358C"/>
    <w:rsid w:val="00DA4287"/>
    <w:rsid w:val="00DA46C9"/>
    <w:rsid w:val="00DA4F77"/>
    <w:rsid w:val="00DA5447"/>
    <w:rsid w:val="00DA5AFA"/>
    <w:rsid w:val="00DA5F24"/>
    <w:rsid w:val="00DA6020"/>
    <w:rsid w:val="00DA6077"/>
    <w:rsid w:val="00DA6381"/>
    <w:rsid w:val="00DA6A06"/>
    <w:rsid w:val="00DA7B69"/>
    <w:rsid w:val="00DA7EF0"/>
    <w:rsid w:val="00DB0E56"/>
    <w:rsid w:val="00DB11E7"/>
    <w:rsid w:val="00DB1ABA"/>
    <w:rsid w:val="00DB29E4"/>
    <w:rsid w:val="00DB2A91"/>
    <w:rsid w:val="00DB4422"/>
    <w:rsid w:val="00DB4F4E"/>
    <w:rsid w:val="00DB5602"/>
    <w:rsid w:val="00DB7324"/>
    <w:rsid w:val="00DB7F69"/>
    <w:rsid w:val="00DC03F8"/>
    <w:rsid w:val="00DC05B6"/>
    <w:rsid w:val="00DC0CB2"/>
    <w:rsid w:val="00DC1138"/>
    <w:rsid w:val="00DC18BE"/>
    <w:rsid w:val="00DC1B8C"/>
    <w:rsid w:val="00DC2B6D"/>
    <w:rsid w:val="00DC33B1"/>
    <w:rsid w:val="00DC35D5"/>
    <w:rsid w:val="00DC41F9"/>
    <w:rsid w:val="00DC4450"/>
    <w:rsid w:val="00DC4DC3"/>
    <w:rsid w:val="00DC54C3"/>
    <w:rsid w:val="00DC54D5"/>
    <w:rsid w:val="00DC6CBC"/>
    <w:rsid w:val="00DC71F8"/>
    <w:rsid w:val="00DD0A6B"/>
    <w:rsid w:val="00DD1369"/>
    <w:rsid w:val="00DD174C"/>
    <w:rsid w:val="00DD3E00"/>
    <w:rsid w:val="00DD3E15"/>
    <w:rsid w:val="00DD420E"/>
    <w:rsid w:val="00DD491B"/>
    <w:rsid w:val="00DD4D12"/>
    <w:rsid w:val="00DD4D3D"/>
    <w:rsid w:val="00DD6BB1"/>
    <w:rsid w:val="00DD7212"/>
    <w:rsid w:val="00DE03C7"/>
    <w:rsid w:val="00DE0A0D"/>
    <w:rsid w:val="00DE0A37"/>
    <w:rsid w:val="00DE0C7E"/>
    <w:rsid w:val="00DE1A18"/>
    <w:rsid w:val="00DE1C24"/>
    <w:rsid w:val="00DE234D"/>
    <w:rsid w:val="00DE24EF"/>
    <w:rsid w:val="00DE31B5"/>
    <w:rsid w:val="00DE3801"/>
    <w:rsid w:val="00DE47B8"/>
    <w:rsid w:val="00DE4A6B"/>
    <w:rsid w:val="00DE4D52"/>
    <w:rsid w:val="00DE4FBC"/>
    <w:rsid w:val="00DE5FA6"/>
    <w:rsid w:val="00DE62B0"/>
    <w:rsid w:val="00DE63A4"/>
    <w:rsid w:val="00DE7A7F"/>
    <w:rsid w:val="00DF05FE"/>
    <w:rsid w:val="00DF1BBB"/>
    <w:rsid w:val="00DF1C84"/>
    <w:rsid w:val="00DF3829"/>
    <w:rsid w:val="00DF4AF7"/>
    <w:rsid w:val="00DF51D0"/>
    <w:rsid w:val="00DF6211"/>
    <w:rsid w:val="00DF6C39"/>
    <w:rsid w:val="00DF73A4"/>
    <w:rsid w:val="00E00017"/>
    <w:rsid w:val="00E00E69"/>
    <w:rsid w:val="00E00F57"/>
    <w:rsid w:val="00E016DD"/>
    <w:rsid w:val="00E02519"/>
    <w:rsid w:val="00E02578"/>
    <w:rsid w:val="00E02DD5"/>
    <w:rsid w:val="00E04770"/>
    <w:rsid w:val="00E05522"/>
    <w:rsid w:val="00E060CA"/>
    <w:rsid w:val="00E06D3D"/>
    <w:rsid w:val="00E07DE4"/>
    <w:rsid w:val="00E10964"/>
    <w:rsid w:val="00E111B4"/>
    <w:rsid w:val="00E113F4"/>
    <w:rsid w:val="00E14139"/>
    <w:rsid w:val="00E1420D"/>
    <w:rsid w:val="00E1528F"/>
    <w:rsid w:val="00E1556D"/>
    <w:rsid w:val="00E15872"/>
    <w:rsid w:val="00E160C1"/>
    <w:rsid w:val="00E16A67"/>
    <w:rsid w:val="00E17949"/>
    <w:rsid w:val="00E21FF6"/>
    <w:rsid w:val="00E22268"/>
    <w:rsid w:val="00E228B5"/>
    <w:rsid w:val="00E22FA5"/>
    <w:rsid w:val="00E23441"/>
    <w:rsid w:val="00E235B1"/>
    <w:rsid w:val="00E23685"/>
    <w:rsid w:val="00E23724"/>
    <w:rsid w:val="00E23C06"/>
    <w:rsid w:val="00E24952"/>
    <w:rsid w:val="00E24E51"/>
    <w:rsid w:val="00E2549E"/>
    <w:rsid w:val="00E25689"/>
    <w:rsid w:val="00E25A73"/>
    <w:rsid w:val="00E2645F"/>
    <w:rsid w:val="00E302FD"/>
    <w:rsid w:val="00E3154E"/>
    <w:rsid w:val="00E31A45"/>
    <w:rsid w:val="00E32C81"/>
    <w:rsid w:val="00E33385"/>
    <w:rsid w:val="00E343C8"/>
    <w:rsid w:val="00E34D16"/>
    <w:rsid w:val="00E352F3"/>
    <w:rsid w:val="00E35FA0"/>
    <w:rsid w:val="00E360FC"/>
    <w:rsid w:val="00E36C0A"/>
    <w:rsid w:val="00E407C7"/>
    <w:rsid w:val="00E40997"/>
    <w:rsid w:val="00E41CE9"/>
    <w:rsid w:val="00E41E3D"/>
    <w:rsid w:val="00E4240F"/>
    <w:rsid w:val="00E43958"/>
    <w:rsid w:val="00E43EBD"/>
    <w:rsid w:val="00E44AD4"/>
    <w:rsid w:val="00E455F8"/>
    <w:rsid w:val="00E4653B"/>
    <w:rsid w:val="00E47A72"/>
    <w:rsid w:val="00E47DF8"/>
    <w:rsid w:val="00E508A7"/>
    <w:rsid w:val="00E50F2A"/>
    <w:rsid w:val="00E51452"/>
    <w:rsid w:val="00E51ABF"/>
    <w:rsid w:val="00E5201C"/>
    <w:rsid w:val="00E521C2"/>
    <w:rsid w:val="00E5265D"/>
    <w:rsid w:val="00E53945"/>
    <w:rsid w:val="00E54559"/>
    <w:rsid w:val="00E54839"/>
    <w:rsid w:val="00E54B6C"/>
    <w:rsid w:val="00E55ABB"/>
    <w:rsid w:val="00E604A7"/>
    <w:rsid w:val="00E607B6"/>
    <w:rsid w:val="00E61DF9"/>
    <w:rsid w:val="00E624B0"/>
    <w:rsid w:val="00E626EC"/>
    <w:rsid w:val="00E62E9D"/>
    <w:rsid w:val="00E63B0F"/>
    <w:rsid w:val="00E63C31"/>
    <w:rsid w:val="00E63CAC"/>
    <w:rsid w:val="00E66FA4"/>
    <w:rsid w:val="00E67DAD"/>
    <w:rsid w:val="00E67FC2"/>
    <w:rsid w:val="00E70066"/>
    <w:rsid w:val="00E70877"/>
    <w:rsid w:val="00E70AE6"/>
    <w:rsid w:val="00E70E6A"/>
    <w:rsid w:val="00E70FFB"/>
    <w:rsid w:val="00E7181E"/>
    <w:rsid w:val="00E71968"/>
    <w:rsid w:val="00E72358"/>
    <w:rsid w:val="00E73CCD"/>
    <w:rsid w:val="00E73DF8"/>
    <w:rsid w:val="00E73F6E"/>
    <w:rsid w:val="00E74386"/>
    <w:rsid w:val="00E744D3"/>
    <w:rsid w:val="00E74827"/>
    <w:rsid w:val="00E74F4A"/>
    <w:rsid w:val="00E758F5"/>
    <w:rsid w:val="00E75EF6"/>
    <w:rsid w:val="00E75F96"/>
    <w:rsid w:val="00E76FAA"/>
    <w:rsid w:val="00E77AC3"/>
    <w:rsid w:val="00E81CBE"/>
    <w:rsid w:val="00E82B91"/>
    <w:rsid w:val="00E83178"/>
    <w:rsid w:val="00E834C5"/>
    <w:rsid w:val="00E83636"/>
    <w:rsid w:val="00E83B64"/>
    <w:rsid w:val="00E841A5"/>
    <w:rsid w:val="00E84A8F"/>
    <w:rsid w:val="00E85E1F"/>
    <w:rsid w:val="00E864EF"/>
    <w:rsid w:val="00E86598"/>
    <w:rsid w:val="00E86B0B"/>
    <w:rsid w:val="00E909DA"/>
    <w:rsid w:val="00E90B9E"/>
    <w:rsid w:val="00E90CA8"/>
    <w:rsid w:val="00E91342"/>
    <w:rsid w:val="00E91919"/>
    <w:rsid w:val="00E91C6B"/>
    <w:rsid w:val="00E91CB6"/>
    <w:rsid w:val="00E91D01"/>
    <w:rsid w:val="00E93801"/>
    <w:rsid w:val="00E938DC"/>
    <w:rsid w:val="00E9424B"/>
    <w:rsid w:val="00E94877"/>
    <w:rsid w:val="00E94A57"/>
    <w:rsid w:val="00E94AE8"/>
    <w:rsid w:val="00E94C12"/>
    <w:rsid w:val="00E94D91"/>
    <w:rsid w:val="00E959D1"/>
    <w:rsid w:val="00E95AE6"/>
    <w:rsid w:val="00E95BC5"/>
    <w:rsid w:val="00E95D02"/>
    <w:rsid w:val="00E95DEA"/>
    <w:rsid w:val="00E95EE6"/>
    <w:rsid w:val="00E97970"/>
    <w:rsid w:val="00E97DEC"/>
    <w:rsid w:val="00EA0BC6"/>
    <w:rsid w:val="00EA180F"/>
    <w:rsid w:val="00EA381E"/>
    <w:rsid w:val="00EA4DA4"/>
    <w:rsid w:val="00EA522B"/>
    <w:rsid w:val="00EA522C"/>
    <w:rsid w:val="00EA534E"/>
    <w:rsid w:val="00EA546F"/>
    <w:rsid w:val="00EA6369"/>
    <w:rsid w:val="00EA637B"/>
    <w:rsid w:val="00EA6CF6"/>
    <w:rsid w:val="00EA7190"/>
    <w:rsid w:val="00EA7500"/>
    <w:rsid w:val="00EB04DE"/>
    <w:rsid w:val="00EB05EA"/>
    <w:rsid w:val="00EB072B"/>
    <w:rsid w:val="00EB0BD1"/>
    <w:rsid w:val="00EB23BA"/>
    <w:rsid w:val="00EB243E"/>
    <w:rsid w:val="00EB2493"/>
    <w:rsid w:val="00EB30B0"/>
    <w:rsid w:val="00EB4039"/>
    <w:rsid w:val="00EB4E5D"/>
    <w:rsid w:val="00EB5969"/>
    <w:rsid w:val="00EB5D79"/>
    <w:rsid w:val="00EB69E3"/>
    <w:rsid w:val="00EB77F7"/>
    <w:rsid w:val="00EB7D02"/>
    <w:rsid w:val="00EC0144"/>
    <w:rsid w:val="00EC06F2"/>
    <w:rsid w:val="00EC1272"/>
    <w:rsid w:val="00EC2226"/>
    <w:rsid w:val="00EC34E8"/>
    <w:rsid w:val="00EC4630"/>
    <w:rsid w:val="00EC51AC"/>
    <w:rsid w:val="00EC6E1A"/>
    <w:rsid w:val="00EC718B"/>
    <w:rsid w:val="00EC76C6"/>
    <w:rsid w:val="00EC793A"/>
    <w:rsid w:val="00EC7C45"/>
    <w:rsid w:val="00ED075A"/>
    <w:rsid w:val="00ED0962"/>
    <w:rsid w:val="00ED0BA4"/>
    <w:rsid w:val="00ED1921"/>
    <w:rsid w:val="00ED2744"/>
    <w:rsid w:val="00ED29BF"/>
    <w:rsid w:val="00ED2D8B"/>
    <w:rsid w:val="00ED2EBC"/>
    <w:rsid w:val="00ED2F87"/>
    <w:rsid w:val="00ED4188"/>
    <w:rsid w:val="00ED4494"/>
    <w:rsid w:val="00ED4C78"/>
    <w:rsid w:val="00ED4F60"/>
    <w:rsid w:val="00ED5011"/>
    <w:rsid w:val="00ED5A71"/>
    <w:rsid w:val="00ED6CDD"/>
    <w:rsid w:val="00ED7CED"/>
    <w:rsid w:val="00EE0D29"/>
    <w:rsid w:val="00EE11DF"/>
    <w:rsid w:val="00EE125E"/>
    <w:rsid w:val="00EE176D"/>
    <w:rsid w:val="00EE1F36"/>
    <w:rsid w:val="00EE209E"/>
    <w:rsid w:val="00EE46E4"/>
    <w:rsid w:val="00EE496B"/>
    <w:rsid w:val="00EE4CA1"/>
    <w:rsid w:val="00EE59C1"/>
    <w:rsid w:val="00EE69B9"/>
    <w:rsid w:val="00EE77B7"/>
    <w:rsid w:val="00EF10F8"/>
    <w:rsid w:val="00EF2E63"/>
    <w:rsid w:val="00EF48C3"/>
    <w:rsid w:val="00EF5397"/>
    <w:rsid w:val="00EF579B"/>
    <w:rsid w:val="00EF5C79"/>
    <w:rsid w:val="00EF7A98"/>
    <w:rsid w:val="00F00E28"/>
    <w:rsid w:val="00F0125D"/>
    <w:rsid w:val="00F01E6A"/>
    <w:rsid w:val="00F02081"/>
    <w:rsid w:val="00F03549"/>
    <w:rsid w:val="00F041FD"/>
    <w:rsid w:val="00F0481B"/>
    <w:rsid w:val="00F0550B"/>
    <w:rsid w:val="00F059AC"/>
    <w:rsid w:val="00F05D5F"/>
    <w:rsid w:val="00F068F2"/>
    <w:rsid w:val="00F06E10"/>
    <w:rsid w:val="00F07E3B"/>
    <w:rsid w:val="00F07EB6"/>
    <w:rsid w:val="00F104F1"/>
    <w:rsid w:val="00F11064"/>
    <w:rsid w:val="00F11E90"/>
    <w:rsid w:val="00F1231E"/>
    <w:rsid w:val="00F12873"/>
    <w:rsid w:val="00F13E19"/>
    <w:rsid w:val="00F15E29"/>
    <w:rsid w:val="00F160A6"/>
    <w:rsid w:val="00F161F1"/>
    <w:rsid w:val="00F2079C"/>
    <w:rsid w:val="00F20968"/>
    <w:rsid w:val="00F2219A"/>
    <w:rsid w:val="00F2315C"/>
    <w:rsid w:val="00F23C3C"/>
    <w:rsid w:val="00F24B16"/>
    <w:rsid w:val="00F24EE9"/>
    <w:rsid w:val="00F2602D"/>
    <w:rsid w:val="00F26272"/>
    <w:rsid w:val="00F2649C"/>
    <w:rsid w:val="00F26589"/>
    <w:rsid w:val="00F27E48"/>
    <w:rsid w:val="00F307EA"/>
    <w:rsid w:val="00F30A29"/>
    <w:rsid w:val="00F32953"/>
    <w:rsid w:val="00F32ED7"/>
    <w:rsid w:val="00F333DD"/>
    <w:rsid w:val="00F33C6B"/>
    <w:rsid w:val="00F34735"/>
    <w:rsid w:val="00F34D3B"/>
    <w:rsid w:val="00F35F40"/>
    <w:rsid w:val="00F40D1C"/>
    <w:rsid w:val="00F41BEC"/>
    <w:rsid w:val="00F43846"/>
    <w:rsid w:val="00F43B6E"/>
    <w:rsid w:val="00F443E2"/>
    <w:rsid w:val="00F4452C"/>
    <w:rsid w:val="00F44C0F"/>
    <w:rsid w:val="00F44C51"/>
    <w:rsid w:val="00F45BD2"/>
    <w:rsid w:val="00F50A56"/>
    <w:rsid w:val="00F51D37"/>
    <w:rsid w:val="00F525F6"/>
    <w:rsid w:val="00F53137"/>
    <w:rsid w:val="00F53306"/>
    <w:rsid w:val="00F54174"/>
    <w:rsid w:val="00F54590"/>
    <w:rsid w:val="00F54F76"/>
    <w:rsid w:val="00F55354"/>
    <w:rsid w:val="00F5560D"/>
    <w:rsid w:val="00F55EE2"/>
    <w:rsid w:val="00F56DD2"/>
    <w:rsid w:val="00F5784D"/>
    <w:rsid w:val="00F6034A"/>
    <w:rsid w:val="00F60512"/>
    <w:rsid w:val="00F618E5"/>
    <w:rsid w:val="00F63BAD"/>
    <w:rsid w:val="00F64172"/>
    <w:rsid w:val="00F641F4"/>
    <w:rsid w:val="00F649CC"/>
    <w:rsid w:val="00F64AF1"/>
    <w:rsid w:val="00F652AB"/>
    <w:rsid w:val="00F65E43"/>
    <w:rsid w:val="00F65EDC"/>
    <w:rsid w:val="00F6603D"/>
    <w:rsid w:val="00F70100"/>
    <w:rsid w:val="00F70D82"/>
    <w:rsid w:val="00F71A28"/>
    <w:rsid w:val="00F71D0D"/>
    <w:rsid w:val="00F71E78"/>
    <w:rsid w:val="00F7444C"/>
    <w:rsid w:val="00F75694"/>
    <w:rsid w:val="00F7600E"/>
    <w:rsid w:val="00F765F4"/>
    <w:rsid w:val="00F767F1"/>
    <w:rsid w:val="00F76DDD"/>
    <w:rsid w:val="00F7710C"/>
    <w:rsid w:val="00F772CA"/>
    <w:rsid w:val="00F8053A"/>
    <w:rsid w:val="00F806DD"/>
    <w:rsid w:val="00F80EDD"/>
    <w:rsid w:val="00F81369"/>
    <w:rsid w:val="00F82298"/>
    <w:rsid w:val="00F839B0"/>
    <w:rsid w:val="00F83C3D"/>
    <w:rsid w:val="00F854C1"/>
    <w:rsid w:val="00F857F0"/>
    <w:rsid w:val="00F87CF8"/>
    <w:rsid w:val="00F9038A"/>
    <w:rsid w:val="00F904B5"/>
    <w:rsid w:val="00F908A6"/>
    <w:rsid w:val="00F91D5E"/>
    <w:rsid w:val="00F9204D"/>
    <w:rsid w:val="00F9352D"/>
    <w:rsid w:val="00F93A42"/>
    <w:rsid w:val="00F95D4C"/>
    <w:rsid w:val="00F96054"/>
    <w:rsid w:val="00F9694F"/>
    <w:rsid w:val="00F974EB"/>
    <w:rsid w:val="00F9794E"/>
    <w:rsid w:val="00FA00B9"/>
    <w:rsid w:val="00FA00D8"/>
    <w:rsid w:val="00FA0A48"/>
    <w:rsid w:val="00FA0A70"/>
    <w:rsid w:val="00FA202B"/>
    <w:rsid w:val="00FA26A5"/>
    <w:rsid w:val="00FA3146"/>
    <w:rsid w:val="00FA331A"/>
    <w:rsid w:val="00FA3C5C"/>
    <w:rsid w:val="00FA3DE9"/>
    <w:rsid w:val="00FA4D4B"/>
    <w:rsid w:val="00FA5293"/>
    <w:rsid w:val="00FA59F1"/>
    <w:rsid w:val="00FA5EA6"/>
    <w:rsid w:val="00FA6945"/>
    <w:rsid w:val="00FA7C69"/>
    <w:rsid w:val="00FA7D24"/>
    <w:rsid w:val="00FB28CD"/>
    <w:rsid w:val="00FB2B9E"/>
    <w:rsid w:val="00FB2D64"/>
    <w:rsid w:val="00FB453F"/>
    <w:rsid w:val="00FB55AD"/>
    <w:rsid w:val="00FB637B"/>
    <w:rsid w:val="00FB6BDD"/>
    <w:rsid w:val="00FB6C8B"/>
    <w:rsid w:val="00FB72A2"/>
    <w:rsid w:val="00FB7721"/>
    <w:rsid w:val="00FC000C"/>
    <w:rsid w:val="00FC0EA2"/>
    <w:rsid w:val="00FC113F"/>
    <w:rsid w:val="00FC1C7A"/>
    <w:rsid w:val="00FC1FAF"/>
    <w:rsid w:val="00FC2534"/>
    <w:rsid w:val="00FC2E63"/>
    <w:rsid w:val="00FC3870"/>
    <w:rsid w:val="00FC40DA"/>
    <w:rsid w:val="00FC44F6"/>
    <w:rsid w:val="00FC491B"/>
    <w:rsid w:val="00FC50CD"/>
    <w:rsid w:val="00FC5A99"/>
    <w:rsid w:val="00FC6ED0"/>
    <w:rsid w:val="00FC7A1D"/>
    <w:rsid w:val="00FC7EFB"/>
    <w:rsid w:val="00FD0DCC"/>
    <w:rsid w:val="00FD1081"/>
    <w:rsid w:val="00FD1880"/>
    <w:rsid w:val="00FD331F"/>
    <w:rsid w:val="00FD35B7"/>
    <w:rsid w:val="00FD3BEB"/>
    <w:rsid w:val="00FD3E49"/>
    <w:rsid w:val="00FD4E8D"/>
    <w:rsid w:val="00FD5395"/>
    <w:rsid w:val="00FD5C8C"/>
    <w:rsid w:val="00FD7871"/>
    <w:rsid w:val="00FE3902"/>
    <w:rsid w:val="00FE4C46"/>
    <w:rsid w:val="00FE568C"/>
    <w:rsid w:val="00FE5919"/>
    <w:rsid w:val="00FE6C85"/>
    <w:rsid w:val="00FE7657"/>
    <w:rsid w:val="00FF103D"/>
    <w:rsid w:val="00FF2002"/>
    <w:rsid w:val="00FF2F75"/>
    <w:rsid w:val="00FF4F32"/>
    <w:rsid w:val="00FF500D"/>
    <w:rsid w:val="00FF54CA"/>
    <w:rsid w:val="00FF763F"/>
    <w:rsid w:val="00FF769B"/>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6E5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B8A"/>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2A"/>
    <w:pPr>
      <w:tabs>
        <w:tab w:val="center" w:pos="4320"/>
        <w:tab w:val="right" w:pos="864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015F2A"/>
  </w:style>
  <w:style w:type="character" w:styleId="PageNumber">
    <w:name w:val="page number"/>
    <w:basedOn w:val="DefaultParagraphFont"/>
    <w:uiPriority w:val="99"/>
    <w:semiHidden/>
    <w:unhideWhenUsed/>
    <w:rsid w:val="00015F2A"/>
  </w:style>
  <w:style w:type="character" w:customStyle="1" w:styleId="EndnoteTextChar">
    <w:name w:val="Endnote Text Char"/>
    <w:basedOn w:val="DefaultParagraphFont"/>
    <w:link w:val="EndnoteText"/>
    <w:rsid w:val="006B7424"/>
  </w:style>
  <w:style w:type="paragraph" w:styleId="EndnoteText">
    <w:name w:val="endnote text"/>
    <w:basedOn w:val="Normal"/>
    <w:link w:val="EndnoteTextChar"/>
    <w:unhideWhenUsed/>
    <w:rsid w:val="006B7424"/>
    <w:rPr>
      <w:rFonts w:asciiTheme="minorHAnsi" w:hAnsiTheme="minorHAnsi" w:cstheme="minorBidi"/>
      <w:lang w:val="en-US" w:eastAsia="en-US"/>
    </w:rPr>
  </w:style>
  <w:style w:type="paragraph" w:styleId="FootnoteText">
    <w:name w:val="footnote text"/>
    <w:basedOn w:val="Normal"/>
    <w:link w:val="FootnoteTextChar"/>
    <w:uiPriority w:val="99"/>
    <w:unhideWhenUsed/>
    <w:rsid w:val="00CF017A"/>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CF017A"/>
  </w:style>
  <w:style w:type="character" w:styleId="FootnoteReference">
    <w:name w:val="footnote reference"/>
    <w:basedOn w:val="DefaultParagraphFont"/>
    <w:uiPriority w:val="99"/>
    <w:unhideWhenUsed/>
    <w:rsid w:val="00CF017A"/>
    <w:rPr>
      <w:vertAlign w:val="superscript"/>
    </w:rPr>
  </w:style>
  <w:style w:type="character" w:styleId="Strong">
    <w:name w:val="Strong"/>
    <w:basedOn w:val="DefaultParagraphFont"/>
    <w:uiPriority w:val="22"/>
    <w:qFormat/>
    <w:rsid w:val="00092776"/>
    <w:rPr>
      <w:b/>
      <w:bCs/>
    </w:rPr>
  </w:style>
  <w:style w:type="paragraph" w:styleId="NormalWeb">
    <w:name w:val="Normal (Web)"/>
    <w:basedOn w:val="Normal"/>
    <w:uiPriority w:val="99"/>
    <w:unhideWhenUsed/>
    <w:rsid w:val="009C1120"/>
    <w:pPr>
      <w:spacing w:before="100" w:beforeAutospacing="1" w:after="100" w:afterAutospacing="1"/>
    </w:pPr>
    <w:rPr>
      <w:rFonts w:ascii="Times" w:hAnsi="Times"/>
      <w:sz w:val="20"/>
      <w:szCs w:val="20"/>
      <w:lang w:eastAsia="en-US"/>
    </w:rPr>
  </w:style>
  <w:style w:type="table" w:styleId="TableGrid">
    <w:name w:val="Table Grid"/>
    <w:basedOn w:val="TableNormal"/>
    <w:uiPriority w:val="59"/>
    <w:rsid w:val="007B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D06"/>
    <w:pPr>
      <w:ind w:left="720"/>
      <w:contextualSpacing/>
    </w:pPr>
    <w:rPr>
      <w:rFonts w:asciiTheme="minorHAnsi" w:hAnsiTheme="minorHAnsi" w:cstheme="minorBidi"/>
      <w:lang w:val="en-US" w:eastAsia="en-US"/>
    </w:rPr>
  </w:style>
  <w:style w:type="character" w:styleId="CommentReference">
    <w:name w:val="annotation reference"/>
    <w:basedOn w:val="DefaultParagraphFont"/>
    <w:uiPriority w:val="99"/>
    <w:semiHidden/>
    <w:unhideWhenUsed/>
    <w:rsid w:val="00E61DF9"/>
    <w:rPr>
      <w:sz w:val="18"/>
      <w:szCs w:val="18"/>
    </w:rPr>
  </w:style>
  <w:style w:type="paragraph" w:styleId="CommentText">
    <w:name w:val="annotation text"/>
    <w:basedOn w:val="Normal"/>
    <w:link w:val="CommentTextChar"/>
    <w:uiPriority w:val="99"/>
    <w:semiHidden/>
    <w:unhideWhenUsed/>
    <w:rsid w:val="00E61DF9"/>
    <w:rPr>
      <w:rFonts w:ascii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E61DF9"/>
  </w:style>
  <w:style w:type="paragraph" w:styleId="CommentSubject">
    <w:name w:val="annotation subject"/>
    <w:basedOn w:val="CommentText"/>
    <w:next w:val="CommentText"/>
    <w:link w:val="CommentSubjectChar"/>
    <w:uiPriority w:val="99"/>
    <w:semiHidden/>
    <w:unhideWhenUsed/>
    <w:rsid w:val="00E61DF9"/>
    <w:rPr>
      <w:b/>
      <w:bCs/>
      <w:sz w:val="20"/>
      <w:szCs w:val="20"/>
    </w:rPr>
  </w:style>
  <w:style w:type="character" w:customStyle="1" w:styleId="CommentSubjectChar">
    <w:name w:val="Comment Subject Char"/>
    <w:basedOn w:val="CommentTextChar"/>
    <w:link w:val="CommentSubject"/>
    <w:uiPriority w:val="99"/>
    <w:semiHidden/>
    <w:rsid w:val="00E61DF9"/>
    <w:rPr>
      <w:b/>
      <w:bCs/>
      <w:sz w:val="20"/>
      <w:szCs w:val="20"/>
    </w:rPr>
  </w:style>
  <w:style w:type="paragraph" w:styleId="BalloonText">
    <w:name w:val="Balloon Text"/>
    <w:basedOn w:val="Normal"/>
    <w:link w:val="BalloonTextChar"/>
    <w:uiPriority w:val="99"/>
    <w:semiHidden/>
    <w:unhideWhenUsed/>
    <w:rsid w:val="00E61D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F9"/>
    <w:rPr>
      <w:rFonts w:ascii="Lucida Grande" w:hAnsi="Lucida Grande" w:cs="Lucida Grande"/>
      <w:sz w:val="18"/>
      <w:szCs w:val="18"/>
    </w:rPr>
  </w:style>
  <w:style w:type="paragraph" w:customStyle="1" w:styleId="Default">
    <w:name w:val="Default"/>
    <w:rsid w:val="0012016E"/>
    <w:pPr>
      <w:widowControl w:val="0"/>
      <w:autoSpaceDE w:val="0"/>
      <w:autoSpaceDN w:val="0"/>
      <w:adjustRightInd w:val="0"/>
    </w:pPr>
    <w:rPr>
      <w:rFonts w:ascii="Times New Roman" w:hAnsi="Times New Roman" w:cs="Times New Roman"/>
      <w:color w:val="000000"/>
    </w:rPr>
  </w:style>
  <w:style w:type="paragraph" w:customStyle="1" w:styleId="refs">
    <w:name w:val="refs"/>
    <w:basedOn w:val="Normal"/>
    <w:rsid w:val="00521C22"/>
    <w:pPr>
      <w:spacing w:line="360" w:lineRule="auto"/>
      <w:ind w:left="240" w:hanging="240"/>
    </w:pPr>
    <w:rPr>
      <w:rFonts w:ascii="Garamond" w:eastAsia="#궁서체" w:hAnsi="Garamond"/>
      <w:sz w:val="22"/>
      <w:szCs w:val="22"/>
      <w:lang w:val="en-CA" w:eastAsia="ko-KR"/>
    </w:rPr>
  </w:style>
  <w:style w:type="character" w:styleId="Hyperlink">
    <w:name w:val="Hyperlink"/>
    <w:basedOn w:val="DefaultParagraphFont"/>
    <w:uiPriority w:val="99"/>
    <w:unhideWhenUsed/>
    <w:rsid w:val="00100ECD"/>
    <w:rPr>
      <w:color w:val="0000FF" w:themeColor="hyperlink"/>
      <w:u w:val="single"/>
    </w:rPr>
  </w:style>
  <w:style w:type="character" w:customStyle="1" w:styleId="Italics">
    <w:name w:val="#Italics"/>
    <w:uiPriority w:val="1"/>
    <w:qFormat/>
    <w:rsid w:val="006B25E0"/>
    <w:rPr>
      <w:i/>
    </w:rPr>
  </w:style>
  <w:style w:type="character" w:customStyle="1" w:styleId="article-headermeta-info-label">
    <w:name w:val="article-header__meta-info-label"/>
    <w:basedOn w:val="DefaultParagraphFont"/>
    <w:rsid w:val="00431C42"/>
  </w:style>
  <w:style w:type="character" w:customStyle="1" w:styleId="apple-converted-space">
    <w:name w:val="apple-converted-space"/>
    <w:basedOn w:val="DefaultParagraphFont"/>
    <w:rsid w:val="00431C42"/>
  </w:style>
  <w:style w:type="character" w:customStyle="1" w:styleId="article-headermeta-info-data">
    <w:name w:val="article-header__meta-info-data"/>
    <w:basedOn w:val="DefaultParagraphFont"/>
    <w:rsid w:val="0043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2586">
      <w:bodyDiv w:val="1"/>
      <w:marLeft w:val="0"/>
      <w:marRight w:val="0"/>
      <w:marTop w:val="0"/>
      <w:marBottom w:val="0"/>
      <w:divBdr>
        <w:top w:val="none" w:sz="0" w:space="0" w:color="auto"/>
        <w:left w:val="none" w:sz="0" w:space="0" w:color="auto"/>
        <w:bottom w:val="none" w:sz="0" w:space="0" w:color="auto"/>
        <w:right w:val="none" w:sz="0" w:space="0" w:color="auto"/>
      </w:divBdr>
      <w:divsChild>
        <w:div w:id="1382513593">
          <w:marLeft w:val="547"/>
          <w:marRight w:val="0"/>
          <w:marTop w:val="115"/>
          <w:marBottom w:val="0"/>
          <w:divBdr>
            <w:top w:val="none" w:sz="0" w:space="0" w:color="auto"/>
            <w:left w:val="none" w:sz="0" w:space="0" w:color="auto"/>
            <w:bottom w:val="none" w:sz="0" w:space="0" w:color="auto"/>
            <w:right w:val="none" w:sz="0" w:space="0" w:color="auto"/>
          </w:divBdr>
        </w:div>
      </w:divsChild>
    </w:div>
    <w:div w:id="286592277">
      <w:bodyDiv w:val="1"/>
      <w:marLeft w:val="0"/>
      <w:marRight w:val="0"/>
      <w:marTop w:val="0"/>
      <w:marBottom w:val="0"/>
      <w:divBdr>
        <w:top w:val="none" w:sz="0" w:space="0" w:color="auto"/>
        <w:left w:val="none" w:sz="0" w:space="0" w:color="auto"/>
        <w:bottom w:val="none" w:sz="0" w:space="0" w:color="auto"/>
        <w:right w:val="none" w:sz="0" w:space="0" w:color="auto"/>
      </w:divBdr>
      <w:divsChild>
        <w:div w:id="1201630009">
          <w:marLeft w:val="547"/>
          <w:marRight w:val="0"/>
          <w:marTop w:val="115"/>
          <w:marBottom w:val="0"/>
          <w:divBdr>
            <w:top w:val="none" w:sz="0" w:space="0" w:color="auto"/>
            <w:left w:val="none" w:sz="0" w:space="0" w:color="auto"/>
            <w:bottom w:val="none" w:sz="0" w:space="0" w:color="auto"/>
            <w:right w:val="none" w:sz="0" w:space="0" w:color="auto"/>
          </w:divBdr>
        </w:div>
      </w:divsChild>
    </w:div>
    <w:div w:id="322777911">
      <w:bodyDiv w:val="1"/>
      <w:marLeft w:val="0"/>
      <w:marRight w:val="0"/>
      <w:marTop w:val="0"/>
      <w:marBottom w:val="0"/>
      <w:divBdr>
        <w:top w:val="none" w:sz="0" w:space="0" w:color="auto"/>
        <w:left w:val="none" w:sz="0" w:space="0" w:color="auto"/>
        <w:bottom w:val="none" w:sz="0" w:space="0" w:color="auto"/>
        <w:right w:val="none" w:sz="0" w:space="0" w:color="auto"/>
      </w:divBdr>
    </w:div>
    <w:div w:id="599489736">
      <w:bodyDiv w:val="1"/>
      <w:marLeft w:val="0"/>
      <w:marRight w:val="0"/>
      <w:marTop w:val="0"/>
      <w:marBottom w:val="0"/>
      <w:divBdr>
        <w:top w:val="none" w:sz="0" w:space="0" w:color="auto"/>
        <w:left w:val="none" w:sz="0" w:space="0" w:color="auto"/>
        <w:bottom w:val="none" w:sz="0" w:space="0" w:color="auto"/>
        <w:right w:val="none" w:sz="0" w:space="0" w:color="auto"/>
      </w:divBdr>
    </w:div>
    <w:div w:id="624581829">
      <w:bodyDiv w:val="1"/>
      <w:marLeft w:val="0"/>
      <w:marRight w:val="0"/>
      <w:marTop w:val="0"/>
      <w:marBottom w:val="0"/>
      <w:divBdr>
        <w:top w:val="none" w:sz="0" w:space="0" w:color="auto"/>
        <w:left w:val="none" w:sz="0" w:space="0" w:color="auto"/>
        <w:bottom w:val="none" w:sz="0" w:space="0" w:color="auto"/>
        <w:right w:val="none" w:sz="0" w:space="0" w:color="auto"/>
      </w:divBdr>
    </w:div>
    <w:div w:id="939291944">
      <w:bodyDiv w:val="1"/>
      <w:marLeft w:val="0"/>
      <w:marRight w:val="0"/>
      <w:marTop w:val="0"/>
      <w:marBottom w:val="0"/>
      <w:divBdr>
        <w:top w:val="none" w:sz="0" w:space="0" w:color="auto"/>
        <w:left w:val="none" w:sz="0" w:space="0" w:color="auto"/>
        <w:bottom w:val="none" w:sz="0" w:space="0" w:color="auto"/>
        <w:right w:val="none" w:sz="0" w:space="0" w:color="auto"/>
      </w:divBdr>
    </w:div>
    <w:div w:id="1219048091">
      <w:bodyDiv w:val="1"/>
      <w:marLeft w:val="0"/>
      <w:marRight w:val="0"/>
      <w:marTop w:val="0"/>
      <w:marBottom w:val="0"/>
      <w:divBdr>
        <w:top w:val="none" w:sz="0" w:space="0" w:color="auto"/>
        <w:left w:val="none" w:sz="0" w:space="0" w:color="auto"/>
        <w:bottom w:val="none" w:sz="0" w:space="0" w:color="auto"/>
        <w:right w:val="none" w:sz="0" w:space="0" w:color="auto"/>
      </w:divBdr>
    </w:div>
    <w:div w:id="1697346812">
      <w:bodyDiv w:val="1"/>
      <w:marLeft w:val="0"/>
      <w:marRight w:val="0"/>
      <w:marTop w:val="0"/>
      <w:marBottom w:val="0"/>
      <w:divBdr>
        <w:top w:val="none" w:sz="0" w:space="0" w:color="auto"/>
        <w:left w:val="none" w:sz="0" w:space="0" w:color="auto"/>
        <w:bottom w:val="none" w:sz="0" w:space="0" w:color="auto"/>
        <w:right w:val="none" w:sz="0" w:space="0" w:color="auto"/>
      </w:divBdr>
    </w:div>
    <w:div w:id="1733381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B98B7-78D9-D542-8FD3-BE71394C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9407</Words>
  <Characters>53626</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The Institute of Education, London</Company>
  <LinksUpToDate>false</LinksUpToDate>
  <CharactersWithSpaces>62908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William Marginson</dc:creator>
  <cp:keywords/>
  <dc:description/>
  <cp:lastModifiedBy>Simon Marginson</cp:lastModifiedBy>
  <cp:revision>8</cp:revision>
  <cp:lastPrinted>2017-06-30T20:54:00Z</cp:lastPrinted>
  <dcterms:created xsi:type="dcterms:W3CDTF">2017-06-30T21:27:00Z</dcterms:created>
  <dcterms:modified xsi:type="dcterms:W3CDTF">2017-09-22T06:45:00Z</dcterms:modified>
</cp:coreProperties>
</file>