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06387" w14:textId="77777777" w:rsidR="00816846" w:rsidRDefault="00816846" w:rsidP="00F803DF">
      <w:pPr>
        <w:spacing w:before="240" w:after="240" w:line="240" w:lineRule="auto"/>
        <w:ind w:left="142"/>
        <w:jc w:val="center"/>
        <w:rPr>
          <w:rFonts w:ascii="Times New Roman" w:hAnsi="Times New Roman" w:cs="Times New Roman"/>
          <w:b/>
          <w:sz w:val="28"/>
          <w:szCs w:val="28"/>
        </w:rPr>
      </w:pPr>
      <w:r w:rsidRPr="00816846">
        <w:rPr>
          <w:rFonts w:ascii="Times New Roman" w:hAnsi="Times New Roman" w:cs="Times New Roman"/>
          <w:b/>
          <w:sz w:val="28"/>
          <w:szCs w:val="28"/>
        </w:rPr>
        <w:t>Centre for Global Higher Education: Empirical workshop</w:t>
      </w:r>
      <w:r>
        <w:rPr>
          <w:rFonts w:ascii="Times New Roman" w:hAnsi="Times New Roman" w:cs="Times New Roman"/>
          <w:b/>
          <w:sz w:val="28"/>
          <w:szCs w:val="28"/>
        </w:rPr>
        <w:t xml:space="preserve"> topics</w:t>
      </w:r>
    </w:p>
    <w:p w14:paraId="72BF66C7" w14:textId="514A89AE" w:rsidR="005070A7" w:rsidRDefault="005070A7" w:rsidP="00816846">
      <w:pPr>
        <w:spacing w:before="240" w:after="240" w:line="240" w:lineRule="auto"/>
        <w:jc w:val="center"/>
        <w:rPr>
          <w:rFonts w:ascii="Times New Roman" w:hAnsi="Times New Roman" w:cs="Times New Roman"/>
          <w:b/>
          <w:sz w:val="28"/>
          <w:szCs w:val="28"/>
        </w:rPr>
      </w:pPr>
      <w:r>
        <w:rPr>
          <w:rFonts w:ascii="Times New Roman" w:hAnsi="Times New Roman" w:cs="Times New Roman"/>
          <w:b/>
          <w:sz w:val="28"/>
          <w:szCs w:val="28"/>
        </w:rPr>
        <w:t>Understanding Student Loan Repayment Burdens</w:t>
      </w:r>
    </w:p>
    <w:p w14:paraId="2FF0266D" w14:textId="2AFEF831" w:rsidR="00F803DF" w:rsidRPr="00F803DF" w:rsidRDefault="00F803DF" w:rsidP="00816846">
      <w:pPr>
        <w:spacing w:before="240" w:after="240" w:line="240" w:lineRule="auto"/>
        <w:jc w:val="center"/>
        <w:rPr>
          <w:rFonts w:ascii="Times New Roman" w:hAnsi="Times New Roman" w:cs="Times New Roman"/>
          <w:sz w:val="24"/>
          <w:szCs w:val="24"/>
        </w:rPr>
      </w:pPr>
      <w:r w:rsidRPr="00F803DF">
        <w:rPr>
          <w:rFonts w:ascii="Times New Roman" w:hAnsi="Times New Roman" w:cs="Times New Roman"/>
          <w:sz w:val="24"/>
          <w:szCs w:val="24"/>
        </w:rPr>
        <w:t>Bruce Chapman, Lorraine Dearden and Dung Doan</w:t>
      </w:r>
    </w:p>
    <w:p w14:paraId="42A6E5BE" w14:textId="77777777" w:rsidR="00816846" w:rsidRDefault="00816846" w:rsidP="00816846">
      <w:pPr>
        <w:spacing w:before="240" w:after="240" w:line="240" w:lineRule="auto"/>
        <w:jc w:val="center"/>
        <w:rPr>
          <w:rFonts w:ascii="Times New Roman" w:hAnsi="Times New Roman" w:cs="Times New Roman"/>
          <w:b/>
          <w:sz w:val="28"/>
          <w:szCs w:val="28"/>
        </w:rPr>
      </w:pPr>
    </w:p>
    <w:p w14:paraId="7ECDD82B" w14:textId="05EDA066" w:rsidR="00E46B75" w:rsidRPr="00E46B75" w:rsidRDefault="00E46B75" w:rsidP="00E46B75">
      <w:pPr>
        <w:pStyle w:val="ListParagraph"/>
        <w:numPr>
          <w:ilvl w:val="0"/>
          <w:numId w:val="1"/>
        </w:numPr>
        <w:spacing w:before="240" w:after="240" w:line="240" w:lineRule="auto"/>
        <w:jc w:val="left"/>
        <w:rPr>
          <w:rFonts w:ascii="Times New Roman" w:hAnsi="Times New Roman" w:cs="Times New Roman"/>
          <w:i/>
          <w:sz w:val="24"/>
          <w:szCs w:val="24"/>
        </w:rPr>
      </w:pPr>
      <w:r w:rsidRPr="00E46B75">
        <w:rPr>
          <w:rFonts w:ascii="Times New Roman" w:hAnsi="Times New Roman" w:cs="Times New Roman"/>
          <w:i/>
          <w:sz w:val="24"/>
          <w:szCs w:val="24"/>
        </w:rPr>
        <w:t>Introduction</w:t>
      </w:r>
    </w:p>
    <w:p w14:paraId="17C8909A" w14:textId="411AFD12" w:rsidR="00816846" w:rsidRDefault="00816846" w:rsidP="00E46B75">
      <w:pPr>
        <w:spacing w:before="240" w:after="240" w:line="240" w:lineRule="auto"/>
        <w:jc w:val="left"/>
        <w:rPr>
          <w:rFonts w:ascii="Times New Roman" w:hAnsi="Times New Roman" w:cs="Times New Roman"/>
          <w:sz w:val="24"/>
          <w:szCs w:val="24"/>
        </w:rPr>
      </w:pPr>
      <w:r w:rsidRPr="00E46B75">
        <w:rPr>
          <w:rFonts w:ascii="Times New Roman" w:hAnsi="Times New Roman" w:cs="Times New Roman"/>
          <w:sz w:val="24"/>
          <w:szCs w:val="24"/>
        </w:rPr>
        <w:t>Professors Bruce Chapman (ANU) and Lorraine Dearden (UCL), and Dr Dung Doan (ANU), are members of the CGHE</w:t>
      </w:r>
      <w:r w:rsidR="00E46B75" w:rsidRPr="00E46B75">
        <w:rPr>
          <w:rFonts w:ascii="Times New Roman" w:hAnsi="Times New Roman" w:cs="Times New Roman"/>
          <w:sz w:val="24"/>
          <w:szCs w:val="24"/>
        </w:rPr>
        <w:t xml:space="preserve"> and are in Project 2.5. </w:t>
      </w:r>
      <w:r w:rsidRPr="00E46B75">
        <w:rPr>
          <w:rFonts w:ascii="Times New Roman" w:hAnsi="Times New Roman" w:cs="Times New Roman"/>
          <w:sz w:val="24"/>
          <w:szCs w:val="24"/>
        </w:rPr>
        <w:t>What follows is an explanation of some of the empirical work we are currently engaged in that we would like to discuss on 10</w:t>
      </w:r>
      <w:r w:rsidRPr="00E46B75">
        <w:rPr>
          <w:rFonts w:ascii="Times New Roman" w:hAnsi="Times New Roman" w:cs="Times New Roman"/>
          <w:sz w:val="24"/>
          <w:szCs w:val="24"/>
          <w:vertAlign w:val="superscript"/>
        </w:rPr>
        <w:t>th</w:t>
      </w:r>
      <w:r w:rsidRPr="00E46B75">
        <w:rPr>
          <w:rFonts w:ascii="Times New Roman" w:hAnsi="Times New Roman" w:cs="Times New Roman"/>
          <w:sz w:val="24"/>
          <w:szCs w:val="24"/>
        </w:rPr>
        <w:t xml:space="preserve"> April</w:t>
      </w:r>
      <w:r w:rsidR="00E46B75" w:rsidRPr="00E46B75">
        <w:rPr>
          <w:rFonts w:ascii="Times New Roman" w:hAnsi="Times New Roman" w:cs="Times New Roman"/>
          <w:sz w:val="24"/>
          <w:szCs w:val="24"/>
        </w:rPr>
        <w:t xml:space="preserve"> at our CGHE research workshop.</w:t>
      </w:r>
    </w:p>
    <w:p w14:paraId="1E26AFE5" w14:textId="736F0035" w:rsidR="00E46B75" w:rsidRPr="00E46B75" w:rsidRDefault="00E46B75" w:rsidP="00E46B75">
      <w:pPr>
        <w:spacing w:before="240" w:after="240" w:line="240" w:lineRule="auto"/>
        <w:jc w:val="left"/>
        <w:rPr>
          <w:rFonts w:ascii="Times New Roman" w:hAnsi="Times New Roman" w:cs="Times New Roman"/>
          <w:i/>
          <w:sz w:val="24"/>
          <w:szCs w:val="24"/>
        </w:rPr>
      </w:pPr>
      <w:r>
        <w:rPr>
          <w:rFonts w:ascii="Times New Roman" w:hAnsi="Times New Roman" w:cs="Times New Roman"/>
          <w:sz w:val="24"/>
          <w:szCs w:val="24"/>
        </w:rPr>
        <w:tab/>
      </w:r>
      <w:r w:rsidR="003A0E51">
        <w:rPr>
          <w:rFonts w:ascii="Times New Roman" w:hAnsi="Times New Roman" w:cs="Times New Roman"/>
          <w:i/>
          <w:sz w:val="24"/>
          <w:szCs w:val="24"/>
        </w:rPr>
        <w:t>2</w:t>
      </w:r>
      <w:r w:rsidR="003A0E51">
        <w:rPr>
          <w:rFonts w:ascii="Times New Roman" w:hAnsi="Times New Roman" w:cs="Times New Roman"/>
          <w:i/>
          <w:sz w:val="24"/>
          <w:szCs w:val="24"/>
        </w:rPr>
        <w:tab/>
        <w:t>Repayment Burdens: The basic concept</w:t>
      </w:r>
    </w:p>
    <w:p w14:paraId="79438FCE" w14:textId="15AAEB3B" w:rsidR="00816846" w:rsidRPr="00011A38" w:rsidRDefault="00011A38" w:rsidP="00816846">
      <w:pPr>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Over the last 30 years </w:t>
      </w:r>
      <w:r w:rsidR="00816846" w:rsidRPr="00E46B75">
        <w:rPr>
          <w:rFonts w:ascii="Times New Roman" w:hAnsi="Times New Roman" w:cs="Times New Roman"/>
          <w:sz w:val="24"/>
          <w:szCs w:val="24"/>
        </w:rPr>
        <w:t>international higher education financing reform has been underway which involves the adoption of income contingent loans (ICL), most often to replace</w:t>
      </w:r>
      <w:r w:rsidR="00E46B75">
        <w:rPr>
          <w:rFonts w:ascii="Times New Roman" w:hAnsi="Times New Roman" w:cs="Times New Roman"/>
          <w:sz w:val="24"/>
          <w:szCs w:val="24"/>
        </w:rPr>
        <w:t xml:space="preserve"> the usual form of higher education financing involving</w:t>
      </w:r>
      <w:r w:rsidR="00816846" w:rsidRPr="00E46B75">
        <w:rPr>
          <w:rFonts w:ascii="Times New Roman" w:hAnsi="Times New Roman" w:cs="Times New Roman"/>
          <w:sz w:val="24"/>
          <w:szCs w:val="24"/>
        </w:rPr>
        <w:t xml:space="preserve"> time-based repayment loans (TBRL). The essential difference concerns debt collection: an ICL is repaid if and only when debtor’s income </w:t>
      </w:r>
      <w:r w:rsidR="00816846" w:rsidRPr="00011A38">
        <w:rPr>
          <w:rFonts w:ascii="Times New Roman" w:hAnsi="Times New Roman" w:cs="Times New Roman"/>
          <w:sz w:val="24"/>
          <w:szCs w:val="24"/>
        </w:rPr>
        <w:t>in a particular period exceeds a threshold level, but with a TBRL repayment obligations are set ov</w:t>
      </w:r>
      <w:r w:rsidR="00E46B75" w:rsidRPr="00011A38">
        <w:rPr>
          <w:rFonts w:ascii="Times New Roman" w:hAnsi="Times New Roman" w:cs="Times New Roman"/>
          <w:sz w:val="24"/>
          <w:szCs w:val="24"/>
        </w:rPr>
        <w:t xml:space="preserve">er a fixed period of time. ICL </w:t>
      </w:r>
      <w:r w:rsidR="00816846" w:rsidRPr="00011A38">
        <w:rPr>
          <w:rFonts w:ascii="Times New Roman" w:hAnsi="Times New Roman" w:cs="Times New Roman"/>
          <w:sz w:val="24"/>
          <w:szCs w:val="24"/>
        </w:rPr>
        <w:t xml:space="preserve">reform began in </w:t>
      </w:r>
      <w:r w:rsidR="00E46B75" w:rsidRPr="00011A38">
        <w:rPr>
          <w:rFonts w:ascii="Times New Roman" w:hAnsi="Times New Roman" w:cs="Times New Roman"/>
          <w:sz w:val="24"/>
          <w:szCs w:val="24"/>
        </w:rPr>
        <w:t xml:space="preserve">an international context in </w:t>
      </w:r>
      <w:r w:rsidR="00816846" w:rsidRPr="00011A38">
        <w:rPr>
          <w:rFonts w:ascii="Times New Roman" w:hAnsi="Times New Roman" w:cs="Times New Roman"/>
          <w:sz w:val="24"/>
          <w:szCs w:val="24"/>
        </w:rPr>
        <w:t>Australia in 1989, and ICLs have since been adopted in about 10 additional countries.</w:t>
      </w:r>
    </w:p>
    <w:p w14:paraId="407636DF" w14:textId="0D6311D3" w:rsidR="003A0E51" w:rsidRDefault="00E46B75" w:rsidP="00011A38">
      <w:pPr>
        <w:spacing w:before="240" w:after="240" w:line="240" w:lineRule="auto"/>
        <w:rPr>
          <w:rFonts w:ascii="Times New Roman" w:hAnsi="Times New Roman" w:cs="Times New Roman"/>
          <w:sz w:val="24"/>
          <w:szCs w:val="24"/>
        </w:rPr>
      </w:pPr>
      <w:r w:rsidRPr="00011A38">
        <w:rPr>
          <w:rFonts w:ascii="Times New Roman" w:hAnsi="Times New Roman" w:cs="Times New Roman"/>
          <w:sz w:val="24"/>
          <w:szCs w:val="24"/>
        </w:rPr>
        <w:t xml:space="preserve">A very significant methodological and empirical focus of what we have been, and are currently, engaged </w:t>
      </w:r>
      <w:r w:rsidR="00011A38" w:rsidRPr="00011A38">
        <w:rPr>
          <w:rFonts w:ascii="Times New Roman" w:hAnsi="Times New Roman" w:cs="Times New Roman"/>
          <w:sz w:val="24"/>
          <w:szCs w:val="24"/>
        </w:rPr>
        <w:t>in,</w:t>
      </w:r>
      <w:r w:rsidR="007B011C" w:rsidRPr="00011A38">
        <w:rPr>
          <w:rFonts w:ascii="Times New Roman" w:hAnsi="Times New Roman" w:cs="Times New Roman"/>
          <w:sz w:val="24"/>
          <w:szCs w:val="24"/>
        </w:rPr>
        <w:t xml:space="preserve"> </w:t>
      </w:r>
      <w:r w:rsidRPr="00011A38">
        <w:rPr>
          <w:rFonts w:ascii="Times New Roman" w:hAnsi="Times New Roman" w:cs="Times New Roman"/>
          <w:sz w:val="24"/>
          <w:szCs w:val="24"/>
        </w:rPr>
        <w:t xml:space="preserve">relates to </w:t>
      </w:r>
      <w:r w:rsidR="004C7DE7" w:rsidRPr="00011A38">
        <w:rPr>
          <w:rFonts w:ascii="Times New Roman" w:hAnsi="Times New Roman" w:cs="Times New Roman"/>
          <w:sz w:val="24"/>
          <w:szCs w:val="24"/>
        </w:rPr>
        <w:t>calculations associated with potential repayment difficulties for relati</w:t>
      </w:r>
      <w:r w:rsidR="00011A38" w:rsidRPr="00011A38">
        <w:rPr>
          <w:rFonts w:ascii="Times New Roman" w:hAnsi="Times New Roman" w:cs="Times New Roman"/>
          <w:sz w:val="24"/>
          <w:szCs w:val="24"/>
        </w:rPr>
        <w:t>vely low income student debtors in TBRL systems, such as those in</w:t>
      </w:r>
      <w:r w:rsidR="00011A38">
        <w:rPr>
          <w:rFonts w:ascii="Times New Roman" w:hAnsi="Times New Roman" w:cs="Times New Roman"/>
          <w:sz w:val="24"/>
          <w:szCs w:val="24"/>
        </w:rPr>
        <w:t>,</w:t>
      </w:r>
      <w:r w:rsidR="00011A38" w:rsidRPr="00011A38">
        <w:rPr>
          <w:rFonts w:ascii="Times New Roman" w:hAnsi="Times New Roman" w:cs="Times New Roman"/>
          <w:sz w:val="24"/>
          <w:szCs w:val="24"/>
        </w:rPr>
        <w:t xml:space="preserve"> </w:t>
      </w:r>
      <w:r w:rsidR="00011A38">
        <w:rPr>
          <w:rFonts w:ascii="Times New Roman" w:hAnsi="Times New Roman" w:cs="Times New Roman"/>
          <w:sz w:val="24"/>
          <w:szCs w:val="24"/>
        </w:rPr>
        <w:t xml:space="preserve">for example, </w:t>
      </w:r>
      <w:r w:rsidR="00011A38" w:rsidRPr="00011A38">
        <w:rPr>
          <w:rFonts w:ascii="Times New Roman" w:hAnsi="Times New Roman" w:cs="Times New Roman"/>
          <w:sz w:val="24"/>
          <w:szCs w:val="24"/>
        </w:rPr>
        <w:t>the US, Canada and Colombia. This relates to the concept of a “repayment burden” (RB), which is measured as the proportion of a debtor’s earnings required to repay a student loan. RBs are critical to the policy debate concerning comparisons of ICL and TBRL, since for ICL this proportion is set by law. In Hungary, Australia, England, and New Zealand, for example, the maximum RB is six, eight, nine, and twelve percent of debtor’s earnings. However, since TBRLs require fixed repayments over a set period of time, RBs can vary widely among debtors as well as over a debtor’s lifetime simply because of earnings variation</w:t>
      </w:r>
      <w:r w:rsidR="003A0E51">
        <w:rPr>
          <w:rFonts w:ascii="Times New Roman" w:hAnsi="Times New Roman" w:cs="Times New Roman"/>
          <w:sz w:val="24"/>
          <w:szCs w:val="24"/>
        </w:rPr>
        <w:t>.</w:t>
      </w:r>
    </w:p>
    <w:p w14:paraId="7A65BB19" w14:textId="672DBE4F" w:rsidR="003A0E51" w:rsidRDefault="003A0E51" w:rsidP="00011A38">
      <w:pPr>
        <w:spacing w:before="240" w:after="240" w:line="240" w:lineRule="auto"/>
        <w:rPr>
          <w:rFonts w:ascii="Times New Roman" w:hAnsi="Times New Roman" w:cs="Times New Roman"/>
          <w:sz w:val="24"/>
          <w:szCs w:val="24"/>
        </w:rPr>
      </w:pPr>
      <w:r>
        <w:rPr>
          <w:rFonts w:ascii="Times New Roman" w:hAnsi="Times New Roman" w:cs="Times New Roman"/>
          <w:sz w:val="24"/>
          <w:szCs w:val="24"/>
        </w:rPr>
        <w:t>There are several reasons that RBs might be critical to the welfare of debtors. One is that high RBs must result in consumption hardship since at some point purchases of goods and services must be</w:t>
      </w:r>
      <w:r w:rsidR="005A55F2">
        <w:rPr>
          <w:rFonts w:ascii="Times New Roman" w:hAnsi="Times New Roman" w:cs="Times New Roman"/>
          <w:sz w:val="24"/>
          <w:szCs w:val="24"/>
        </w:rPr>
        <w:t xml:space="preserve"> decreased or postponed in order to meet debt repayment obligations. A second and related concern is that even if income is high enough to accommodate the loan repayment obligation in a given period the possibility of future consumption hardship given an unanticipated fall in income would give rise to stress and anxiety. Finally, in the event of persistently very high RBs, some debtors will be forced to default on their loans and this results in a loss of credit reputation and thus future access to other commercial borrowings.</w:t>
      </w:r>
    </w:p>
    <w:p w14:paraId="5F13B64A" w14:textId="79B072A8" w:rsidR="005070A7" w:rsidRDefault="005070A7" w:rsidP="005070A7">
      <w:pPr>
        <w:spacing w:before="240" w:after="240" w:line="240" w:lineRule="auto"/>
        <w:rPr>
          <w:rFonts w:ascii="Times New Roman" w:hAnsi="Times New Roman" w:cs="Times New Roman"/>
          <w:sz w:val="24"/>
          <w:szCs w:val="24"/>
        </w:rPr>
      </w:pPr>
      <w:r w:rsidRPr="00011A38">
        <w:rPr>
          <w:rFonts w:ascii="Times New Roman" w:hAnsi="Times New Roman" w:cs="Times New Roman"/>
          <w:sz w:val="24"/>
          <w:szCs w:val="24"/>
        </w:rPr>
        <w:t>A burgeoning pool of research</w:t>
      </w:r>
      <w:r w:rsidR="005A55F2">
        <w:rPr>
          <w:rFonts w:ascii="Times New Roman" w:hAnsi="Times New Roman" w:cs="Times New Roman"/>
          <w:sz w:val="24"/>
          <w:szCs w:val="24"/>
        </w:rPr>
        <w:t>, much of it e</w:t>
      </w:r>
      <w:r w:rsidR="00A7164A">
        <w:rPr>
          <w:rFonts w:ascii="Times New Roman" w:hAnsi="Times New Roman" w:cs="Times New Roman"/>
          <w:sz w:val="24"/>
          <w:szCs w:val="24"/>
        </w:rPr>
        <w:t>manating directly or indirectly from the CGHE</w:t>
      </w:r>
      <w:r w:rsidR="00B05ED6">
        <w:rPr>
          <w:rFonts w:ascii="Times New Roman" w:hAnsi="Times New Roman" w:cs="Times New Roman"/>
          <w:sz w:val="24"/>
          <w:szCs w:val="24"/>
        </w:rPr>
        <w:t>,</w:t>
      </w:r>
      <w:r w:rsidRPr="00011A38">
        <w:rPr>
          <w:rFonts w:ascii="Times New Roman" w:hAnsi="Times New Roman" w:cs="Times New Roman"/>
          <w:sz w:val="24"/>
          <w:szCs w:val="24"/>
        </w:rPr>
        <w:t xml:space="preserve"> </w:t>
      </w:r>
      <w:r w:rsidR="00B05ED6">
        <w:rPr>
          <w:rFonts w:ascii="Times New Roman" w:hAnsi="Times New Roman" w:cs="Times New Roman"/>
          <w:sz w:val="24"/>
          <w:szCs w:val="24"/>
        </w:rPr>
        <w:t>has reported</w:t>
      </w:r>
      <w:r w:rsidRPr="00011A38">
        <w:rPr>
          <w:rFonts w:ascii="Times New Roman" w:hAnsi="Times New Roman" w:cs="Times New Roman"/>
          <w:sz w:val="24"/>
          <w:szCs w:val="24"/>
        </w:rPr>
        <w:t xml:space="preserve"> RBs under TBRLs in various countries and consistently reported that this traditional form of student loan creates excessive burdens to low-income debtors. Those in the bottom 20 percent of the graduate income distribution need about 40 percent to above 100 percent of their earnings to service their student debts in any given period. </w:t>
      </w:r>
      <w:r w:rsidR="00B05ED6">
        <w:rPr>
          <w:rFonts w:ascii="Times New Roman" w:hAnsi="Times New Roman" w:cs="Times New Roman"/>
          <w:sz w:val="24"/>
          <w:szCs w:val="24"/>
        </w:rPr>
        <w:t xml:space="preserve">This has been </w:t>
      </w:r>
      <w:r w:rsidR="00B05ED6">
        <w:rPr>
          <w:rFonts w:ascii="Times New Roman" w:hAnsi="Times New Roman" w:cs="Times New Roman"/>
          <w:sz w:val="24"/>
          <w:szCs w:val="24"/>
        </w:rPr>
        <w:lastRenderedPageBreak/>
        <w:t>found to be the case for example, in the US (Chapman and Dearden</w:t>
      </w:r>
      <w:r w:rsidR="009A425C">
        <w:rPr>
          <w:rFonts w:ascii="Times New Roman" w:hAnsi="Times New Roman" w:cs="Times New Roman"/>
          <w:sz w:val="24"/>
          <w:szCs w:val="24"/>
        </w:rPr>
        <w:t xml:space="preserve">, </w:t>
      </w:r>
      <w:r w:rsidR="00B05ED6">
        <w:rPr>
          <w:rFonts w:ascii="Times New Roman" w:hAnsi="Times New Roman" w:cs="Times New Roman"/>
          <w:sz w:val="24"/>
          <w:szCs w:val="24"/>
        </w:rPr>
        <w:t xml:space="preserve">2017 and Barr </w:t>
      </w:r>
      <w:r w:rsidR="00B05ED6" w:rsidRPr="00B05ED6">
        <w:rPr>
          <w:rFonts w:ascii="Times New Roman" w:hAnsi="Times New Roman" w:cs="Times New Roman"/>
          <w:i/>
          <w:sz w:val="24"/>
          <w:szCs w:val="24"/>
        </w:rPr>
        <w:t>et al.</w:t>
      </w:r>
      <w:r w:rsidR="009A425C">
        <w:rPr>
          <w:rFonts w:ascii="Times New Roman" w:hAnsi="Times New Roman" w:cs="Times New Roman"/>
          <w:sz w:val="24"/>
          <w:szCs w:val="24"/>
        </w:rPr>
        <w:t xml:space="preserve">, </w:t>
      </w:r>
      <w:r w:rsidR="00B05ED6">
        <w:rPr>
          <w:rFonts w:ascii="Times New Roman" w:hAnsi="Times New Roman" w:cs="Times New Roman"/>
          <w:sz w:val="24"/>
          <w:szCs w:val="24"/>
        </w:rPr>
        <w:t>2017), Ireland (Chapman and Doris, 2017), Japan (Dearden and Nagase, 2017) and South Korea (Doan</w:t>
      </w:r>
      <w:r w:rsidR="00414BC1">
        <w:rPr>
          <w:rFonts w:ascii="Times New Roman" w:hAnsi="Times New Roman" w:cs="Times New Roman"/>
          <w:sz w:val="24"/>
          <w:szCs w:val="24"/>
        </w:rPr>
        <w:t>, 2017</w:t>
      </w:r>
      <w:r w:rsidR="00B05ED6">
        <w:rPr>
          <w:rFonts w:ascii="Times New Roman" w:hAnsi="Times New Roman" w:cs="Times New Roman"/>
          <w:sz w:val="24"/>
          <w:szCs w:val="24"/>
        </w:rPr>
        <w:t xml:space="preserve">). Yet some puzzles arise in interpreting the RB experience of many countries’ loan systems, one being that since major repayment </w:t>
      </w:r>
      <w:r w:rsidR="00414BC1">
        <w:rPr>
          <w:rFonts w:ascii="Times New Roman" w:hAnsi="Times New Roman" w:cs="Times New Roman"/>
          <w:sz w:val="24"/>
          <w:szCs w:val="24"/>
        </w:rPr>
        <w:t xml:space="preserve">difficulties </w:t>
      </w:r>
      <w:r w:rsidR="00B05ED6">
        <w:rPr>
          <w:rFonts w:ascii="Times New Roman" w:hAnsi="Times New Roman" w:cs="Times New Roman"/>
          <w:sz w:val="24"/>
          <w:szCs w:val="24"/>
        </w:rPr>
        <w:t>seem to be commonplace, why is it that loan defaults appear to be significantly lower than should be exp</w:t>
      </w:r>
      <w:r w:rsidR="00414BC1">
        <w:rPr>
          <w:rFonts w:ascii="Times New Roman" w:hAnsi="Times New Roman" w:cs="Times New Roman"/>
          <w:sz w:val="24"/>
          <w:szCs w:val="24"/>
        </w:rPr>
        <w:t>ected from our RB calculations?</w:t>
      </w:r>
      <w:r w:rsidR="00B05ED6">
        <w:rPr>
          <w:rFonts w:ascii="Times New Roman" w:hAnsi="Times New Roman" w:cs="Times New Roman"/>
          <w:sz w:val="24"/>
          <w:szCs w:val="24"/>
        </w:rPr>
        <w:t xml:space="preserve"> This is our major motivation in exploring the measurement and interpretation of contemporary </w:t>
      </w:r>
      <w:r w:rsidR="00414BC1">
        <w:rPr>
          <w:rFonts w:ascii="Times New Roman" w:hAnsi="Times New Roman" w:cs="Times New Roman"/>
          <w:sz w:val="24"/>
          <w:szCs w:val="24"/>
        </w:rPr>
        <w:t>RB calculations.</w:t>
      </w:r>
    </w:p>
    <w:p w14:paraId="5A2B8748" w14:textId="00065F4D" w:rsidR="00414BC1" w:rsidRPr="00F42685" w:rsidRDefault="00B05ED6" w:rsidP="00F42685">
      <w:pPr>
        <w:pStyle w:val="ListParagraph"/>
        <w:numPr>
          <w:ilvl w:val="0"/>
          <w:numId w:val="3"/>
        </w:numPr>
        <w:spacing w:before="240" w:after="240" w:line="240" w:lineRule="auto"/>
        <w:rPr>
          <w:rFonts w:ascii="Times New Roman" w:hAnsi="Times New Roman" w:cs="Times New Roman"/>
          <w:i/>
          <w:sz w:val="24"/>
          <w:szCs w:val="24"/>
        </w:rPr>
      </w:pPr>
      <w:r w:rsidRPr="00414BC1">
        <w:rPr>
          <w:rFonts w:ascii="Times New Roman" w:hAnsi="Times New Roman" w:cs="Times New Roman"/>
          <w:i/>
          <w:sz w:val="24"/>
          <w:szCs w:val="24"/>
        </w:rPr>
        <w:t>Repayment Burdens</w:t>
      </w:r>
      <w:r w:rsidR="00414BC1" w:rsidRPr="00414BC1">
        <w:rPr>
          <w:rFonts w:ascii="Times New Roman" w:hAnsi="Times New Roman" w:cs="Times New Roman"/>
          <w:i/>
          <w:sz w:val="24"/>
          <w:szCs w:val="24"/>
        </w:rPr>
        <w:t>: Implicit assumptions underlying contemporary calculations.</w:t>
      </w:r>
    </w:p>
    <w:p w14:paraId="174BB845" w14:textId="7488D8DF" w:rsidR="00F42685" w:rsidRPr="00F42685" w:rsidRDefault="00F42685" w:rsidP="00F42685">
      <w:pPr>
        <w:tabs>
          <w:tab w:val="num" w:pos="720"/>
        </w:tabs>
        <w:spacing w:before="240" w:after="240" w:line="240" w:lineRule="auto"/>
        <w:rPr>
          <w:rFonts w:ascii="Times New Roman" w:hAnsi="Times New Roman" w:cs="Times New Roman"/>
          <w:sz w:val="24"/>
          <w:szCs w:val="24"/>
        </w:rPr>
      </w:pPr>
      <w:r w:rsidRPr="00F42685">
        <w:rPr>
          <w:rFonts w:ascii="Times New Roman" w:hAnsi="Times New Roman" w:cs="Times New Roman"/>
          <w:sz w:val="24"/>
          <w:szCs w:val="24"/>
        </w:rPr>
        <w:t>Conventionally RBs are measured as:</w:t>
      </w:r>
    </w:p>
    <w:p w14:paraId="7D22283A" w14:textId="012B8A20" w:rsidR="00F42685" w:rsidRDefault="00256173" w:rsidP="00F42685">
      <w:pPr>
        <w:spacing w:before="240" w:after="240" w:line="240" w:lineRule="auto"/>
        <w:jc w:val="center"/>
        <w:rPr>
          <w:rFonts w:ascii="Times New Roman" w:hAnsi="Times New Roman" w:cs="Times New Roman"/>
          <w:sz w:val="24"/>
          <w:szCs w:val="24"/>
        </w:rPr>
      </w:pP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L</m:t>
                </m:r>
              </m:e>
              <m:sub>
                <m:r>
                  <w:rPr>
                    <w:rFonts w:ascii="Cambria Math" w:hAnsi="Cambria Math" w:cs="Times New Roman"/>
                    <w:sz w:val="32"/>
                    <w:szCs w:val="32"/>
                  </w:rPr>
                  <m:t>it</m:t>
                </m:r>
              </m:sub>
            </m:sSub>
          </m:num>
          <m:den>
            <m:sSub>
              <m:sSubPr>
                <m:ctrlPr>
                  <w:rPr>
                    <w:rFonts w:ascii="Cambria Math" w:hAnsi="Cambria Math" w:cs="Times New Roman"/>
                    <w:i/>
                    <w:sz w:val="32"/>
                    <w:szCs w:val="32"/>
                  </w:rPr>
                </m:ctrlPr>
              </m:sSubPr>
              <m:e>
                <m:r>
                  <w:rPr>
                    <w:rFonts w:ascii="Cambria Math" w:hAnsi="Cambria Math" w:cs="Times New Roman"/>
                    <w:sz w:val="32"/>
                    <w:szCs w:val="32"/>
                  </w:rPr>
                  <m:t>Y</m:t>
                </m:r>
              </m:e>
              <m:sub>
                <m:r>
                  <w:rPr>
                    <w:rFonts w:ascii="Cambria Math" w:hAnsi="Cambria Math" w:cs="Times New Roman"/>
                    <w:sz w:val="32"/>
                    <w:szCs w:val="32"/>
                  </w:rPr>
                  <m:t>it</m:t>
                </m:r>
              </m:sub>
            </m:sSub>
          </m:den>
        </m:f>
      </m:oMath>
      <w:r w:rsidR="009A425C">
        <w:rPr>
          <w:rFonts w:ascii="Times New Roman" w:hAnsi="Times New Roman" w:cs="Times New Roman"/>
          <w:sz w:val="24"/>
          <w:szCs w:val="24"/>
        </w:rPr>
        <w:tab/>
      </w:r>
      <w:r w:rsidR="00F42685">
        <w:rPr>
          <w:rFonts w:ascii="Times New Roman" w:hAnsi="Times New Roman" w:cs="Times New Roman"/>
          <w:sz w:val="24"/>
          <w:szCs w:val="24"/>
        </w:rPr>
        <w:t xml:space="preserve"> (1)</w:t>
      </w:r>
    </w:p>
    <w:p w14:paraId="5867333C" w14:textId="7E5EA119" w:rsidR="00F42685" w:rsidRPr="00F42685" w:rsidRDefault="00F42685" w:rsidP="00F42685">
      <w:pPr>
        <w:spacing w:before="240" w:after="240" w:line="240" w:lineRule="auto"/>
        <w:rPr>
          <w:rFonts w:ascii="Times New Roman" w:hAnsi="Times New Roman" w:cs="Times New Roman"/>
          <w:sz w:val="24"/>
          <w:szCs w:val="24"/>
        </w:rPr>
      </w:pPr>
      <w:r w:rsidRPr="00F42685">
        <w:rPr>
          <w:rFonts w:ascii="Times New Roman" w:hAnsi="Times New Roman" w:cs="Times New Roman"/>
          <w:sz w:val="24"/>
          <w:szCs w:val="24"/>
        </w:rPr>
        <w:t xml:space="preserve">where </w:t>
      </w:r>
      <m:oMath>
        <m:sSub>
          <m:sSubPr>
            <m:ctrlPr>
              <w:rPr>
                <w:rFonts w:ascii="Cambria Math" w:hAnsi="Cambria Math" w:cs="Times New Roman"/>
                <w:i/>
                <w:iCs/>
                <w:sz w:val="24"/>
                <w:szCs w:val="24"/>
                <w:lang w:val="en-AU"/>
              </w:rPr>
            </m:ctrlPr>
          </m:sSubPr>
          <m:e>
            <m:r>
              <w:rPr>
                <w:rFonts w:ascii="Cambria Math" w:hAnsi="Cambria Math" w:cs="Times New Roman"/>
                <w:sz w:val="24"/>
                <w:szCs w:val="24"/>
              </w:rPr>
              <m:t>L</m:t>
            </m:r>
          </m:e>
          <m:sub>
            <m:r>
              <w:rPr>
                <w:rFonts w:ascii="Cambria Math" w:hAnsi="Cambria Math" w:cs="Times New Roman"/>
                <w:sz w:val="24"/>
                <w:szCs w:val="24"/>
              </w:rPr>
              <m:t>it</m:t>
            </m:r>
          </m:sub>
        </m:sSub>
      </m:oMath>
      <w:r w:rsidRPr="00F42685">
        <w:rPr>
          <w:rFonts w:ascii="Times New Roman" w:hAnsi="Times New Roman" w:cs="Times New Roman"/>
          <w:iCs/>
          <w:sz w:val="24"/>
          <w:szCs w:val="24"/>
        </w:rPr>
        <w:t xml:space="preserve"> is</w:t>
      </w:r>
      <w:r>
        <w:rPr>
          <w:rFonts w:ascii="Times New Roman" w:hAnsi="Times New Roman" w:cs="Times New Roman"/>
          <w:iCs/>
          <w:sz w:val="24"/>
          <w:szCs w:val="24"/>
        </w:rPr>
        <w:t xml:space="preserve"> the required</w:t>
      </w:r>
      <w:r w:rsidRPr="00F42685">
        <w:rPr>
          <w:rFonts w:ascii="Times New Roman" w:hAnsi="Times New Roman" w:cs="Times New Roman"/>
          <w:iCs/>
          <w:sz w:val="24"/>
          <w:szCs w:val="24"/>
        </w:rPr>
        <w:t xml:space="preserve"> repayment of student loan in period</w:t>
      </w:r>
      <w:r w:rsidRPr="00D12F25">
        <w:rPr>
          <w:rFonts w:ascii="Times New Roman" w:hAnsi="Times New Roman" w:cs="Times New Roman"/>
          <w:i/>
          <w:iCs/>
          <w:sz w:val="24"/>
          <w:szCs w:val="24"/>
        </w:rPr>
        <w:t xml:space="preserve"> t</w:t>
      </w:r>
      <w:r w:rsidRPr="00F42685">
        <w:rPr>
          <w:rFonts w:ascii="Times New Roman" w:hAnsi="Times New Roman" w:cs="Times New Roman"/>
          <w:iCs/>
          <w:sz w:val="24"/>
          <w:szCs w:val="24"/>
        </w:rPr>
        <w:t xml:space="preserve"> for debtor </w:t>
      </w:r>
      <w:r w:rsidRPr="00D12F25">
        <w:rPr>
          <w:rFonts w:ascii="Times New Roman" w:hAnsi="Times New Roman" w:cs="Times New Roman"/>
          <w:i/>
          <w:iCs/>
          <w:sz w:val="24"/>
          <w:szCs w:val="24"/>
        </w:rPr>
        <w:t>i</w:t>
      </w:r>
      <w:r>
        <w:rPr>
          <w:rFonts w:ascii="Times New Roman" w:hAnsi="Times New Roman" w:cs="Times New Roman"/>
          <w:iCs/>
          <w:sz w:val="24"/>
          <w:szCs w:val="24"/>
        </w:rPr>
        <w:t xml:space="preserve">, </w:t>
      </w:r>
      <w:r w:rsidRPr="00F42685">
        <w:rPr>
          <w:rFonts w:ascii="Times New Roman" w:hAnsi="Times New Roman" w:cs="Times New Roman"/>
          <w:iCs/>
          <w:sz w:val="24"/>
          <w:szCs w:val="24"/>
        </w:rPr>
        <w:t xml:space="preserve">and </w:t>
      </w:r>
      <m:oMath>
        <m:sSub>
          <m:sSubPr>
            <m:ctrlPr>
              <w:rPr>
                <w:rFonts w:ascii="Cambria Math" w:hAnsi="Cambria Math" w:cs="Times New Roman"/>
                <w:i/>
                <w:iCs/>
                <w:sz w:val="24"/>
                <w:szCs w:val="24"/>
                <w:lang w:val="en-AU"/>
              </w:rPr>
            </m:ctrlPr>
          </m:sSubPr>
          <m:e>
            <m:r>
              <w:rPr>
                <w:rFonts w:ascii="Cambria Math" w:hAnsi="Cambria Math" w:cs="Times New Roman"/>
                <w:sz w:val="24"/>
                <w:szCs w:val="24"/>
              </w:rPr>
              <m:t>Y</m:t>
            </m:r>
          </m:e>
          <m:sub>
            <m:r>
              <w:rPr>
                <w:rFonts w:ascii="Cambria Math" w:hAnsi="Cambria Math" w:cs="Times New Roman"/>
                <w:sz w:val="24"/>
                <w:szCs w:val="24"/>
              </w:rPr>
              <m:t>it</m:t>
            </m:r>
          </m:sub>
        </m:sSub>
      </m:oMath>
      <w:r w:rsidRPr="00D12F25">
        <w:rPr>
          <w:rFonts w:ascii="Times New Roman" w:hAnsi="Times New Roman" w:cs="Times New Roman"/>
          <w:i/>
          <w:iCs/>
          <w:sz w:val="24"/>
          <w:szCs w:val="24"/>
          <w:lang w:val="en-AU"/>
        </w:rPr>
        <w:t xml:space="preserve"> </w:t>
      </w:r>
      <w:r w:rsidRPr="00F42685">
        <w:rPr>
          <w:rFonts w:ascii="Times New Roman" w:hAnsi="Times New Roman" w:cs="Times New Roman"/>
          <w:iCs/>
          <w:sz w:val="24"/>
          <w:szCs w:val="24"/>
          <w:lang w:val="en-AU"/>
        </w:rPr>
        <w:t>is</w:t>
      </w:r>
      <w:r w:rsidRPr="00F42685">
        <w:rPr>
          <w:rFonts w:ascii="Times New Roman" w:hAnsi="Times New Roman" w:cs="Times New Roman"/>
          <w:sz w:val="24"/>
          <w:szCs w:val="24"/>
          <w:lang w:val="en-AU"/>
        </w:rPr>
        <w:t xml:space="preserve"> </w:t>
      </w:r>
      <w:r w:rsidRPr="00F42685">
        <w:rPr>
          <w:rFonts w:ascii="Times New Roman" w:hAnsi="Times New Roman" w:cs="Times New Roman"/>
          <w:iCs/>
          <w:sz w:val="24"/>
          <w:szCs w:val="24"/>
          <w:lang w:val="en-AU"/>
        </w:rPr>
        <w:t xml:space="preserve">debtor </w:t>
      </w:r>
      <w:r w:rsidRPr="00D12F25">
        <w:rPr>
          <w:rFonts w:ascii="Times New Roman" w:hAnsi="Times New Roman" w:cs="Times New Roman"/>
          <w:i/>
          <w:iCs/>
          <w:sz w:val="24"/>
          <w:szCs w:val="24"/>
          <w:lang w:val="en-AU"/>
        </w:rPr>
        <w:t>i</w:t>
      </w:r>
      <w:r w:rsidRPr="00F42685">
        <w:rPr>
          <w:rFonts w:ascii="Times New Roman" w:hAnsi="Times New Roman" w:cs="Times New Roman"/>
          <w:iCs/>
          <w:sz w:val="24"/>
          <w:szCs w:val="24"/>
          <w:lang w:val="en-AU"/>
        </w:rPr>
        <w:t>’s own labo</w:t>
      </w:r>
      <w:r>
        <w:rPr>
          <w:rFonts w:ascii="Times New Roman" w:hAnsi="Times New Roman" w:cs="Times New Roman"/>
          <w:iCs/>
          <w:sz w:val="24"/>
          <w:szCs w:val="24"/>
          <w:lang w:val="en-AU"/>
        </w:rPr>
        <w:t>u</w:t>
      </w:r>
      <w:r w:rsidRPr="00F42685">
        <w:rPr>
          <w:rFonts w:ascii="Times New Roman" w:hAnsi="Times New Roman" w:cs="Times New Roman"/>
          <w:iCs/>
          <w:sz w:val="24"/>
          <w:szCs w:val="24"/>
          <w:lang w:val="en-AU"/>
        </w:rPr>
        <w:t xml:space="preserve">r income in period </w:t>
      </w:r>
      <w:r w:rsidRPr="00D12F25">
        <w:rPr>
          <w:rFonts w:ascii="Times New Roman" w:hAnsi="Times New Roman" w:cs="Times New Roman"/>
          <w:i/>
          <w:iCs/>
          <w:sz w:val="24"/>
          <w:szCs w:val="24"/>
          <w:lang w:val="en-AU"/>
        </w:rPr>
        <w:t>t</w:t>
      </w:r>
      <w:r w:rsidRPr="00F42685">
        <w:rPr>
          <w:rFonts w:ascii="Times New Roman" w:hAnsi="Times New Roman" w:cs="Times New Roman"/>
          <w:iCs/>
          <w:sz w:val="24"/>
          <w:szCs w:val="24"/>
          <w:lang w:val="en-AU"/>
        </w:rPr>
        <w:t xml:space="preserve">. </w:t>
      </w:r>
      <w:r>
        <w:rPr>
          <w:rFonts w:ascii="Times New Roman" w:hAnsi="Times New Roman" w:cs="Times New Roman"/>
          <w:iCs/>
          <w:sz w:val="24"/>
          <w:szCs w:val="24"/>
          <w:lang w:val="en-AU"/>
        </w:rPr>
        <w:t>It is s</w:t>
      </w:r>
      <w:r w:rsidRPr="00F42685">
        <w:rPr>
          <w:rFonts w:ascii="Times New Roman" w:hAnsi="Times New Roman" w:cs="Times New Roman"/>
          <w:iCs/>
          <w:sz w:val="24"/>
          <w:szCs w:val="24"/>
          <w:lang w:val="en-AU"/>
        </w:rPr>
        <w:t>imple to calculate, easy to interpret, and free from bias of debtor’s subjective perceptions</w:t>
      </w:r>
      <w:r w:rsidR="009A425C">
        <w:rPr>
          <w:rFonts w:ascii="Times New Roman" w:hAnsi="Times New Roman" w:cs="Times New Roman"/>
          <w:iCs/>
          <w:sz w:val="24"/>
          <w:szCs w:val="24"/>
          <w:lang w:val="en-AU"/>
        </w:rPr>
        <w:t>;</w:t>
      </w:r>
      <w:r>
        <w:rPr>
          <w:rFonts w:ascii="Times New Roman" w:hAnsi="Times New Roman" w:cs="Times New Roman"/>
          <w:iCs/>
          <w:sz w:val="24"/>
          <w:szCs w:val="24"/>
          <w:lang w:val="en-AU"/>
        </w:rPr>
        <w:t xml:space="preserve"> it is </w:t>
      </w:r>
      <w:r w:rsidRPr="00F42685">
        <w:rPr>
          <w:rFonts w:ascii="Times New Roman" w:hAnsi="Times New Roman" w:cs="Times New Roman"/>
          <w:iCs/>
          <w:sz w:val="24"/>
          <w:szCs w:val="24"/>
          <w:lang w:val="en-AU"/>
        </w:rPr>
        <w:t xml:space="preserve">a convenient tool to gauge the extent of </w:t>
      </w:r>
      <w:r>
        <w:rPr>
          <w:rFonts w:ascii="Times New Roman" w:hAnsi="Times New Roman" w:cs="Times New Roman"/>
          <w:iCs/>
          <w:sz w:val="24"/>
          <w:szCs w:val="24"/>
          <w:lang w:val="en-AU"/>
        </w:rPr>
        <w:t xml:space="preserve">potential difficulties associated with </w:t>
      </w:r>
      <w:r w:rsidRPr="00F42685">
        <w:rPr>
          <w:rFonts w:ascii="Times New Roman" w:hAnsi="Times New Roman" w:cs="Times New Roman"/>
          <w:iCs/>
          <w:sz w:val="24"/>
          <w:szCs w:val="24"/>
          <w:lang w:val="en-AU"/>
        </w:rPr>
        <w:t xml:space="preserve">the burden to repay student debts. </w:t>
      </w:r>
      <w:r>
        <w:rPr>
          <w:rFonts w:ascii="Times New Roman" w:hAnsi="Times New Roman" w:cs="Times New Roman"/>
          <w:iCs/>
          <w:sz w:val="24"/>
          <w:szCs w:val="24"/>
          <w:lang w:val="en-AU"/>
        </w:rPr>
        <w:t>But its use and interpretation imposes some critical restrictive assumptions; it is in the relaxation of these assumptions that we seek to add value to the student loan policy debate.</w:t>
      </w:r>
    </w:p>
    <w:p w14:paraId="7B76A437" w14:textId="3E0B5D31" w:rsidR="00824F18" w:rsidRDefault="00F42685" w:rsidP="00F42685">
      <w:pPr>
        <w:tabs>
          <w:tab w:val="num" w:pos="720"/>
        </w:tabs>
        <w:spacing w:before="240" w:after="240" w:line="240" w:lineRule="auto"/>
        <w:rPr>
          <w:rFonts w:ascii="Times New Roman" w:hAnsi="Times New Roman" w:cs="Times New Roman"/>
          <w:iCs/>
          <w:sz w:val="24"/>
          <w:szCs w:val="24"/>
          <w:lang w:val="en-AU"/>
        </w:rPr>
      </w:pPr>
      <w:r>
        <w:rPr>
          <w:rFonts w:ascii="Times New Roman" w:hAnsi="Times New Roman" w:cs="Times New Roman"/>
          <w:iCs/>
          <w:sz w:val="24"/>
          <w:szCs w:val="24"/>
          <w:lang w:val="en-AU"/>
        </w:rPr>
        <w:t xml:space="preserve">We plan on exploring the limitations of RBs by raising issues related to both the numerator and denominator of equation (1). </w:t>
      </w:r>
      <w:r w:rsidR="00824F18">
        <w:rPr>
          <w:rFonts w:ascii="Times New Roman" w:hAnsi="Times New Roman" w:cs="Times New Roman"/>
          <w:iCs/>
          <w:sz w:val="24"/>
          <w:szCs w:val="24"/>
          <w:lang w:val="en-AU"/>
        </w:rPr>
        <w:t xml:space="preserve">There are </w:t>
      </w:r>
      <w:r w:rsidR="00DB23F1">
        <w:rPr>
          <w:rFonts w:ascii="Times New Roman" w:hAnsi="Times New Roman" w:cs="Times New Roman"/>
          <w:iCs/>
          <w:sz w:val="24"/>
          <w:szCs w:val="24"/>
          <w:lang w:val="en-AU"/>
        </w:rPr>
        <w:t>four</w:t>
      </w:r>
      <w:r w:rsidR="00824F18">
        <w:rPr>
          <w:rFonts w:ascii="Times New Roman" w:hAnsi="Times New Roman" w:cs="Times New Roman"/>
          <w:iCs/>
          <w:sz w:val="24"/>
          <w:szCs w:val="24"/>
          <w:lang w:val="en-AU"/>
        </w:rPr>
        <w:t xml:space="preserve"> basic limitations inherent in the use of (1)</w:t>
      </w:r>
      <w:r w:rsidR="00DB23F1">
        <w:rPr>
          <w:rFonts w:ascii="Times New Roman" w:hAnsi="Times New Roman" w:cs="Times New Roman"/>
          <w:iCs/>
          <w:sz w:val="24"/>
          <w:szCs w:val="24"/>
          <w:lang w:val="en-AU"/>
        </w:rPr>
        <w:t xml:space="preserve"> as a measure of the difficulty associated with repaying student debt: (i)</w:t>
      </w:r>
      <w:r w:rsidR="00824F18">
        <w:rPr>
          <w:rFonts w:ascii="Times New Roman" w:hAnsi="Times New Roman" w:cs="Times New Roman"/>
          <w:iCs/>
          <w:sz w:val="24"/>
          <w:szCs w:val="24"/>
          <w:lang w:val="en-AU"/>
        </w:rPr>
        <w:t xml:space="preserve"> the measure assumes that there are no within-household transfers of both debt obligations and income, </w:t>
      </w:r>
      <w:r w:rsidR="00DB23F1">
        <w:rPr>
          <w:rFonts w:ascii="Times New Roman" w:hAnsi="Times New Roman" w:cs="Times New Roman"/>
          <w:iCs/>
          <w:sz w:val="24"/>
          <w:szCs w:val="24"/>
          <w:lang w:val="en-AU"/>
        </w:rPr>
        <w:t xml:space="preserve">(ii) the measure assumes that labor income is the only resource available for debt repayment, (iii) the measure ignores the fact that part of the debtor’s resources must be allocated to living costs, </w:t>
      </w:r>
      <w:r w:rsidR="00824F18">
        <w:rPr>
          <w:rFonts w:ascii="Times New Roman" w:hAnsi="Times New Roman" w:cs="Times New Roman"/>
          <w:iCs/>
          <w:sz w:val="24"/>
          <w:szCs w:val="24"/>
          <w:lang w:val="en-AU"/>
        </w:rPr>
        <w:t xml:space="preserve">and, </w:t>
      </w:r>
      <w:r w:rsidR="00DB23F1">
        <w:rPr>
          <w:rFonts w:ascii="Times New Roman" w:hAnsi="Times New Roman" w:cs="Times New Roman"/>
          <w:iCs/>
          <w:sz w:val="24"/>
          <w:szCs w:val="24"/>
          <w:lang w:val="en-AU"/>
        </w:rPr>
        <w:t xml:space="preserve">(iv) </w:t>
      </w:r>
      <w:r w:rsidR="00824F18">
        <w:rPr>
          <w:rFonts w:ascii="Times New Roman" w:hAnsi="Times New Roman" w:cs="Times New Roman"/>
          <w:iCs/>
          <w:sz w:val="24"/>
          <w:szCs w:val="24"/>
          <w:lang w:val="en-AU"/>
        </w:rPr>
        <w:t>because the measure is a point-in-time calculation, no account is taken of dynamic forces specifically related to changes of income over time.</w:t>
      </w:r>
    </w:p>
    <w:p w14:paraId="3289B9AA" w14:textId="3DDD0DB8" w:rsidR="00F42685" w:rsidRPr="004C62A9" w:rsidRDefault="00F42685" w:rsidP="004C62A9">
      <w:pPr>
        <w:tabs>
          <w:tab w:val="num" w:pos="720"/>
        </w:tabs>
        <w:spacing w:before="240" w:after="240" w:line="240" w:lineRule="auto"/>
        <w:rPr>
          <w:rFonts w:ascii="Times New Roman" w:hAnsi="Times New Roman" w:cs="Times New Roman"/>
          <w:iCs/>
          <w:sz w:val="24"/>
          <w:szCs w:val="24"/>
          <w:lang w:val="en-AU"/>
        </w:rPr>
      </w:pPr>
      <w:r>
        <w:rPr>
          <w:rFonts w:ascii="Times New Roman" w:hAnsi="Times New Roman" w:cs="Times New Roman"/>
          <w:iCs/>
          <w:sz w:val="24"/>
          <w:szCs w:val="24"/>
          <w:lang w:val="en-AU"/>
        </w:rPr>
        <w:t>The issues to be examined relate to:</w:t>
      </w:r>
    </w:p>
    <w:p w14:paraId="64BA8889" w14:textId="72047D6E" w:rsidR="00CF5ADC" w:rsidRDefault="00F42685" w:rsidP="00CF5ADC">
      <w:pPr>
        <w:pStyle w:val="ListParagraph"/>
        <w:numPr>
          <w:ilvl w:val="0"/>
          <w:numId w:val="5"/>
        </w:numPr>
        <w:tabs>
          <w:tab w:val="num" w:pos="720"/>
        </w:tabs>
        <w:spacing w:after="0" w:line="240" w:lineRule="auto"/>
        <w:rPr>
          <w:rFonts w:ascii="Times New Roman" w:hAnsi="Times New Roman" w:cs="Times New Roman"/>
          <w:iCs/>
          <w:sz w:val="24"/>
          <w:szCs w:val="24"/>
          <w:lang w:val="en-AU"/>
        </w:rPr>
      </w:pPr>
      <w:r>
        <w:rPr>
          <w:rFonts w:ascii="Times New Roman" w:hAnsi="Times New Roman" w:cs="Times New Roman"/>
          <w:iCs/>
          <w:sz w:val="24"/>
          <w:szCs w:val="24"/>
          <w:lang w:val="en-AU"/>
        </w:rPr>
        <w:t>The relevance of per capita (</w:t>
      </w:r>
      <w:r w:rsidR="009A425C">
        <w:rPr>
          <w:rFonts w:ascii="Times New Roman" w:hAnsi="Times New Roman" w:cs="Times New Roman"/>
          <w:iCs/>
          <w:sz w:val="24"/>
          <w:szCs w:val="24"/>
          <w:lang w:val="en-AU"/>
        </w:rPr>
        <w:t>or adult</w:t>
      </w:r>
      <w:r>
        <w:rPr>
          <w:rFonts w:ascii="Times New Roman" w:hAnsi="Times New Roman" w:cs="Times New Roman"/>
          <w:iCs/>
          <w:sz w:val="24"/>
          <w:szCs w:val="24"/>
          <w:lang w:val="en-AU"/>
        </w:rPr>
        <w:t xml:space="preserve"> equivale</w:t>
      </w:r>
      <w:r w:rsidR="009A425C">
        <w:rPr>
          <w:rFonts w:ascii="Times New Roman" w:hAnsi="Times New Roman" w:cs="Times New Roman"/>
          <w:iCs/>
          <w:sz w:val="24"/>
          <w:szCs w:val="24"/>
          <w:lang w:val="en-AU"/>
        </w:rPr>
        <w:t>nt</w:t>
      </w:r>
      <w:r>
        <w:rPr>
          <w:rFonts w:ascii="Times New Roman" w:hAnsi="Times New Roman" w:cs="Times New Roman"/>
          <w:iCs/>
          <w:sz w:val="24"/>
          <w:szCs w:val="24"/>
          <w:lang w:val="en-AU"/>
        </w:rPr>
        <w:t xml:space="preserve"> scale) </w:t>
      </w:r>
      <w:r w:rsidR="009A425C">
        <w:rPr>
          <w:rFonts w:ascii="Times New Roman" w:hAnsi="Times New Roman" w:cs="Times New Roman"/>
          <w:iCs/>
          <w:sz w:val="24"/>
          <w:szCs w:val="24"/>
          <w:lang w:val="en-AU"/>
        </w:rPr>
        <w:t>and</w:t>
      </w:r>
      <w:r>
        <w:rPr>
          <w:rFonts w:ascii="Times New Roman" w:hAnsi="Times New Roman" w:cs="Times New Roman"/>
          <w:iCs/>
          <w:sz w:val="24"/>
          <w:szCs w:val="24"/>
          <w:lang w:val="en-AU"/>
        </w:rPr>
        <w:t xml:space="preserve"> total household repayment burden</w:t>
      </w:r>
      <w:r w:rsidR="009A425C">
        <w:rPr>
          <w:rFonts w:ascii="Times New Roman" w:hAnsi="Times New Roman" w:cs="Times New Roman"/>
          <w:iCs/>
          <w:sz w:val="24"/>
          <w:szCs w:val="24"/>
          <w:lang w:val="en-AU"/>
        </w:rPr>
        <w:t xml:space="preserve"> to account for the intra-household allocation of resources and debt obligations within the household</w:t>
      </w:r>
    </w:p>
    <w:p w14:paraId="4A1BFAFC" w14:textId="77777777" w:rsidR="00CF5ADC" w:rsidRPr="00CF5ADC" w:rsidRDefault="00CF5ADC" w:rsidP="00CF5ADC">
      <w:pPr>
        <w:tabs>
          <w:tab w:val="num" w:pos="720"/>
        </w:tabs>
        <w:spacing w:after="0" w:line="240" w:lineRule="auto"/>
        <w:rPr>
          <w:rFonts w:ascii="Times New Roman" w:hAnsi="Times New Roman" w:cs="Times New Roman"/>
          <w:iCs/>
          <w:sz w:val="24"/>
          <w:szCs w:val="24"/>
          <w:lang w:val="en-AU"/>
        </w:rPr>
      </w:pPr>
    </w:p>
    <w:p w14:paraId="16C32640" w14:textId="77777777" w:rsidR="009A425C" w:rsidRDefault="00CF5ADC" w:rsidP="00CF5ADC">
      <w:pPr>
        <w:pStyle w:val="ListParagraph"/>
        <w:numPr>
          <w:ilvl w:val="0"/>
          <w:numId w:val="5"/>
        </w:numPr>
        <w:tabs>
          <w:tab w:val="num" w:pos="720"/>
        </w:tabs>
        <w:spacing w:after="0" w:line="240" w:lineRule="auto"/>
        <w:rPr>
          <w:rFonts w:ascii="Times New Roman" w:hAnsi="Times New Roman" w:cs="Times New Roman"/>
          <w:iCs/>
          <w:sz w:val="24"/>
          <w:szCs w:val="24"/>
          <w:lang w:val="en-AU"/>
        </w:rPr>
      </w:pPr>
      <w:r>
        <w:rPr>
          <w:rFonts w:ascii="Times New Roman" w:hAnsi="Times New Roman" w:cs="Times New Roman"/>
          <w:iCs/>
          <w:sz w:val="24"/>
          <w:szCs w:val="24"/>
          <w:lang w:val="en-AU"/>
        </w:rPr>
        <w:t>The inclusion of non-labour sources of income</w:t>
      </w:r>
    </w:p>
    <w:p w14:paraId="10E2C273" w14:textId="77777777" w:rsidR="009A425C" w:rsidRPr="00D12F25" w:rsidRDefault="009A425C" w:rsidP="00D12F25">
      <w:pPr>
        <w:pStyle w:val="ListParagraph"/>
        <w:rPr>
          <w:rFonts w:ascii="Times New Roman" w:hAnsi="Times New Roman" w:cs="Times New Roman"/>
          <w:iCs/>
          <w:sz w:val="24"/>
          <w:szCs w:val="24"/>
          <w:lang w:val="en-AU"/>
        </w:rPr>
      </w:pPr>
    </w:p>
    <w:p w14:paraId="003D7CF1" w14:textId="294FE4FB" w:rsidR="00CF5ADC" w:rsidRDefault="009A425C" w:rsidP="00CF5ADC">
      <w:pPr>
        <w:pStyle w:val="ListParagraph"/>
        <w:numPr>
          <w:ilvl w:val="0"/>
          <w:numId w:val="5"/>
        </w:numPr>
        <w:tabs>
          <w:tab w:val="num" w:pos="720"/>
        </w:tabs>
        <w:spacing w:after="0" w:line="240" w:lineRule="auto"/>
        <w:rPr>
          <w:rFonts w:ascii="Times New Roman" w:hAnsi="Times New Roman" w:cs="Times New Roman"/>
          <w:iCs/>
          <w:sz w:val="24"/>
          <w:szCs w:val="24"/>
          <w:lang w:val="en-AU"/>
        </w:rPr>
      </w:pPr>
      <w:r>
        <w:rPr>
          <w:rFonts w:ascii="Times New Roman" w:hAnsi="Times New Roman" w:cs="Times New Roman"/>
          <w:iCs/>
          <w:sz w:val="24"/>
          <w:szCs w:val="24"/>
          <w:lang w:val="en-AU"/>
        </w:rPr>
        <w:t>The inclusion of consumption expenditure to maintain debtor’s and their dependent’s living</w:t>
      </w:r>
      <w:r w:rsidR="00D668B1">
        <w:rPr>
          <w:rFonts w:ascii="Times New Roman" w:hAnsi="Times New Roman" w:cs="Times New Roman"/>
          <w:iCs/>
          <w:sz w:val="24"/>
          <w:szCs w:val="24"/>
          <w:lang w:val="en-AU"/>
        </w:rPr>
        <w:t>; and</w:t>
      </w:r>
    </w:p>
    <w:p w14:paraId="75C3FD4A" w14:textId="77777777" w:rsidR="00CF5ADC" w:rsidRPr="00CF5ADC" w:rsidRDefault="00CF5ADC" w:rsidP="00CF5ADC">
      <w:pPr>
        <w:tabs>
          <w:tab w:val="num" w:pos="720"/>
        </w:tabs>
        <w:spacing w:after="0" w:line="240" w:lineRule="auto"/>
        <w:rPr>
          <w:rFonts w:ascii="Times New Roman" w:hAnsi="Times New Roman" w:cs="Times New Roman"/>
          <w:iCs/>
          <w:sz w:val="24"/>
          <w:szCs w:val="24"/>
          <w:lang w:val="en-AU"/>
        </w:rPr>
      </w:pPr>
    </w:p>
    <w:p w14:paraId="4901656B" w14:textId="0FC87975" w:rsidR="00CF5ADC" w:rsidRPr="00CF5ADC" w:rsidRDefault="00CF5ADC" w:rsidP="00CF5ADC">
      <w:pPr>
        <w:pStyle w:val="ListParagraph"/>
        <w:numPr>
          <w:ilvl w:val="0"/>
          <w:numId w:val="5"/>
        </w:numPr>
        <w:tabs>
          <w:tab w:val="num" w:pos="720"/>
        </w:tabs>
        <w:spacing w:after="0" w:line="240" w:lineRule="auto"/>
        <w:rPr>
          <w:rFonts w:ascii="Times New Roman" w:hAnsi="Times New Roman" w:cs="Times New Roman"/>
          <w:iCs/>
          <w:sz w:val="24"/>
          <w:szCs w:val="24"/>
          <w:lang w:val="en-AU"/>
        </w:rPr>
      </w:pPr>
      <w:r>
        <w:rPr>
          <w:rFonts w:ascii="Times New Roman" w:hAnsi="Times New Roman" w:cs="Times New Roman"/>
          <w:iCs/>
          <w:sz w:val="24"/>
          <w:szCs w:val="24"/>
          <w:lang w:val="en-AU"/>
        </w:rPr>
        <w:t>Taking account of, and measuring, dynamic lifetime income processes.</w:t>
      </w:r>
    </w:p>
    <w:p w14:paraId="3BDC1257" w14:textId="77777777" w:rsidR="00F42685" w:rsidRDefault="00F42685" w:rsidP="00CF5ADC">
      <w:pPr>
        <w:pStyle w:val="ListParagraph"/>
        <w:tabs>
          <w:tab w:val="num" w:pos="720"/>
        </w:tabs>
        <w:spacing w:before="240" w:after="240" w:line="240" w:lineRule="auto"/>
        <w:ind w:left="1287"/>
        <w:rPr>
          <w:rFonts w:ascii="Times New Roman" w:hAnsi="Times New Roman" w:cs="Times New Roman"/>
          <w:iCs/>
          <w:sz w:val="24"/>
          <w:szCs w:val="24"/>
          <w:lang w:val="en-AU"/>
        </w:rPr>
      </w:pPr>
    </w:p>
    <w:p w14:paraId="45EBBDFA" w14:textId="5361971B" w:rsidR="00CF5ADC" w:rsidRDefault="00CF5ADC" w:rsidP="00CF5ADC">
      <w:pPr>
        <w:pStyle w:val="ListParagraph"/>
        <w:tabs>
          <w:tab w:val="num" w:pos="720"/>
        </w:tabs>
        <w:spacing w:before="240" w:after="240" w:line="240" w:lineRule="auto"/>
        <w:ind w:left="0"/>
        <w:rPr>
          <w:rFonts w:ascii="Times New Roman" w:hAnsi="Times New Roman" w:cs="Times New Roman"/>
          <w:iCs/>
          <w:sz w:val="24"/>
          <w:szCs w:val="24"/>
          <w:lang w:val="en-AU"/>
        </w:rPr>
      </w:pPr>
      <w:r>
        <w:rPr>
          <w:rFonts w:ascii="Times New Roman" w:hAnsi="Times New Roman" w:cs="Times New Roman"/>
          <w:iCs/>
          <w:sz w:val="24"/>
          <w:szCs w:val="24"/>
          <w:lang w:val="en-AU"/>
        </w:rPr>
        <w:t>Research has already begun in these areas (Dearden</w:t>
      </w:r>
      <w:r w:rsidR="00DB23F1">
        <w:rPr>
          <w:rFonts w:ascii="Times New Roman" w:hAnsi="Times New Roman" w:cs="Times New Roman"/>
          <w:iCs/>
          <w:sz w:val="24"/>
          <w:szCs w:val="24"/>
          <w:lang w:val="en-AU"/>
        </w:rPr>
        <w:t xml:space="preserve">, </w:t>
      </w:r>
      <w:r>
        <w:rPr>
          <w:rFonts w:ascii="Times New Roman" w:hAnsi="Times New Roman" w:cs="Times New Roman"/>
          <w:iCs/>
          <w:sz w:val="24"/>
          <w:szCs w:val="24"/>
          <w:lang w:val="en-AU"/>
        </w:rPr>
        <w:t>2017 and Doan</w:t>
      </w:r>
      <w:r w:rsidR="00DB23F1">
        <w:rPr>
          <w:rFonts w:ascii="Times New Roman" w:hAnsi="Times New Roman" w:cs="Times New Roman"/>
          <w:iCs/>
          <w:sz w:val="24"/>
          <w:szCs w:val="24"/>
          <w:lang w:val="en-AU"/>
        </w:rPr>
        <w:t xml:space="preserve">, </w:t>
      </w:r>
      <w:r>
        <w:rPr>
          <w:rFonts w:ascii="Times New Roman" w:hAnsi="Times New Roman" w:cs="Times New Roman"/>
          <w:iCs/>
          <w:sz w:val="24"/>
          <w:szCs w:val="24"/>
          <w:lang w:val="en-AU"/>
        </w:rPr>
        <w:t>2018) and we will take the opportunity at the workshop to report progress.</w:t>
      </w:r>
    </w:p>
    <w:p w14:paraId="203B8955" w14:textId="77777777" w:rsidR="0045618E" w:rsidRDefault="0045618E" w:rsidP="00CF5ADC">
      <w:pPr>
        <w:pStyle w:val="ListParagraph"/>
        <w:tabs>
          <w:tab w:val="num" w:pos="720"/>
        </w:tabs>
        <w:spacing w:before="240" w:after="240" w:line="240" w:lineRule="auto"/>
        <w:ind w:left="0"/>
        <w:rPr>
          <w:rFonts w:ascii="Times New Roman" w:hAnsi="Times New Roman" w:cs="Times New Roman"/>
          <w:iCs/>
          <w:sz w:val="24"/>
          <w:szCs w:val="24"/>
          <w:lang w:val="en-AU"/>
        </w:rPr>
      </w:pPr>
    </w:p>
    <w:p w14:paraId="2A401C01" w14:textId="77777777" w:rsidR="00DC73CC" w:rsidRDefault="00DC73CC" w:rsidP="00CF5ADC">
      <w:pPr>
        <w:pStyle w:val="ListParagraph"/>
        <w:tabs>
          <w:tab w:val="num" w:pos="720"/>
        </w:tabs>
        <w:spacing w:before="240" w:after="240" w:line="240" w:lineRule="auto"/>
        <w:ind w:left="0"/>
        <w:rPr>
          <w:rFonts w:ascii="Times New Roman" w:hAnsi="Times New Roman" w:cs="Times New Roman"/>
          <w:iCs/>
          <w:sz w:val="24"/>
          <w:szCs w:val="24"/>
          <w:lang w:val="en-AU"/>
        </w:rPr>
      </w:pPr>
    </w:p>
    <w:p w14:paraId="406D4932" w14:textId="77777777" w:rsidR="00D12F25" w:rsidRDefault="00D12F25" w:rsidP="0045618E">
      <w:pPr>
        <w:pStyle w:val="ListParagraph"/>
        <w:tabs>
          <w:tab w:val="num" w:pos="720"/>
        </w:tabs>
        <w:spacing w:before="240" w:after="240" w:line="240" w:lineRule="auto"/>
        <w:ind w:left="0"/>
        <w:jc w:val="center"/>
        <w:rPr>
          <w:rFonts w:ascii="Times New Roman" w:hAnsi="Times New Roman" w:cs="Times New Roman"/>
          <w:b/>
          <w:iCs/>
          <w:sz w:val="24"/>
          <w:szCs w:val="24"/>
          <w:lang w:val="en-AU"/>
        </w:rPr>
      </w:pPr>
    </w:p>
    <w:p w14:paraId="0CAE3DB3" w14:textId="77777777" w:rsidR="00D12F25" w:rsidRDefault="00D12F25" w:rsidP="0045618E">
      <w:pPr>
        <w:pStyle w:val="ListParagraph"/>
        <w:tabs>
          <w:tab w:val="num" w:pos="720"/>
        </w:tabs>
        <w:spacing w:before="240" w:after="240" w:line="240" w:lineRule="auto"/>
        <w:ind w:left="0"/>
        <w:jc w:val="center"/>
        <w:rPr>
          <w:rFonts w:ascii="Times New Roman" w:hAnsi="Times New Roman" w:cs="Times New Roman"/>
          <w:b/>
          <w:iCs/>
          <w:sz w:val="24"/>
          <w:szCs w:val="24"/>
          <w:lang w:val="en-AU"/>
        </w:rPr>
      </w:pPr>
    </w:p>
    <w:p w14:paraId="6F5757F0" w14:textId="77777777" w:rsidR="00D12F25" w:rsidRDefault="00D12F25" w:rsidP="0045618E">
      <w:pPr>
        <w:pStyle w:val="ListParagraph"/>
        <w:tabs>
          <w:tab w:val="num" w:pos="720"/>
        </w:tabs>
        <w:spacing w:before="240" w:after="240" w:line="240" w:lineRule="auto"/>
        <w:ind w:left="0"/>
        <w:jc w:val="center"/>
        <w:rPr>
          <w:rFonts w:ascii="Times New Roman" w:hAnsi="Times New Roman" w:cs="Times New Roman"/>
          <w:b/>
          <w:iCs/>
          <w:sz w:val="24"/>
          <w:szCs w:val="24"/>
          <w:lang w:val="en-AU"/>
        </w:rPr>
      </w:pPr>
    </w:p>
    <w:p w14:paraId="729E6ADD" w14:textId="69D6C52E" w:rsidR="0045618E" w:rsidRDefault="00DC73CC" w:rsidP="0045618E">
      <w:pPr>
        <w:pStyle w:val="ListParagraph"/>
        <w:tabs>
          <w:tab w:val="num" w:pos="720"/>
        </w:tabs>
        <w:spacing w:before="240" w:after="240" w:line="240" w:lineRule="auto"/>
        <w:ind w:left="0"/>
        <w:jc w:val="center"/>
        <w:rPr>
          <w:rFonts w:ascii="Times New Roman" w:hAnsi="Times New Roman" w:cs="Times New Roman"/>
          <w:b/>
          <w:iCs/>
          <w:sz w:val="24"/>
          <w:szCs w:val="24"/>
          <w:lang w:val="en-AU"/>
        </w:rPr>
      </w:pPr>
      <w:bookmarkStart w:id="0" w:name="_GoBack"/>
      <w:bookmarkEnd w:id="0"/>
      <w:r w:rsidRPr="00DC73CC">
        <w:rPr>
          <w:rFonts w:ascii="Times New Roman" w:hAnsi="Times New Roman" w:cs="Times New Roman"/>
          <w:b/>
          <w:iCs/>
          <w:sz w:val="24"/>
          <w:szCs w:val="24"/>
          <w:lang w:val="en-AU"/>
        </w:rPr>
        <w:lastRenderedPageBreak/>
        <w:t>References</w:t>
      </w:r>
    </w:p>
    <w:p w14:paraId="5CA42565" w14:textId="77777777" w:rsidR="0045618E" w:rsidRDefault="0045618E" w:rsidP="0045618E">
      <w:pPr>
        <w:pStyle w:val="ListParagraph"/>
        <w:tabs>
          <w:tab w:val="num" w:pos="720"/>
        </w:tabs>
        <w:spacing w:before="240" w:after="240" w:line="240" w:lineRule="auto"/>
        <w:ind w:left="0"/>
        <w:jc w:val="center"/>
        <w:rPr>
          <w:rFonts w:ascii="Times New Roman" w:hAnsi="Times New Roman" w:cs="Times New Roman"/>
          <w:b/>
          <w:iCs/>
          <w:sz w:val="24"/>
          <w:szCs w:val="24"/>
          <w:lang w:val="en-AU"/>
        </w:rPr>
      </w:pPr>
    </w:p>
    <w:p w14:paraId="585FD710" w14:textId="61EEBB2D" w:rsidR="0045618E" w:rsidRDefault="0045618E" w:rsidP="004C62A9">
      <w:pPr>
        <w:pStyle w:val="ListParagraph"/>
        <w:tabs>
          <w:tab w:val="num" w:pos="720"/>
        </w:tabs>
        <w:spacing w:after="0" w:line="240" w:lineRule="auto"/>
        <w:ind w:left="709" w:hanging="709"/>
        <w:rPr>
          <w:rFonts w:ascii="Times New Roman" w:hAnsi="Times New Roman" w:cs="Times New Roman"/>
          <w:sz w:val="24"/>
          <w:szCs w:val="24"/>
          <w:lang w:val="en-AU"/>
        </w:rPr>
      </w:pPr>
      <w:r w:rsidRPr="0045618E">
        <w:rPr>
          <w:rFonts w:ascii="Times New Roman" w:hAnsi="Times New Roman" w:cs="Times New Roman"/>
          <w:sz w:val="24"/>
          <w:szCs w:val="24"/>
        </w:rPr>
        <w:t>Barr, N., B. Chapman, L. Dearden and S.</w:t>
      </w:r>
      <w:r w:rsidR="00D668B1">
        <w:rPr>
          <w:rFonts w:ascii="Times New Roman" w:hAnsi="Times New Roman" w:cs="Times New Roman"/>
          <w:sz w:val="24"/>
          <w:szCs w:val="24"/>
        </w:rPr>
        <w:t xml:space="preserve"> </w:t>
      </w:r>
      <w:r w:rsidRPr="0045618E">
        <w:rPr>
          <w:rFonts w:ascii="Times New Roman" w:hAnsi="Times New Roman" w:cs="Times New Roman"/>
          <w:sz w:val="24"/>
          <w:szCs w:val="24"/>
        </w:rPr>
        <w:t xml:space="preserve">Dynarski (2017) “Getting student financing right in the US: lessons from Australia and England”, </w:t>
      </w:r>
      <w:r w:rsidRPr="0045618E">
        <w:rPr>
          <w:rFonts w:ascii="Times New Roman" w:hAnsi="Times New Roman" w:cs="Times New Roman"/>
          <w:i/>
          <w:sz w:val="24"/>
          <w:szCs w:val="24"/>
        </w:rPr>
        <w:t>Centre for Global Higher Education</w:t>
      </w:r>
      <w:r w:rsidRPr="0045618E">
        <w:rPr>
          <w:rFonts w:ascii="Times New Roman" w:hAnsi="Times New Roman" w:cs="Times New Roman"/>
          <w:sz w:val="24"/>
          <w:szCs w:val="24"/>
        </w:rPr>
        <w:t>, Working Paper No. 16</w:t>
      </w:r>
      <w:r w:rsidR="003727C3">
        <w:rPr>
          <w:rFonts w:ascii="Times New Roman" w:hAnsi="Times New Roman" w:cs="Times New Roman"/>
          <w:sz w:val="24"/>
          <w:szCs w:val="24"/>
        </w:rPr>
        <w:t xml:space="preserve">, </w:t>
      </w:r>
      <w:r w:rsidRPr="0045618E">
        <w:rPr>
          <w:rFonts w:ascii="Times New Roman" w:hAnsi="Times New Roman" w:cs="Times New Roman"/>
          <w:sz w:val="24"/>
          <w:szCs w:val="24"/>
        </w:rPr>
        <w:t>March</w:t>
      </w:r>
      <w:r w:rsidRPr="0045618E">
        <w:rPr>
          <w:rFonts w:ascii="Times New Roman" w:hAnsi="Times New Roman" w:cs="Times New Roman"/>
          <w:sz w:val="24"/>
          <w:szCs w:val="24"/>
          <w:lang w:val="en-AU"/>
        </w:rPr>
        <w:t>.</w:t>
      </w:r>
    </w:p>
    <w:p w14:paraId="1D865247" w14:textId="77777777" w:rsidR="004C62A9" w:rsidRPr="0045618E" w:rsidRDefault="004C62A9" w:rsidP="004C62A9">
      <w:pPr>
        <w:pStyle w:val="ListParagraph"/>
        <w:tabs>
          <w:tab w:val="num" w:pos="720"/>
        </w:tabs>
        <w:spacing w:after="0" w:line="240" w:lineRule="auto"/>
        <w:ind w:left="709" w:hanging="709"/>
        <w:rPr>
          <w:rFonts w:ascii="Times New Roman" w:hAnsi="Times New Roman" w:cs="Times New Roman"/>
          <w:b/>
          <w:iCs/>
          <w:sz w:val="24"/>
          <w:szCs w:val="24"/>
          <w:lang w:val="en-AU"/>
        </w:rPr>
      </w:pPr>
    </w:p>
    <w:p w14:paraId="6712D41A" w14:textId="3E2068D7" w:rsidR="0045618E" w:rsidRDefault="0045618E" w:rsidP="004C62A9">
      <w:pPr>
        <w:pStyle w:val="NormalWeb"/>
        <w:spacing w:before="0" w:beforeAutospacing="0" w:after="0" w:afterAutospacing="0"/>
        <w:ind w:left="709" w:hanging="709"/>
        <w:contextualSpacing/>
        <w:rPr>
          <w:iCs/>
        </w:rPr>
      </w:pPr>
      <w:r w:rsidRPr="0051341B">
        <w:rPr>
          <w:color w:val="1B1B1B"/>
        </w:rPr>
        <w:t xml:space="preserve">Chapman, B. and L. Dearden (2017), </w:t>
      </w:r>
      <w:r>
        <w:t>“</w:t>
      </w:r>
      <w:r w:rsidRPr="0051341B">
        <w:t>Conceptual and Empirical Issues for Alternative Student Loan Designs: The Significance of Lo</w:t>
      </w:r>
      <w:r>
        <w:t xml:space="preserve">an Repayment Burdens for the US”, </w:t>
      </w:r>
      <w:r w:rsidRPr="005333FC">
        <w:rPr>
          <w:i/>
        </w:rPr>
        <w:t xml:space="preserve">The </w:t>
      </w:r>
      <w:r w:rsidRPr="0051341B">
        <w:rPr>
          <w:i/>
          <w:iCs/>
        </w:rPr>
        <w:t>Annals</w:t>
      </w:r>
      <w:r>
        <w:rPr>
          <w:i/>
          <w:iCs/>
        </w:rPr>
        <w:t xml:space="preserve"> of the American Academy of Political and Social Science, </w:t>
      </w:r>
      <w:r>
        <w:rPr>
          <w:iCs/>
        </w:rPr>
        <w:t>Vol. 671 (May): 249-269.</w:t>
      </w:r>
    </w:p>
    <w:p w14:paraId="450F3859" w14:textId="77777777" w:rsidR="004C62A9" w:rsidRPr="004C62A9" w:rsidRDefault="004C62A9" w:rsidP="004C62A9">
      <w:pPr>
        <w:pStyle w:val="NormalWeb"/>
        <w:spacing w:before="0" w:beforeAutospacing="0" w:after="0" w:afterAutospacing="0"/>
        <w:ind w:left="709" w:hanging="709"/>
        <w:contextualSpacing/>
      </w:pPr>
    </w:p>
    <w:p w14:paraId="1ADA273F" w14:textId="77777777" w:rsidR="004C62A9" w:rsidRDefault="004C62A9" w:rsidP="004C62A9">
      <w:pPr>
        <w:spacing w:after="0" w:line="240" w:lineRule="auto"/>
        <w:ind w:left="720" w:hanging="720"/>
        <w:contextualSpacing/>
        <w:rPr>
          <w:rFonts w:ascii="Times New Roman" w:hAnsi="Times New Roman" w:cs="Times New Roman"/>
          <w:sz w:val="24"/>
          <w:szCs w:val="24"/>
        </w:rPr>
      </w:pPr>
      <w:r w:rsidRPr="004C62A9">
        <w:rPr>
          <w:rFonts w:ascii="Times New Roman" w:hAnsi="Times New Roman" w:cs="Times New Roman"/>
          <w:sz w:val="24"/>
          <w:szCs w:val="24"/>
        </w:rPr>
        <w:t xml:space="preserve">Chapman, B. and A. Doris (2016), “The Irish Student Loan Reform Debate”, paper presented at the ANU/Tongji University Conference, </w:t>
      </w:r>
      <w:r w:rsidRPr="004C62A9">
        <w:rPr>
          <w:rFonts w:ascii="Times New Roman" w:hAnsi="Times New Roman" w:cs="Times New Roman"/>
          <w:i/>
          <w:sz w:val="24"/>
          <w:szCs w:val="24"/>
        </w:rPr>
        <w:t xml:space="preserve">International Reform Issues for Student Loans, </w:t>
      </w:r>
      <w:r w:rsidRPr="004C62A9">
        <w:rPr>
          <w:rFonts w:ascii="Times New Roman" w:hAnsi="Times New Roman" w:cs="Times New Roman"/>
          <w:sz w:val="24"/>
          <w:szCs w:val="24"/>
        </w:rPr>
        <w:t>Tongji University, Shanghai, October.</w:t>
      </w:r>
    </w:p>
    <w:p w14:paraId="73F17DE7" w14:textId="77777777" w:rsidR="004C62A9" w:rsidRDefault="004C62A9" w:rsidP="004C62A9">
      <w:pPr>
        <w:spacing w:after="0" w:line="240" w:lineRule="auto"/>
        <w:ind w:left="720" w:hanging="720"/>
        <w:contextualSpacing/>
        <w:rPr>
          <w:rFonts w:ascii="Times New Roman" w:hAnsi="Times New Roman" w:cs="Times New Roman"/>
          <w:sz w:val="24"/>
          <w:szCs w:val="24"/>
        </w:rPr>
      </w:pPr>
    </w:p>
    <w:p w14:paraId="12780361" w14:textId="1E8F9B6B" w:rsidR="004C62A9" w:rsidRDefault="004C62A9" w:rsidP="004C62A9">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Dearden, L. (2017)</w:t>
      </w:r>
      <w:r w:rsidR="005B6AA8">
        <w:rPr>
          <w:rFonts w:ascii="Times New Roman" w:hAnsi="Times New Roman" w:cs="Times New Roman"/>
          <w:sz w:val="24"/>
          <w:szCs w:val="24"/>
        </w:rPr>
        <w:t xml:space="preserve">, </w:t>
      </w:r>
      <w:r w:rsidR="005B6AA8" w:rsidRPr="00D12F25">
        <w:rPr>
          <w:rFonts w:ascii="Times New Roman" w:hAnsi="Times New Roman" w:cs="Times New Roman"/>
          <w:b/>
          <w:sz w:val="24"/>
          <w:szCs w:val="24"/>
        </w:rPr>
        <w:t>“</w:t>
      </w:r>
      <w:r w:rsidR="005B6AA8" w:rsidRPr="00D12F25">
        <w:rPr>
          <w:rStyle w:val="BookTitle"/>
          <w:rFonts w:ascii="Times New Roman" w:hAnsi="Times New Roman" w:cs="Times New Roman"/>
          <w:b w:val="0"/>
          <w:smallCaps w:val="0"/>
          <w:sz w:val="24"/>
          <w:szCs w:val="24"/>
        </w:rPr>
        <w:t xml:space="preserve">Evaluating and designing student loan systems: An overview of empirical approaches”, paper presented at the </w:t>
      </w:r>
      <w:r w:rsidR="005B6AA8" w:rsidRPr="00D12F25">
        <w:rPr>
          <w:rFonts w:ascii="Times New Roman" w:hAnsi="Times New Roman" w:cs="Times New Roman"/>
          <w:color w:val="545454"/>
          <w:sz w:val="24"/>
          <w:szCs w:val="24"/>
          <w:shd w:val="clear" w:color="auto" w:fill="FFFFFF"/>
        </w:rPr>
        <w:t>Asian and Australasian Society of Labour Economics </w:t>
      </w:r>
      <w:r w:rsidR="005B6AA8" w:rsidRPr="005B6AA8">
        <w:rPr>
          <w:rStyle w:val="BookTitle"/>
          <w:rFonts w:ascii="Times New Roman" w:hAnsi="Times New Roman" w:cs="Times New Roman"/>
          <w:b w:val="0"/>
          <w:smallCaps w:val="0"/>
          <w:sz w:val="24"/>
          <w:szCs w:val="24"/>
        </w:rPr>
        <w:t>(A</w:t>
      </w:r>
      <w:r w:rsidR="005B6AA8" w:rsidRPr="00D12F25">
        <w:rPr>
          <w:rStyle w:val="BookTitle"/>
          <w:rFonts w:ascii="Times New Roman" w:hAnsi="Times New Roman" w:cs="Times New Roman"/>
          <w:b w:val="0"/>
          <w:smallCaps w:val="0"/>
          <w:sz w:val="24"/>
          <w:szCs w:val="24"/>
        </w:rPr>
        <w:t>ASLE</w:t>
      </w:r>
      <w:r w:rsidR="005B6AA8" w:rsidRPr="005B6AA8">
        <w:rPr>
          <w:rStyle w:val="BookTitle"/>
          <w:rFonts w:ascii="Times New Roman" w:hAnsi="Times New Roman" w:cs="Times New Roman"/>
          <w:b w:val="0"/>
          <w:smallCaps w:val="0"/>
          <w:sz w:val="24"/>
          <w:szCs w:val="24"/>
        </w:rPr>
        <w:t>)</w:t>
      </w:r>
      <w:r w:rsidR="005B6AA8" w:rsidRPr="00D12F25">
        <w:rPr>
          <w:rStyle w:val="BookTitle"/>
          <w:rFonts w:ascii="Times New Roman" w:hAnsi="Times New Roman" w:cs="Times New Roman"/>
          <w:b w:val="0"/>
          <w:smallCaps w:val="0"/>
          <w:sz w:val="24"/>
          <w:szCs w:val="24"/>
        </w:rPr>
        <w:t xml:space="preserve"> conference, Canberra, 9 December 2017.</w:t>
      </w:r>
      <w:r w:rsidR="005B6AA8">
        <w:rPr>
          <w:rStyle w:val="BookTitle"/>
          <w:smallCaps w:val="0"/>
        </w:rPr>
        <w:t xml:space="preserve"> </w:t>
      </w:r>
      <w:r>
        <w:rPr>
          <w:rFonts w:ascii="Times New Roman" w:hAnsi="Times New Roman" w:cs="Times New Roman"/>
          <w:sz w:val="24"/>
          <w:szCs w:val="24"/>
        </w:rPr>
        <w:t xml:space="preserve"> </w:t>
      </w:r>
    </w:p>
    <w:p w14:paraId="2126487A" w14:textId="77777777" w:rsidR="004C62A9" w:rsidRDefault="004C62A9" w:rsidP="004C62A9">
      <w:pPr>
        <w:spacing w:after="0" w:line="240" w:lineRule="auto"/>
        <w:ind w:left="720" w:hanging="720"/>
        <w:contextualSpacing/>
        <w:rPr>
          <w:rFonts w:ascii="Times New Roman" w:hAnsi="Times New Roman" w:cs="Times New Roman"/>
          <w:sz w:val="24"/>
          <w:szCs w:val="24"/>
        </w:rPr>
      </w:pPr>
    </w:p>
    <w:p w14:paraId="7956C988" w14:textId="2D5636BB" w:rsidR="00D668B1" w:rsidRDefault="00D668B1" w:rsidP="004C62A9">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Doan, D. (2017), “Student loans in Korea: repayment revisited”, presentation at the International Student Loan Forum, The Australian National University, Canberra, December.</w:t>
      </w:r>
    </w:p>
    <w:p w14:paraId="13FB9693" w14:textId="77777777" w:rsidR="00D668B1" w:rsidRDefault="00D668B1" w:rsidP="004C62A9">
      <w:pPr>
        <w:spacing w:after="0" w:line="240" w:lineRule="auto"/>
        <w:ind w:left="720" w:hanging="720"/>
        <w:contextualSpacing/>
        <w:rPr>
          <w:rFonts w:ascii="Times New Roman" w:hAnsi="Times New Roman" w:cs="Times New Roman"/>
          <w:sz w:val="24"/>
          <w:szCs w:val="24"/>
        </w:rPr>
      </w:pPr>
    </w:p>
    <w:p w14:paraId="140156F6" w14:textId="064A2B32" w:rsidR="004C62A9" w:rsidRPr="004C62A9" w:rsidRDefault="004C62A9" w:rsidP="004C62A9">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Doan, D. (2018)</w:t>
      </w:r>
      <w:r w:rsidR="00D668B1">
        <w:rPr>
          <w:rFonts w:ascii="Times New Roman" w:hAnsi="Times New Roman" w:cs="Times New Roman"/>
          <w:sz w:val="24"/>
          <w:szCs w:val="24"/>
        </w:rPr>
        <w:t>, “Rethinking student loan repayment burden – evidence from Korea”, paper to be presented at the CGHE Annual Conference, April.</w:t>
      </w:r>
    </w:p>
    <w:p w14:paraId="1311D829" w14:textId="77777777" w:rsidR="00824F18" w:rsidRPr="00824F18" w:rsidRDefault="00824F18" w:rsidP="00824F18">
      <w:pPr>
        <w:pStyle w:val="ListParagraph"/>
        <w:tabs>
          <w:tab w:val="num" w:pos="720"/>
        </w:tabs>
        <w:spacing w:before="240" w:after="240" w:line="240" w:lineRule="auto"/>
        <w:ind w:left="0"/>
        <w:rPr>
          <w:rFonts w:ascii="Times New Roman" w:hAnsi="Times New Roman" w:cs="Times New Roman"/>
          <w:iCs/>
          <w:sz w:val="24"/>
          <w:szCs w:val="24"/>
          <w:lang w:val="en-AU"/>
        </w:rPr>
      </w:pPr>
    </w:p>
    <w:p w14:paraId="35CE4818" w14:textId="77777777" w:rsidR="00DC73CC" w:rsidRDefault="00DC73CC" w:rsidP="00DC73CC">
      <w:pPr>
        <w:pStyle w:val="ListParagraph"/>
        <w:tabs>
          <w:tab w:val="num" w:pos="720"/>
        </w:tabs>
        <w:spacing w:before="240" w:after="240" w:line="240" w:lineRule="auto"/>
        <w:ind w:left="0"/>
        <w:jc w:val="center"/>
        <w:rPr>
          <w:rFonts w:ascii="Times New Roman" w:hAnsi="Times New Roman" w:cs="Times New Roman"/>
          <w:b/>
          <w:iCs/>
          <w:sz w:val="24"/>
          <w:szCs w:val="24"/>
          <w:lang w:val="en-AU"/>
        </w:rPr>
      </w:pPr>
    </w:p>
    <w:p w14:paraId="45B09B3B" w14:textId="77777777" w:rsidR="00DC73CC" w:rsidRPr="00DC73CC" w:rsidRDefault="00DC73CC" w:rsidP="00DC73CC">
      <w:pPr>
        <w:pStyle w:val="ListParagraph"/>
        <w:tabs>
          <w:tab w:val="num" w:pos="720"/>
        </w:tabs>
        <w:spacing w:before="240" w:after="240" w:line="240" w:lineRule="auto"/>
        <w:ind w:left="0"/>
        <w:jc w:val="center"/>
        <w:rPr>
          <w:rFonts w:ascii="Times New Roman" w:hAnsi="Times New Roman" w:cs="Times New Roman"/>
          <w:b/>
          <w:iCs/>
          <w:sz w:val="24"/>
          <w:szCs w:val="24"/>
          <w:lang w:val="en-AU"/>
        </w:rPr>
      </w:pPr>
    </w:p>
    <w:p w14:paraId="78C45A89" w14:textId="77777777" w:rsidR="00414BC1" w:rsidRPr="00F42685" w:rsidRDefault="00414BC1" w:rsidP="00414BC1">
      <w:pPr>
        <w:pStyle w:val="ListParagraph"/>
        <w:spacing w:before="240" w:after="240" w:line="240" w:lineRule="auto"/>
        <w:ind w:left="0"/>
        <w:rPr>
          <w:rFonts w:ascii="Times New Roman" w:hAnsi="Times New Roman" w:cs="Times New Roman"/>
          <w:sz w:val="24"/>
          <w:szCs w:val="24"/>
        </w:rPr>
      </w:pPr>
    </w:p>
    <w:p w14:paraId="4104E601" w14:textId="77777777" w:rsidR="005203F4" w:rsidRDefault="00256173"/>
    <w:sectPr w:rsidR="005203F4" w:rsidSect="008E71BF">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EE7CD" w14:textId="77777777" w:rsidR="00256173" w:rsidRDefault="00256173" w:rsidP="005070A7">
      <w:pPr>
        <w:spacing w:after="0" w:line="240" w:lineRule="auto"/>
      </w:pPr>
      <w:r>
        <w:separator/>
      </w:r>
    </w:p>
  </w:endnote>
  <w:endnote w:type="continuationSeparator" w:id="0">
    <w:p w14:paraId="00BF75EE" w14:textId="77777777" w:rsidR="00256173" w:rsidRDefault="00256173" w:rsidP="0050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4E5D" w14:textId="77777777" w:rsidR="00B05ED6" w:rsidRDefault="00B05ED6" w:rsidP="008853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F44D4" w14:textId="77777777" w:rsidR="00B05ED6" w:rsidRDefault="00B05ED6" w:rsidP="00B05E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25B7" w14:textId="132376A2" w:rsidR="00B05ED6" w:rsidRDefault="00B05ED6" w:rsidP="008853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2F25">
      <w:rPr>
        <w:rStyle w:val="PageNumber"/>
        <w:noProof/>
      </w:rPr>
      <w:t>3</w:t>
    </w:r>
    <w:r>
      <w:rPr>
        <w:rStyle w:val="PageNumber"/>
      </w:rPr>
      <w:fldChar w:fldCharType="end"/>
    </w:r>
  </w:p>
  <w:p w14:paraId="35157862" w14:textId="77777777" w:rsidR="00B05ED6" w:rsidRDefault="00B05ED6" w:rsidP="00B05E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7C492" w14:textId="77777777" w:rsidR="00256173" w:rsidRDefault="00256173" w:rsidP="005070A7">
      <w:pPr>
        <w:spacing w:after="0" w:line="240" w:lineRule="auto"/>
      </w:pPr>
      <w:r>
        <w:separator/>
      </w:r>
    </w:p>
  </w:footnote>
  <w:footnote w:type="continuationSeparator" w:id="0">
    <w:p w14:paraId="0FF1D914" w14:textId="77777777" w:rsidR="00256173" w:rsidRDefault="00256173" w:rsidP="00507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17D"/>
    <w:multiLevelType w:val="hybridMultilevel"/>
    <w:tmpl w:val="0164B74A"/>
    <w:lvl w:ilvl="0" w:tplc="7EC01C0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8A764A"/>
    <w:multiLevelType w:val="hybridMultilevel"/>
    <w:tmpl w:val="F1B421A8"/>
    <w:lvl w:ilvl="0" w:tplc="4D60F3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73BC0"/>
    <w:multiLevelType w:val="hybridMultilevel"/>
    <w:tmpl w:val="15141200"/>
    <w:lvl w:ilvl="0" w:tplc="A6D84AF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806CDB"/>
    <w:multiLevelType w:val="multilevel"/>
    <w:tmpl w:val="C290948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BA3B64"/>
    <w:multiLevelType w:val="hybridMultilevel"/>
    <w:tmpl w:val="5CA8FB86"/>
    <w:lvl w:ilvl="0" w:tplc="1DD2571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46"/>
    <w:rsid w:val="00011A38"/>
    <w:rsid w:val="00057E3D"/>
    <w:rsid w:val="00175C01"/>
    <w:rsid w:val="001F2302"/>
    <w:rsid w:val="001F5F9D"/>
    <w:rsid w:val="00227A50"/>
    <w:rsid w:val="00256173"/>
    <w:rsid w:val="003727C3"/>
    <w:rsid w:val="003A0E51"/>
    <w:rsid w:val="00414BC1"/>
    <w:rsid w:val="0045618E"/>
    <w:rsid w:val="004C62A9"/>
    <w:rsid w:val="004C7DE7"/>
    <w:rsid w:val="005070A7"/>
    <w:rsid w:val="005962FF"/>
    <w:rsid w:val="005A55F2"/>
    <w:rsid w:val="005B6AA8"/>
    <w:rsid w:val="007B011C"/>
    <w:rsid w:val="00816846"/>
    <w:rsid w:val="00824F18"/>
    <w:rsid w:val="008B657F"/>
    <w:rsid w:val="008E71BF"/>
    <w:rsid w:val="0092608E"/>
    <w:rsid w:val="00990797"/>
    <w:rsid w:val="009A425C"/>
    <w:rsid w:val="00A7164A"/>
    <w:rsid w:val="00B05ED6"/>
    <w:rsid w:val="00BE4E8C"/>
    <w:rsid w:val="00CF5ADC"/>
    <w:rsid w:val="00D12F25"/>
    <w:rsid w:val="00D446AC"/>
    <w:rsid w:val="00D668B1"/>
    <w:rsid w:val="00DB23F1"/>
    <w:rsid w:val="00DB318A"/>
    <w:rsid w:val="00DC73CC"/>
    <w:rsid w:val="00E46B75"/>
    <w:rsid w:val="00F17289"/>
    <w:rsid w:val="00F42685"/>
    <w:rsid w:val="00F8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76F5"/>
  <w15:docId w15:val="{55858C09-83AA-45B5-844B-BA35B2AC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846"/>
    <w:pPr>
      <w:spacing w:after="160" w:line="276" w:lineRule="auto"/>
      <w:jc w:val="both"/>
    </w:pPr>
    <w:rPr>
      <w:rFonts w:eastAsiaTheme="minorEastAsia"/>
      <w:sz w:val="22"/>
      <w:szCs w:val="22"/>
      <w:lang w:eastAsia="ja-JP"/>
    </w:rPr>
  </w:style>
  <w:style w:type="paragraph" w:styleId="Heading1">
    <w:name w:val="heading 1"/>
    <w:basedOn w:val="Normal"/>
    <w:next w:val="Normal"/>
    <w:link w:val="Heading1Char"/>
    <w:uiPriority w:val="9"/>
    <w:qFormat/>
    <w:rsid w:val="005070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070A7"/>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B75"/>
    <w:pPr>
      <w:ind w:left="720"/>
      <w:contextualSpacing/>
    </w:pPr>
  </w:style>
  <w:style w:type="character" w:customStyle="1" w:styleId="Heading1Char">
    <w:name w:val="Heading 1 Char"/>
    <w:basedOn w:val="DefaultParagraphFont"/>
    <w:link w:val="Heading1"/>
    <w:uiPriority w:val="9"/>
    <w:rsid w:val="005070A7"/>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rsid w:val="005070A7"/>
    <w:rPr>
      <w:rFonts w:eastAsiaTheme="majorEastAsia" w:cstheme="majorBidi"/>
      <w:b/>
      <w:bCs/>
      <w:sz w:val="22"/>
      <w:szCs w:val="26"/>
      <w:lang w:eastAsia="ja-JP"/>
    </w:rPr>
  </w:style>
  <w:style w:type="paragraph" w:styleId="FootnoteText">
    <w:name w:val="footnote text"/>
    <w:basedOn w:val="Normal"/>
    <w:link w:val="FootnoteTextChar"/>
    <w:uiPriority w:val="99"/>
    <w:semiHidden/>
    <w:unhideWhenUsed/>
    <w:rsid w:val="00507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0A7"/>
    <w:rPr>
      <w:rFonts w:eastAsiaTheme="minorEastAsia"/>
      <w:sz w:val="20"/>
      <w:szCs w:val="20"/>
      <w:lang w:eastAsia="ja-JP"/>
    </w:rPr>
  </w:style>
  <w:style w:type="character" w:styleId="FootnoteReference">
    <w:name w:val="footnote reference"/>
    <w:basedOn w:val="DefaultParagraphFont"/>
    <w:uiPriority w:val="99"/>
    <w:semiHidden/>
    <w:unhideWhenUsed/>
    <w:rsid w:val="005070A7"/>
    <w:rPr>
      <w:vertAlign w:val="superscript"/>
    </w:rPr>
  </w:style>
  <w:style w:type="paragraph" w:styleId="Footer">
    <w:name w:val="footer"/>
    <w:basedOn w:val="Normal"/>
    <w:link w:val="FooterChar"/>
    <w:uiPriority w:val="99"/>
    <w:unhideWhenUsed/>
    <w:rsid w:val="00B05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ED6"/>
    <w:rPr>
      <w:rFonts w:eastAsiaTheme="minorEastAsia"/>
      <w:sz w:val="22"/>
      <w:szCs w:val="22"/>
      <w:lang w:eastAsia="ja-JP"/>
    </w:rPr>
  </w:style>
  <w:style w:type="character" w:styleId="PageNumber">
    <w:name w:val="page number"/>
    <w:basedOn w:val="DefaultParagraphFont"/>
    <w:uiPriority w:val="99"/>
    <w:semiHidden/>
    <w:unhideWhenUsed/>
    <w:rsid w:val="00B05ED6"/>
  </w:style>
  <w:style w:type="paragraph" w:styleId="NormalWeb">
    <w:name w:val="Normal (Web)"/>
    <w:basedOn w:val="Normal"/>
    <w:uiPriority w:val="99"/>
    <w:unhideWhenUsed/>
    <w:rsid w:val="0045618E"/>
    <w:pPr>
      <w:spacing w:before="100" w:beforeAutospacing="1" w:after="100" w:afterAutospacing="1" w:line="240" w:lineRule="auto"/>
      <w:jc w:val="left"/>
    </w:pPr>
    <w:rPr>
      <w:rFonts w:ascii="Times New Roman" w:eastAsiaTheme="minorHAnsi" w:hAnsi="Times New Roman" w:cs="Times New Roman"/>
      <w:sz w:val="24"/>
      <w:szCs w:val="24"/>
      <w:lang w:eastAsia="en-US"/>
    </w:rPr>
  </w:style>
  <w:style w:type="paragraph" w:styleId="BalloonText">
    <w:name w:val="Balloon Text"/>
    <w:basedOn w:val="Normal"/>
    <w:link w:val="BalloonTextChar"/>
    <w:uiPriority w:val="99"/>
    <w:semiHidden/>
    <w:unhideWhenUsed/>
    <w:rsid w:val="00F17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289"/>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F17289"/>
    <w:rPr>
      <w:sz w:val="16"/>
      <w:szCs w:val="16"/>
    </w:rPr>
  </w:style>
  <w:style w:type="paragraph" w:styleId="CommentText">
    <w:name w:val="annotation text"/>
    <w:basedOn w:val="Normal"/>
    <w:link w:val="CommentTextChar"/>
    <w:uiPriority w:val="99"/>
    <w:semiHidden/>
    <w:unhideWhenUsed/>
    <w:rsid w:val="00F17289"/>
    <w:pPr>
      <w:spacing w:line="240" w:lineRule="auto"/>
    </w:pPr>
    <w:rPr>
      <w:sz w:val="20"/>
      <w:szCs w:val="20"/>
    </w:rPr>
  </w:style>
  <w:style w:type="character" w:customStyle="1" w:styleId="CommentTextChar">
    <w:name w:val="Comment Text Char"/>
    <w:basedOn w:val="DefaultParagraphFont"/>
    <w:link w:val="CommentText"/>
    <w:uiPriority w:val="99"/>
    <w:semiHidden/>
    <w:rsid w:val="00F1728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7289"/>
    <w:rPr>
      <w:b/>
      <w:bCs/>
    </w:rPr>
  </w:style>
  <w:style w:type="character" w:customStyle="1" w:styleId="CommentSubjectChar">
    <w:name w:val="Comment Subject Char"/>
    <w:basedOn w:val="CommentTextChar"/>
    <w:link w:val="CommentSubject"/>
    <w:uiPriority w:val="99"/>
    <w:semiHidden/>
    <w:rsid w:val="00F17289"/>
    <w:rPr>
      <w:rFonts w:eastAsiaTheme="minorEastAsia"/>
      <w:b/>
      <w:bCs/>
      <w:sz w:val="20"/>
      <w:szCs w:val="20"/>
      <w:lang w:eastAsia="ja-JP"/>
    </w:rPr>
  </w:style>
  <w:style w:type="character" w:styleId="BookTitle">
    <w:name w:val="Book Title"/>
    <w:basedOn w:val="DefaultParagraphFont"/>
    <w:uiPriority w:val="33"/>
    <w:qFormat/>
    <w:rsid w:val="005B6AA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ANU</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Dearden, Lorraine</cp:lastModifiedBy>
  <cp:revision>3</cp:revision>
  <dcterms:created xsi:type="dcterms:W3CDTF">2018-03-09T12:10:00Z</dcterms:created>
  <dcterms:modified xsi:type="dcterms:W3CDTF">2018-03-15T09:56:00Z</dcterms:modified>
</cp:coreProperties>
</file>