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43FA" w14:textId="77777777" w:rsidR="00D44535" w:rsidRPr="00D44535" w:rsidRDefault="00D44535" w:rsidP="00BE2779">
      <w:pPr>
        <w:spacing w:line="288" w:lineRule="auto"/>
        <w:rPr>
          <w:b/>
          <w:sz w:val="36"/>
          <w:szCs w:val="36"/>
        </w:rPr>
      </w:pPr>
      <w:r w:rsidRPr="00D44535">
        <w:rPr>
          <w:b/>
          <w:sz w:val="36"/>
          <w:szCs w:val="36"/>
        </w:rPr>
        <w:t>How good are Australian universities?</w:t>
      </w:r>
    </w:p>
    <w:p w14:paraId="3872880A" w14:textId="77777777" w:rsidR="00D44535" w:rsidRDefault="00D44535" w:rsidP="00BE2779">
      <w:pPr>
        <w:spacing w:line="288" w:lineRule="auto"/>
        <w:rPr>
          <w:sz w:val="28"/>
          <w:szCs w:val="28"/>
        </w:rPr>
      </w:pPr>
    </w:p>
    <w:p w14:paraId="1CD9C6A5" w14:textId="77777777" w:rsidR="00D44535" w:rsidRPr="0053230E" w:rsidRDefault="00D44535" w:rsidP="00BE2779">
      <w:pPr>
        <w:spacing w:line="288" w:lineRule="auto"/>
        <w:rPr>
          <w:rFonts w:asciiTheme="majorHAnsi" w:hAnsiTheme="majorHAnsi"/>
          <w:sz w:val="32"/>
          <w:szCs w:val="32"/>
        </w:rPr>
      </w:pPr>
      <w:r w:rsidRPr="0053230E">
        <w:rPr>
          <w:rFonts w:asciiTheme="majorHAnsi" w:hAnsiTheme="majorHAnsi"/>
          <w:sz w:val="32"/>
          <w:szCs w:val="32"/>
        </w:rPr>
        <w:t>Simon Marginson</w:t>
      </w:r>
    </w:p>
    <w:p w14:paraId="69A6732B" w14:textId="77777777" w:rsidR="00D44535" w:rsidRPr="0053230E" w:rsidRDefault="00D44535" w:rsidP="00BE2779">
      <w:pPr>
        <w:spacing w:line="288" w:lineRule="auto"/>
        <w:rPr>
          <w:rFonts w:asciiTheme="majorHAnsi" w:hAnsiTheme="majorHAnsi"/>
          <w:sz w:val="32"/>
          <w:szCs w:val="32"/>
        </w:rPr>
      </w:pPr>
      <w:r w:rsidRPr="0053230E">
        <w:rPr>
          <w:rFonts w:asciiTheme="majorHAnsi" w:hAnsiTheme="majorHAnsi"/>
          <w:sz w:val="32"/>
          <w:szCs w:val="32"/>
        </w:rPr>
        <w:t>University College London</w:t>
      </w:r>
      <w:r w:rsidR="00D86235" w:rsidRPr="0053230E">
        <w:rPr>
          <w:rFonts w:asciiTheme="majorHAnsi" w:hAnsiTheme="majorHAnsi"/>
          <w:sz w:val="32"/>
          <w:szCs w:val="32"/>
        </w:rPr>
        <w:t>, UK</w:t>
      </w:r>
      <w:r w:rsidRPr="0053230E">
        <w:rPr>
          <w:rFonts w:asciiTheme="majorHAnsi" w:hAnsiTheme="majorHAnsi"/>
          <w:sz w:val="32"/>
          <w:szCs w:val="32"/>
        </w:rPr>
        <w:t xml:space="preserve"> </w:t>
      </w:r>
    </w:p>
    <w:p w14:paraId="319D208C" w14:textId="77777777" w:rsidR="00D44535" w:rsidRDefault="00D44535" w:rsidP="00BE2779">
      <w:pPr>
        <w:spacing w:line="288" w:lineRule="auto"/>
      </w:pPr>
    </w:p>
    <w:p w14:paraId="73F67239" w14:textId="77777777" w:rsidR="00D44535" w:rsidRPr="0053230E" w:rsidRDefault="00D44535" w:rsidP="00BE2779">
      <w:pPr>
        <w:spacing w:line="288" w:lineRule="auto"/>
        <w:rPr>
          <w:sz w:val="28"/>
          <w:szCs w:val="28"/>
        </w:rPr>
      </w:pPr>
      <w:r w:rsidRPr="0053230E">
        <w:rPr>
          <w:sz w:val="28"/>
          <w:szCs w:val="28"/>
        </w:rPr>
        <w:t xml:space="preserve">R. Douglas Wright Lecture, 10 October 2017 </w:t>
      </w:r>
    </w:p>
    <w:p w14:paraId="5088ECF7" w14:textId="77777777" w:rsidR="00D44535" w:rsidRPr="0053230E" w:rsidRDefault="00D44535" w:rsidP="00BE2779">
      <w:pPr>
        <w:spacing w:line="288" w:lineRule="auto"/>
        <w:rPr>
          <w:sz w:val="28"/>
          <w:szCs w:val="28"/>
        </w:rPr>
      </w:pPr>
      <w:r w:rsidRPr="0053230E">
        <w:rPr>
          <w:sz w:val="28"/>
          <w:szCs w:val="28"/>
        </w:rPr>
        <w:t>Faculty of Medicine, Dentistry and Health Sciences, University of Melbourne</w:t>
      </w:r>
    </w:p>
    <w:p w14:paraId="2FF7AE1A" w14:textId="77777777" w:rsidR="00D34679" w:rsidRPr="0053230E" w:rsidRDefault="00D34679" w:rsidP="00BE2779">
      <w:pPr>
        <w:pBdr>
          <w:bottom w:val="single" w:sz="4" w:space="1" w:color="auto"/>
        </w:pBdr>
        <w:spacing w:line="288" w:lineRule="auto"/>
        <w:rPr>
          <w:sz w:val="28"/>
          <w:szCs w:val="28"/>
        </w:rPr>
      </w:pPr>
    </w:p>
    <w:p w14:paraId="32893AFE" w14:textId="77777777" w:rsidR="00C43EF4" w:rsidRDefault="00C43EF4" w:rsidP="00BE2779">
      <w:pPr>
        <w:spacing w:line="288" w:lineRule="auto"/>
        <w:rPr>
          <w:sz w:val="28"/>
          <w:szCs w:val="28"/>
        </w:rPr>
      </w:pPr>
    </w:p>
    <w:p w14:paraId="1F324190" w14:textId="77777777" w:rsidR="00E067C0" w:rsidRDefault="00E067C0" w:rsidP="00BE2779">
      <w:pPr>
        <w:spacing w:line="288" w:lineRule="auto"/>
        <w:rPr>
          <w:sz w:val="28"/>
          <w:szCs w:val="28"/>
        </w:rPr>
      </w:pPr>
    </w:p>
    <w:p w14:paraId="031E02E3" w14:textId="2CAAE112" w:rsidR="00750DE0" w:rsidRPr="00C43EF4" w:rsidRDefault="00C43EF4" w:rsidP="00BE2779">
      <w:pPr>
        <w:spacing w:line="288" w:lineRule="auto"/>
        <w:rPr>
          <w:b/>
          <w:sz w:val="28"/>
          <w:szCs w:val="28"/>
        </w:rPr>
      </w:pPr>
      <w:r w:rsidRPr="00C43EF4">
        <w:rPr>
          <w:b/>
          <w:sz w:val="28"/>
          <w:szCs w:val="28"/>
        </w:rPr>
        <w:t>(Preliminaries)</w:t>
      </w:r>
    </w:p>
    <w:p w14:paraId="5DBCBCFB" w14:textId="77777777" w:rsidR="00C43EF4" w:rsidRPr="0053230E" w:rsidRDefault="00C43EF4" w:rsidP="00BE2779">
      <w:pPr>
        <w:spacing w:line="288" w:lineRule="auto"/>
        <w:rPr>
          <w:sz w:val="28"/>
          <w:szCs w:val="28"/>
        </w:rPr>
      </w:pPr>
    </w:p>
    <w:p w14:paraId="5B6E6C15" w14:textId="37E16472" w:rsidR="00421C78" w:rsidRPr="00B04979" w:rsidRDefault="00421C78" w:rsidP="00BE2779">
      <w:pPr>
        <w:spacing w:line="288" w:lineRule="auto"/>
        <w:rPr>
          <w:b/>
          <w:sz w:val="28"/>
          <w:szCs w:val="28"/>
        </w:rPr>
      </w:pPr>
      <w:r w:rsidRPr="00B04979">
        <w:rPr>
          <w:sz w:val="28"/>
          <w:szCs w:val="28"/>
        </w:rPr>
        <w:t>[OPENING]</w:t>
      </w:r>
    </w:p>
    <w:p w14:paraId="765C759B" w14:textId="363551A6" w:rsidR="00342F34" w:rsidRDefault="00C43EF4" w:rsidP="00BE2779">
      <w:pPr>
        <w:spacing w:line="288" w:lineRule="auto"/>
        <w:rPr>
          <w:sz w:val="28"/>
          <w:szCs w:val="28"/>
        </w:rPr>
      </w:pPr>
      <w:r>
        <w:rPr>
          <w:sz w:val="28"/>
          <w:szCs w:val="28"/>
        </w:rPr>
        <w:t>In his biography of R. Douglas Wright, Peter McPhee says that ‘one of the sharpest characteristics of his generation as it emerged from World War II’, was that its grasp of the importance of science was rivalled by ‘a fierce national identity’.</w:t>
      </w:r>
      <w:r>
        <w:rPr>
          <w:rStyle w:val="FootnoteReference"/>
          <w:sz w:val="28"/>
          <w:szCs w:val="28"/>
        </w:rPr>
        <w:footnoteReference w:id="1"/>
      </w:r>
      <w:r>
        <w:rPr>
          <w:sz w:val="28"/>
          <w:szCs w:val="28"/>
        </w:rPr>
        <w:t xml:space="preserve"> </w:t>
      </w:r>
      <w:r w:rsidR="005E28F5">
        <w:rPr>
          <w:sz w:val="28"/>
          <w:szCs w:val="28"/>
        </w:rPr>
        <w:t xml:space="preserve">Wright’s </w:t>
      </w:r>
      <w:r w:rsidR="00D24F26">
        <w:rPr>
          <w:sz w:val="28"/>
          <w:szCs w:val="28"/>
        </w:rPr>
        <w:t xml:space="preserve">emphatic </w:t>
      </w:r>
      <w:r w:rsidR="00A60A69">
        <w:rPr>
          <w:sz w:val="28"/>
          <w:szCs w:val="28"/>
        </w:rPr>
        <w:t>individuality</w:t>
      </w:r>
      <w:r w:rsidR="00EE6206">
        <w:rPr>
          <w:sz w:val="28"/>
          <w:szCs w:val="28"/>
        </w:rPr>
        <w:t xml:space="preserve">, his </w:t>
      </w:r>
      <w:r w:rsidR="00754EEE">
        <w:rPr>
          <w:sz w:val="28"/>
          <w:szCs w:val="28"/>
        </w:rPr>
        <w:t xml:space="preserve">determination </w:t>
      </w:r>
      <w:r w:rsidR="00446B58">
        <w:rPr>
          <w:sz w:val="28"/>
          <w:szCs w:val="28"/>
        </w:rPr>
        <w:t>to assert his own r</w:t>
      </w:r>
      <w:r w:rsidR="00215ABB">
        <w:rPr>
          <w:sz w:val="28"/>
          <w:szCs w:val="28"/>
        </w:rPr>
        <w:t>ules was</w:t>
      </w:r>
      <w:r w:rsidR="00AA1993">
        <w:rPr>
          <w:sz w:val="28"/>
          <w:szCs w:val="28"/>
        </w:rPr>
        <w:t xml:space="preserve">, </w:t>
      </w:r>
      <w:r w:rsidR="00577AAE">
        <w:rPr>
          <w:sz w:val="28"/>
          <w:szCs w:val="28"/>
        </w:rPr>
        <w:t xml:space="preserve">as </w:t>
      </w:r>
      <w:r w:rsidR="00AD7934">
        <w:rPr>
          <w:sz w:val="28"/>
          <w:szCs w:val="28"/>
        </w:rPr>
        <w:t xml:space="preserve">the </w:t>
      </w:r>
      <w:r w:rsidR="00AA1993">
        <w:rPr>
          <w:sz w:val="28"/>
          <w:szCs w:val="28"/>
        </w:rPr>
        <w:t xml:space="preserve">former governor-general </w:t>
      </w:r>
      <w:proofErr w:type="spellStart"/>
      <w:r w:rsidR="00AA1993">
        <w:rPr>
          <w:sz w:val="28"/>
          <w:szCs w:val="28"/>
        </w:rPr>
        <w:t>Ninian</w:t>
      </w:r>
      <w:proofErr w:type="spellEnd"/>
      <w:r w:rsidR="00AA1993">
        <w:rPr>
          <w:sz w:val="28"/>
          <w:szCs w:val="28"/>
        </w:rPr>
        <w:t xml:space="preserve"> Stephen said at the funeral,</w:t>
      </w:r>
      <w:r w:rsidR="005E28F5">
        <w:rPr>
          <w:sz w:val="28"/>
          <w:szCs w:val="28"/>
        </w:rPr>
        <w:t xml:space="preserve"> directed to unselfish ends.</w:t>
      </w:r>
      <w:r w:rsidR="00AA1993">
        <w:rPr>
          <w:rStyle w:val="FootnoteReference"/>
          <w:sz w:val="28"/>
          <w:szCs w:val="28"/>
        </w:rPr>
        <w:footnoteReference w:id="2"/>
      </w:r>
      <w:r w:rsidR="005E28F5">
        <w:rPr>
          <w:sz w:val="28"/>
          <w:szCs w:val="28"/>
        </w:rPr>
        <w:t xml:space="preserve"> </w:t>
      </w:r>
      <w:r w:rsidR="003C1AB3">
        <w:rPr>
          <w:sz w:val="28"/>
          <w:szCs w:val="28"/>
        </w:rPr>
        <w:t xml:space="preserve">As McPhee and Stuart Macintyre’s history of </w:t>
      </w:r>
      <w:proofErr w:type="spellStart"/>
      <w:r w:rsidR="003C1AB3">
        <w:rPr>
          <w:sz w:val="28"/>
          <w:szCs w:val="28"/>
        </w:rPr>
        <w:t>postwar</w:t>
      </w:r>
      <w:proofErr w:type="spellEnd"/>
      <w:r w:rsidR="003C1AB3">
        <w:rPr>
          <w:sz w:val="28"/>
          <w:szCs w:val="28"/>
        </w:rPr>
        <w:t xml:space="preserve"> reconstruction show, </w:t>
      </w:r>
      <w:r w:rsidR="00FD21A9">
        <w:rPr>
          <w:sz w:val="28"/>
          <w:szCs w:val="28"/>
        </w:rPr>
        <w:t>Wright</w:t>
      </w:r>
      <w:r w:rsidR="00577AAE">
        <w:rPr>
          <w:sz w:val="28"/>
          <w:szCs w:val="28"/>
        </w:rPr>
        <w:t>, Coombes, Conlon</w:t>
      </w:r>
      <w:r w:rsidR="00342F34">
        <w:rPr>
          <w:sz w:val="28"/>
          <w:szCs w:val="28"/>
        </w:rPr>
        <w:t xml:space="preserve"> and </w:t>
      </w:r>
      <w:r w:rsidR="003C1AB3">
        <w:rPr>
          <w:sz w:val="28"/>
          <w:szCs w:val="28"/>
        </w:rPr>
        <w:t xml:space="preserve">the </w:t>
      </w:r>
      <w:r w:rsidR="00342F34">
        <w:rPr>
          <w:sz w:val="28"/>
          <w:szCs w:val="28"/>
        </w:rPr>
        <w:t>other</w:t>
      </w:r>
      <w:r w:rsidR="00FD21A9">
        <w:rPr>
          <w:sz w:val="28"/>
          <w:szCs w:val="28"/>
        </w:rPr>
        <w:t xml:space="preserve"> </w:t>
      </w:r>
      <w:r w:rsidR="00A85895">
        <w:rPr>
          <w:sz w:val="28"/>
          <w:szCs w:val="28"/>
        </w:rPr>
        <w:t xml:space="preserve">intellectuals of the </w:t>
      </w:r>
      <w:r w:rsidR="00FD21A9">
        <w:rPr>
          <w:sz w:val="28"/>
          <w:szCs w:val="28"/>
        </w:rPr>
        <w:t>reconstruction generation</w:t>
      </w:r>
      <w:r w:rsidR="00A85895">
        <w:rPr>
          <w:rStyle w:val="FootnoteReference"/>
          <w:sz w:val="28"/>
          <w:szCs w:val="28"/>
        </w:rPr>
        <w:footnoteReference w:id="3"/>
      </w:r>
      <w:r w:rsidR="00375F8B">
        <w:rPr>
          <w:sz w:val="28"/>
          <w:szCs w:val="28"/>
        </w:rPr>
        <w:t xml:space="preserve"> made</w:t>
      </w:r>
      <w:r w:rsidR="00FD21A9">
        <w:rPr>
          <w:sz w:val="28"/>
          <w:szCs w:val="28"/>
        </w:rPr>
        <w:t xml:space="preserve"> a modern university system</w:t>
      </w:r>
      <w:r w:rsidR="00A85895">
        <w:rPr>
          <w:sz w:val="28"/>
          <w:szCs w:val="28"/>
        </w:rPr>
        <w:t xml:space="preserve">, and </w:t>
      </w:r>
      <w:r w:rsidR="00342F34">
        <w:rPr>
          <w:sz w:val="28"/>
          <w:szCs w:val="28"/>
        </w:rPr>
        <w:t xml:space="preserve">in doing so </w:t>
      </w:r>
      <w:r w:rsidR="003C1AB3">
        <w:rPr>
          <w:sz w:val="28"/>
          <w:szCs w:val="28"/>
        </w:rPr>
        <w:t xml:space="preserve">helped to </w:t>
      </w:r>
      <w:r w:rsidR="00FD21A9">
        <w:rPr>
          <w:sz w:val="28"/>
          <w:szCs w:val="28"/>
        </w:rPr>
        <w:t>moderniz</w:t>
      </w:r>
      <w:r w:rsidR="00342F34">
        <w:rPr>
          <w:sz w:val="28"/>
          <w:szCs w:val="28"/>
        </w:rPr>
        <w:t>ed</w:t>
      </w:r>
      <w:r w:rsidR="00FD21A9">
        <w:rPr>
          <w:sz w:val="28"/>
          <w:szCs w:val="28"/>
        </w:rPr>
        <w:t xml:space="preserve"> </w:t>
      </w:r>
      <w:r w:rsidR="00517810">
        <w:rPr>
          <w:sz w:val="28"/>
          <w:szCs w:val="28"/>
        </w:rPr>
        <w:t xml:space="preserve">a </w:t>
      </w:r>
      <w:r w:rsidR="00FD21A9">
        <w:rPr>
          <w:sz w:val="28"/>
          <w:szCs w:val="28"/>
        </w:rPr>
        <w:t xml:space="preserve">nation. </w:t>
      </w:r>
    </w:p>
    <w:p w14:paraId="368A15FC" w14:textId="77777777" w:rsidR="00421C78" w:rsidRDefault="00421C78" w:rsidP="00BE2779">
      <w:pPr>
        <w:spacing w:line="288" w:lineRule="auto"/>
        <w:rPr>
          <w:sz w:val="28"/>
          <w:szCs w:val="28"/>
        </w:rPr>
      </w:pPr>
    </w:p>
    <w:p w14:paraId="6A7A45BA" w14:textId="3E1D7F7B" w:rsidR="00421C78" w:rsidRDefault="00421C78" w:rsidP="00BE2779">
      <w:pPr>
        <w:spacing w:line="288" w:lineRule="auto"/>
        <w:rPr>
          <w:sz w:val="28"/>
          <w:szCs w:val="28"/>
        </w:rPr>
      </w:pPr>
      <w:r>
        <w:rPr>
          <w:sz w:val="28"/>
          <w:szCs w:val="28"/>
        </w:rPr>
        <w:t>[UNIVERSITIES, AND AUSTRALIA]</w:t>
      </w:r>
    </w:p>
    <w:p w14:paraId="0CB0648F" w14:textId="0CBD23AE" w:rsidR="00421C78" w:rsidRDefault="001752A6" w:rsidP="00BE2779">
      <w:pPr>
        <w:spacing w:line="288" w:lineRule="auto"/>
        <w:rPr>
          <w:sz w:val="28"/>
          <w:szCs w:val="28"/>
        </w:rPr>
      </w:pPr>
      <w:r>
        <w:rPr>
          <w:sz w:val="28"/>
          <w:szCs w:val="28"/>
        </w:rPr>
        <w:t>T</w:t>
      </w:r>
      <w:r w:rsidR="00C43EF4">
        <w:rPr>
          <w:sz w:val="28"/>
          <w:szCs w:val="28"/>
        </w:rPr>
        <w:t xml:space="preserve">hat brings me straight to my theme this evening, </w:t>
      </w:r>
      <w:r w:rsidR="00F530A9">
        <w:rPr>
          <w:sz w:val="28"/>
          <w:szCs w:val="28"/>
        </w:rPr>
        <w:t>or rather twin theme</w:t>
      </w:r>
      <w:r w:rsidR="00FD21A9">
        <w:rPr>
          <w:sz w:val="28"/>
          <w:szCs w:val="28"/>
        </w:rPr>
        <w:t>s</w:t>
      </w:r>
      <w:r w:rsidR="00F530A9">
        <w:rPr>
          <w:sz w:val="28"/>
          <w:szCs w:val="28"/>
        </w:rPr>
        <w:t xml:space="preserve">, which </w:t>
      </w:r>
      <w:r w:rsidR="00C25F9E">
        <w:rPr>
          <w:sz w:val="28"/>
          <w:szCs w:val="28"/>
        </w:rPr>
        <w:t>are</w:t>
      </w:r>
      <w:r w:rsidR="00F530A9">
        <w:rPr>
          <w:sz w:val="28"/>
          <w:szCs w:val="28"/>
        </w:rPr>
        <w:t xml:space="preserve"> Australia</w:t>
      </w:r>
      <w:r w:rsidR="00C25F9E">
        <w:rPr>
          <w:sz w:val="28"/>
          <w:szCs w:val="28"/>
        </w:rPr>
        <w:t>,</w:t>
      </w:r>
      <w:r w:rsidR="00F530A9">
        <w:rPr>
          <w:sz w:val="28"/>
          <w:szCs w:val="28"/>
        </w:rPr>
        <w:t xml:space="preserve"> and the universities. </w:t>
      </w:r>
      <w:r w:rsidR="00C25F9E">
        <w:rPr>
          <w:sz w:val="28"/>
          <w:szCs w:val="28"/>
        </w:rPr>
        <w:t>In the question ‘h</w:t>
      </w:r>
      <w:r w:rsidR="00F530A9">
        <w:rPr>
          <w:sz w:val="28"/>
          <w:szCs w:val="28"/>
        </w:rPr>
        <w:t>ow good are Australian universities?’</w:t>
      </w:r>
      <w:r w:rsidR="00C25F9E">
        <w:rPr>
          <w:sz w:val="28"/>
          <w:szCs w:val="28"/>
        </w:rPr>
        <w:t xml:space="preserve"> </w:t>
      </w:r>
      <w:r w:rsidR="00FD21A9">
        <w:rPr>
          <w:sz w:val="28"/>
          <w:szCs w:val="28"/>
        </w:rPr>
        <w:t xml:space="preserve">there are </w:t>
      </w:r>
      <w:r w:rsidR="002B4192">
        <w:rPr>
          <w:sz w:val="28"/>
          <w:szCs w:val="28"/>
        </w:rPr>
        <w:t>other questions</w:t>
      </w:r>
      <w:r w:rsidR="00FD21A9">
        <w:rPr>
          <w:sz w:val="28"/>
          <w:szCs w:val="28"/>
        </w:rPr>
        <w:t xml:space="preserve"> </w:t>
      </w:r>
      <w:r w:rsidR="00921AAF">
        <w:rPr>
          <w:sz w:val="28"/>
          <w:szCs w:val="28"/>
        </w:rPr>
        <w:t>inside</w:t>
      </w:r>
      <w:r w:rsidR="00FD21A9">
        <w:rPr>
          <w:sz w:val="28"/>
          <w:szCs w:val="28"/>
        </w:rPr>
        <w:t>.</w:t>
      </w:r>
      <w:r w:rsidR="00F530A9">
        <w:rPr>
          <w:sz w:val="28"/>
          <w:szCs w:val="28"/>
        </w:rPr>
        <w:t xml:space="preserve"> </w:t>
      </w:r>
      <w:r w:rsidR="00C25F9E">
        <w:rPr>
          <w:sz w:val="28"/>
          <w:szCs w:val="28"/>
        </w:rPr>
        <w:t xml:space="preserve">How good are the universities in relation to what? To other universities abroad? </w:t>
      </w:r>
    </w:p>
    <w:p w14:paraId="53206F41" w14:textId="77777777" w:rsidR="00421C78" w:rsidRDefault="00421C78" w:rsidP="00BE2779">
      <w:pPr>
        <w:spacing w:line="288" w:lineRule="auto"/>
        <w:rPr>
          <w:sz w:val="28"/>
          <w:szCs w:val="28"/>
        </w:rPr>
      </w:pPr>
    </w:p>
    <w:p w14:paraId="32831CE5" w14:textId="77777777" w:rsidR="00421C78" w:rsidRDefault="00421C78" w:rsidP="00BE2779">
      <w:pPr>
        <w:spacing w:line="288" w:lineRule="auto"/>
        <w:rPr>
          <w:sz w:val="28"/>
          <w:szCs w:val="28"/>
        </w:rPr>
      </w:pPr>
      <w:r>
        <w:rPr>
          <w:sz w:val="28"/>
          <w:szCs w:val="28"/>
        </w:rPr>
        <w:t>[‘HOW GOOD’]</w:t>
      </w:r>
    </w:p>
    <w:p w14:paraId="7F066B60" w14:textId="6AF84139" w:rsidR="005F41C7" w:rsidRDefault="00C25F9E" w:rsidP="00BE2779">
      <w:pPr>
        <w:spacing w:line="288" w:lineRule="auto"/>
        <w:rPr>
          <w:sz w:val="28"/>
          <w:szCs w:val="28"/>
        </w:rPr>
      </w:pPr>
      <w:r>
        <w:rPr>
          <w:sz w:val="28"/>
          <w:szCs w:val="28"/>
        </w:rPr>
        <w:lastRenderedPageBreak/>
        <w:t xml:space="preserve">How good </w:t>
      </w:r>
      <w:r w:rsidR="00BF3D12">
        <w:rPr>
          <w:sz w:val="28"/>
          <w:szCs w:val="28"/>
        </w:rPr>
        <w:t xml:space="preserve">then </w:t>
      </w:r>
      <w:r>
        <w:rPr>
          <w:sz w:val="28"/>
          <w:szCs w:val="28"/>
        </w:rPr>
        <w:t xml:space="preserve">is Australia itself? And how good have the universities made Australia? </w:t>
      </w:r>
      <w:r w:rsidR="005F41C7">
        <w:rPr>
          <w:sz w:val="28"/>
          <w:szCs w:val="28"/>
        </w:rPr>
        <w:t xml:space="preserve">We </w:t>
      </w:r>
      <w:r w:rsidR="00420300">
        <w:rPr>
          <w:sz w:val="28"/>
          <w:szCs w:val="28"/>
        </w:rPr>
        <w:t xml:space="preserve">might </w:t>
      </w:r>
      <w:r w:rsidR="00F41B7D">
        <w:rPr>
          <w:sz w:val="28"/>
          <w:szCs w:val="28"/>
        </w:rPr>
        <w:t>say</w:t>
      </w:r>
      <w:r w:rsidR="008D1BCB">
        <w:rPr>
          <w:sz w:val="28"/>
          <w:szCs w:val="28"/>
        </w:rPr>
        <w:t xml:space="preserve"> </w:t>
      </w:r>
      <w:r w:rsidR="00420300">
        <w:rPr>
          <w:sz w:val="28"/>
          <w:szCs w:val="28"/>
        </w:rPr>
        <w:t>that the strengths and weaknesses of Australian universities are the strengths and weaknesses of Australia,</w:t>
      </w:r>
      <w:r w:rsidR="00342F34">
        <w:rPr>
          <w:sz w:val="28"/>
          <w:szCs w:val="28"/>
        </w:rPr>
        <w:t xml:space="preserve"> that they</w:t>
      </w:r>
      <w:r w:rsidR="00420300">
        <w:rPr>
          <w:sz w:val="28"/>
          <w:szCs w:val="28"/>
        </w:rPr>
        <w:t xml:space="preserve"> </w:t>
      </w:r>
      <w:r w:rsidR="00420300" w:rsidRPr="00420300">
        <w:rPr>
          <w:i/>
          <w:sz w:val="28"/>
          <w:szCs w:val="28"/>
        </w:rPr>
        <w:t xml:space="preserve">must </w:t>
      </w:r>
      <w:r w:rsidR="00420300" w:rsidRPr="00420300">
        <w:rPr>
          <w:sz w:val="28"/>
          <w:szCs w:val="28"/>
        </w:rPr>
        <w:t>be</w:t>
      </w:r>
      <w:r w:rsidR="00420300">
        <w:rPr>
          <w:sz w:val="28"/>
          <w:szCs w:val="28"/>
        </w:rPr>
        <w:t xml:space="preserve"> the same, but it is not that easy. Though a university is conditioned by its society and nation, it has roots in knowledge and the larger world. It </w:t>
      </w:r>
      <w:r w:rsidR="00787FC4">
        <w:rPr>
          <w:sz w:val="28"/>
          <w:szCs w:val="28"/>
        </w:rPr>
        <w:t xml:space="preserve">is </w:t>
      </w:r>
      <w:r w:rsidR="00420300">
        <w:rPr>
          <w:sz w:val="28"/>
          <w:szCs w:val="28"/>
        </w:rPr>
        <w:t xml:space="preserve">not wholly contained </w:t>
      </w:r>
      <w:r w:rsidR="00787FC4">
        <w:rPr>
          <w:sz w:val="28"/>
          <w:szCs w:val="28"/>
        </w:rPr>
        <w:t>by the</w:t>
      </w:r>
      <w:r w:rsidR="00420300">
        <w:rPr>
          <w:sz w:val="28"/>
          <w:szCs w:val="28"/>
        </w:rPr>
        <w:t xml:space="preserve"> nation. Universities can move out ahead, up to a point, and we </w:t>
      </w:r>
      <w:r w:rsidR="00B979BE">
        <w:rPr>
          <w:sz w:val="28"/>
          <w:szCs w:val="28"/>
        </w:rPr>
        <w:t xml:space="preserve">often </w:t>
      </w:r>
      <w:r w:rsidR="00342F34">
        <w:rPr>
          <w:sz w:val="28"/>
          <w:szCs w:val="28"/>
        </w:rPr>
        <w:t>want</w:t>
      </w:r>
      <w:r w:rsidR="00420300">
        <w:rPr>
          <w:sz w:val="28"/>
          <w:szCs w:val="28"/>
        </w:rPr>
        <w:t xml:space="preserve"> them to do so. </w:t>
      </w:r>
    </w:p>
    <w:p w14:paraId="29012303" w14:textId="3A3C88E3" w:rsidR="00D44535" w:rsidRDefault="00FD21A9" w:rsidP="00BE2779">
      <w:pPr>
        <w:spacing w:line="288" w:lineRule="auto"/>
        <w:rPr>
          <w:sz w:val="28"/>
          <w:szCs w:val="28"/>
        </w:rPr>
      </w:pPr>
      <w:r>
        <w:rPr>
          <w:sz w:val="28"/>
          <w:szCs w:val="28"/>
        </w:rPr>
        <w:tab/>
      </w:r>
      <w:r w:rsidR="00420300">
        <w:rPr>
          <w:sz w:val="28"/>
          <w:szCs w:val="28"/>
        </w:rPr>
        <w:t xml:space="preserve">Why does </w:t>
      </w:r>
      <w:r w:rsidR="00342F34">
        <w:rPr>
          <w:sz w:val="28"/>
          <w:szCs w:val="28"/>
        </w:rPr>
        <w:t>it</w:t>
      </w:r>
      <w:r w:rsidR="00420300">
        <w:rPr>
          <w:sz w:val="28"/>
          <w:szCs w:val="28"/>
        </w:rPr>
        <w:t xml:space="preserve"> matter? </w:t>
      </w:r>
      <w:r w:rsidR="00D70C68">
        <w:rPr>
          <w:sz w:val="28"/>
          <w:szCs w:val="28"/>
        </w:rPr>
        <w:t xml:space="preserve">Universities </w:t>
      </w:r>
      <w:r w:rsidR="008568F1">
        <w:rPr>
          <w:sz w:val="28"/>
          <w:szCs w:val="28"/>
        </w:rPr>
        <w:t>are now</w:t>
      </w:r>
      <w:r w:rsidR="00042DC9">
        <w:rPr>
          <w:sz w:val="28"/>
          <w:szCs w:val="28"/>
        </w:rPr>
        <w:t xml:space="preserve"> </w:t>
      </w:r>
      <w:r w:rsidR="00921AAF">
        <w:rPr>
          <w:sz w:val="28"/>
          <w:szCs w:val="28"/>
        </w:rPr>
        <w:t xml:space="preserve">central </w:t>
      </w:r>
      <w:r w:rsidR="00420300">
        <w:rPr>
          <w:sz w:val="28"/>
          <w:szCs w:val="28"/>
        </w:rPr>
        <w:t>to</w:t>
      </w:r>
      <w:r w:rsidR="00921AAF">
        <w:rPr>
          <w:sz w:val="28"/>
          <w:szCs w:val="28"/>
        </w:rPr>
        <w:t xml:space="preserve"> </w:t>
      </w:r>
      <w:r w:rsidR="00AD7934">
        <w:rPr>
          <w:sz w:val="28"/>
          <w:szCs w:val="28"/>
        </w:rPr>
        <w:t>Australia</w:t>
      </w:r>
      <w:r w:rsidR="00342F34">
        <w:rPr>
          <w:sz w:val="28"/>
          <w:szCs w:val="28"/>
        </w:rPr>
        <w:t xml:space="preserve">. </w:t>
      </w:r>
      <w:r w:rsidR="00420300">
        <w:rPr>
          <w:sz w:val="28"/>
          <w:szCs w:val="28"/>
        </w:rPr>
        <w:t>Citadel</w:t>
      </w:r>
      <w:r w:rsidR="00342F34">
        <w:rPr>
          <w:sz w:val="28"/>
          <w:szCs w:val="28"/>
        </w:rPr>
        <w:t>s</w:t>
      </w:r>
      <w:r w:rsidR="00420300">
        <w:rPr>
          <w:sz w:val="28"/>
          <w:szCs w:val="28"/>
        </w:rPr>
        <w:t xml:space="preserve"> of science, maker</w:t>
      </w:r>
      <w:r w:rsidR="00342F34">
        <w:rPr>
          <w:sz w:val="28"/>
          <w:szCs w:val="28"/>
        </w:rPr>
        <w:t xml:space="preserve">s of society, </w:t>
      </w:r>
      <w:r w:rsidR="00420300">
        <w:rPr>
          <w:sz w:val="28"/>
          <w:szCs w:val="28"/>
        </w:rPr>
        <w:t>shaper</w:t>
      </w:r>
      <w:r w:rsidR="00342F34">
        <w:rPr>
          <w:sz w:val="28"/>
          <w:szCs w:val="28"/>
        </w:rPr>
        <w:t>s of lives</w:t>
      </w:r>
      <w:r w:rsidR="00042DC9">
        <w:rPr>
          <w:sz w:val="28"/>
          <w:szCs w:val="28"/>
        </w:rPr>
        <w:t>,</w:t>
      </w:r>
      <w:r w:rsidR="00420300">
        <w:rPr>
          <w:sz w:val="28"/>
          <w:szCs w:val="28"/>
        </w:rPr>
        <w:t xml:space="preserve"> or so it seems. </w:t>
      </w:r>
      <w:r w:rsidR="00D92F5A">
        <w:rPr>
          <w:sz w:val="28"/>
          <w:szCs w:val="28"/>
        </w:rPr>
        <w:t xml:space="preserve">The university </w:t>
      </w:r>
      <w:r w:rsidR="00420300">
        <w:rPr>
          <w:sz w:val="28"/>
          <w:szCs w:val="28"/>
        </w:rPr>
        <w:t>has become</w:t>
      </w:r>
      <w:r w:rsidR="00BF68AC">
        <w:rPr>
          <w:sz w:val="28"/>
          <w:szCs w:val="28"/>
        </w:rPr>
        <w:t xml:space="preserve"> a</w:t>
      </w:r>
      <w:r w:rsidR="00170B8E">
        <w:rPr>
          <w:sz w:val="28"/>
          <w:szCs w:val="28"/>
        </w:rPr>
        <w:t xml:space="preserve"> </w:t>
      </w:r>
      <w:r w:rsidR="00946557">
        <w:rPr>
          <w:sz w:val="28"/>
          <w:szCs w:val="28"/>
        </w:rPr>
        <w:t xml:space="preserve">large </w:t>
      </w:r>
      <w:r w:rsidR="00170B8E">
        <w:rPr>
          <w:sz w:val="28"/>
          <w:szCs w:val="28"/>
        </w:rPr>
        <w:t xml:space="preserve">and </w:t>
      </w:r>
      <w:r w:rsidR="003D7FC0">
        <w:rPr>
          <w:sz w:val="28"/>
          <w:szCs w:val="28"/>
        </w:rPr>
        <w:t>complex instit</w:t>
      </w:r>
      <w:r w:rsidR="00D92F5A">
        <w:rPr>
          <w:sz w:val="28"/>
          <w:szCs w:val="28"/>
        </w:rPr>
        <w:t>ution</w:t>
      </w:r>
      <w:r w:rsidR="00A85895">
        <w:rPr>
          <w:sz w:val="28"/>
          <w:szCs w:val="28"/>
        </w:rPr>
        <w:t>,</w:t>
      </w:r>
      <w:r w:rsidR="003D7FC0">
        <w:rPr>
          <w:sz w:val="28"/>
          <w:szCs w:val="28"/>
        </w:rPr>
        <w:t xml:space="preserve"> with ‘thick</w:t>
      </w:r>
      <w:r w:rsidR="00A85895">
        <w:rPr>
          <w:sz w:val="28"/>
          <w:szCs w:val="28"/>
        </w:rPr>
        <w:t>ening</w:t>
      </w:r>
      <w:r w:rsidR="003D7FC0">
        <w:rPr>
          <w:sz w:val="28"/>
          <w:szCs w:val="28"/>
        </w:rPr>
        <w:t xml:space="preserve">’ connections into </w:t>
      </w:r>
      <w:r w:rsidR="00BF68AC">
        <w:rPr>
          <w:sz w:val="28"/>
          <w:szCs w:val="28"/>
        </w:rPr>
        <w:t xml:space="preserve">the </w:t>
      </w:r>
      <w:r w:rsidR="003D7FC0">
        <w:rPr>
          <w:sz w:val="28"/>
          <w:szCs w:val="28"/>
        </w:rPr>
        <w:t xml:space="preserve">economy, government, civil society and </w:t>
      </w:r>
      <w:r w:rsidR="00A85895">
        <w:rPr>
          <w:sz w:val="28"/>
          <w:szCs w:val="28"/>
        </w:rPr>
        <w:t>family</w:t>
      </w:r>
      <w:r w:rsidR="00D92F5A">
        <w:rPr>
          <w:sz w:val="28"/>
          <w:szCs w:val="28"/>
        </w:rPr>
        <w:t xml:space="preserve">. </w:t>
      </w:r>
      <w:r w:rsidR="008568F1">
        <w:rPr>
          <w:sz w:val="28"/>
          <w:szCs w:val="28"/>
        </w:rPr>
        <w:t>T</w:t>
      </w:r>
      <w:r w:rsidR="00D92F5A">
        <w:rPr>
          <w:sz w:val="28"/>
          <w:szCs w:val="28"/>
        </w:rPr>
        <w:t xml:space="preserve">he </w:t>
      </w:r>
      <w:r w:rsidR="00B03535">
        <w:rPr>
          <w:sz w:val="28"/>
          <w:szCs w:val="28"/>
        </w:rPr>
        <w:t>university</w:t>
      </w:r>
      <w:r w:rsidR="001016D7">
        <w:rPr>
          <w:sz w:val="28"/>
          <w:szCs w:val="28"/>
        </w:rPr>
        <w:t xml:space="preserve"> </w:t>
      </w:r>
      <w:r w:rsidR="00D92F5A">
        <w:rPr>
          <w:sz w:val="28"/>
          <w:szCs w:val="28"/>
        </w:rPr>
        <w:t>is</w:t>
      </w:r>
      <w:r w:rsidR="001016D7">
        <w:rPr>
          <w:sz w:val="28"/>
          <w:szCs w:val="28"/>
        </w:rPr>
        <w:t xml:space="preserve"> also </w:t>
      </w:r>
      <w:r w:rsidR="003D7FC0">
        <w:rPr>
          <w:sz w:val="28"/>
          <w:szCs w:val="28"/>
        </w:rPr>
        <w:t>multiple</w:t>
      </w:r>
      <w:r w:rsidR="00F22B03">
        <w:rPr>
          <w:sz w:val="28"/>
          <w:szCs w:val="28"/>
        </w:rPr>
        <w:t>,</w:t>
      </w:r>
      <w:r w:rsidR="00946557">
        <w:rPr>
          <w:sz w:val="28"/>
          <w:szCs w:val="28"/>
        </w:rPr>
        <w:t xml:space="preserve"> if not fragmented</w:t>
      </w:r>
      <w:r w:rsidR="003D7FC0">
        <w:rPr>
          <w:sz w:val="28"/>
          <w:szCs w:val="28"/>
        </w:rPr>
        <w:t>—as Clark Kerr</w:t>
      </w:r>
      <w:r w:rsidR="00BF68AC">
        <w:rPr>
          <w:sz w:val="28"/>
          <w:szCs w:val="28"/>
        </w:rPr>
        <w:t xml:space="preserve"> </w:t>
      </w:r>
      <w:r w:rsidR="00B03535">
        <w:rPr>
          <w:sz w:val="28"/>
          <w:szCs w:val="28"/>
        </w:rPr>
        <w:t xml:space="preserve">famously </w:t>
      </w:r>
      <w:r w:rsidR="003D7FC0">
        <w:rPr>
          <w:sz w:val="28"/>
          <w:szCs w:val="28"/>
        </w:rPr>
        <w:t>argued</w:t>
      </w:r>
      <w:r w:rsidR="00BF68AC">
        <w:rPr>
          <w:rStyle w:val="FootnoteReference"/>
          <w:sz w:val="28"/>
          <w:szCs w:val="28"/>
        </w:rPr>
        <w:footnoteReference w:id="4"/>
      </w:r>
      <w:r w:rsidR="003D7FC0">
        <w:rPr>
          <w:sz w:val="28"/>
          <w:szCs w:val="28"/>
        </w:rPr>
        <w:t xml:space="preserve">— </w:t>
      </w:r>
      <w:r w:rsidR="000765AB">
        <w:rPr>
          <w:sz w:val="28"/>
          <w:szCs w:val="28"/>
        </w:rPr>
        <w:t>every</w:t>
      </w:r>
      <w:r w:rsidR="00B84824">
        <w:rPr>
          <w:sz w:val="28"/>
          <w:szCs w:val="28"/>
        </w:rPr>
        <w:t xml:space="preserve"> </w:t>
      </w:r>
      <w:r w:rsidR="003D7FC0">
        <w:rPr>
          <w:sz w:val="28"/>
          <w:szCs w:val="28"/>
        </w:rPr>
        <w:t>faculty</w:t>
      </w:r>
      <w:r w:rsidR="00B84824">
        <w:rPr>
          <w:sz w:val="28"/>
          <w:szCs w:val="28"/>
        </w:rPr>
        <w:t>,</w:t>
      </w:r>
      <w:r w:rsidR="003D7FC0">
        <w:rPr>
          <w:sz w:val="28"/>
          <w:szCs w:val="28"/>
        </w:rPr>
        <w:t xml:space="preserve"> </w:t>
      </w:r>
      <w:r w:rsidR="00B84824">
        <w:rPr>
          <w:sz w:val="28"/>
          <w:szCs w:val="28"/>
        </w:rPr>
        <w:t>each</w:t>
      </w:r>
      <w:r w:rsidR="003D7FC0">
        <w:rPr>
          <w:sz w:val="28"/>
          <w:szCs w:val="28"/>
        </w:rPr>
        <w:t xml:space="preserve"> researcher</w:t>
      </w:r>
      <w:r w:rsidR="00946557">
        <w:rPr>
          <w:sz w:val="28"/>
          <w:szCs w:val="28"/>
        </w:rPr>
        <w:t xml:space="preserve"> and </w:t>
      </w:r>
      <w:r w:rsidR="00B84824">
        <w:rPr>
          <w:sz w:val="28"/>
          <w:szCs w:val="28"/>
        </w:rPr>
        <w:t>each</w:t>
      </w:r>
      <w:r w:rsidR="00946557">
        <w:rPr>
          <w:sz w:val="28"/>
          <w:szCs w:val="28"/>
        </w:rPr>
        <w:t xml:space="preserve"> interest group</w:t>
      </w:r>
      <w:r w:rsidR="003D7FC0">
        <w:rPr>
          <w:sz w:val="28"/>
          <w:szCs w:val="28"/>
        </w:rPr>
        <w:t xml:space="preserve"> </w:t>
      </w:r>
      <w:r w:rsidR="00F22B03">
        <w:rPr>
          <w:sz w:val="28"/>
          <w:szCs w:val="28"/>
        </w:rPr>
        <w:t>are on</w:t>
      </w:r>
      <w:r w:rsidR="00D92F5A">
        <w:rPr>
          <w:sz w:val="28"/>
          <w:szCs w:val="28"/>
        </w:rPr>
        <w:t xml:space="preserve"> </w:t>
      </w:r>
      <w:r w:rsidR="003D7FC0">
        <w:rPr>
          <w:sz w:val="28"/>
          <w:szCs w:val="28"/>
        </w:rPr>
        <w:t>autonomous t</w:t>
      </w:r>
      <w:r w:rsidR="00B84824">
        <w:rPr>
          <w:sz w:val="28"/>
          <w:szCs w:val="28"/>
        </w:rPr>
        <w:t>rajector</w:t>
      </w:r>
      <w:r w:rsidR="00D92F5A">
        <w:rPr>
          <w:sz w:val="28"/>
          <w:szCs w:val="28"/>
        </w:rPr>
        <w:t>ies</w:t>
      </w:r>
      <w:r w:rsidR="000765AB">
        <w:rPr>
          <w:sz w:val="28"/>
          <w:szCs w:val="28"/>
        </w:rPr>
        <w:t>. O</w:t>
      </w:r>
      <w:r w:rsidR="003D7FC0">
        <w:rPr>
          <w:sz w:val="28"/>
          <w:szCs w:val="28"/>
        </w:rPr>
        <w:t xml:space="preserve">r so it seems. </w:t>
      </w:r>
      <w:r w:rsidR="008568F1">
        <w:rPr>
          <w:sz w:val="28"/>
          <w:szCs w:val="28"/>
        </w:rPr>
        <w:t>W</w:t>
      </w:r>
      <w:r w:rsidR="003D7FC0">
        <w:rPr>
          <w:sz w:val="28"/>
          <w:szCs w:val="28"/>
        </w:rPr>
        <w:t xml:space="preserve">hat holds </w:t>
      </w:r>
      <w:r w:rsidR="00F22B03">
        <w:rPr>
          <w:sz w:val="28"/>
          <w:szCs w:val="28"/>
        </w:rPr>
        <w:t>it all</w:t>
      </w:r>
      <w:r w:rsidR="008568F1">
        <w:rPr>
          <w:sz w:val="28"/>
          <w:szCs w:val="28"/>
        </w:rPr>
        <w:t xml:space="preserve"> together?</w:t>
      </w:r>
      <w:r w:rsidR="003D7FC0">
        <w:rPr>
          <w:sz w:val="28"/>
          <w:szCs w:val="28"/>
        </w:rPr>
        <w:t xml:space="preserve"> Some </w:t>
      </w:r>
      <w:r w:rsidR="008568F1">
        <w:rPr>
          <w:sz w:val="28"/>
          <w:szCs w:val="28"/>
        </w:rPr>
        <w:t xml:space="preserve">say </w:t>
      </w:r>
      <w:r w:rsidR="003D7FC0">
        <w:rPr>
          <w:sz w:val="28"/>
          <w:szCs w:val="28"/>
        </w:rPr>
        <w:t xml:space="preserve">the </w:t>
      </w:r>
      <w:r w:rsidR="00B84824">
        <w:rPr>
          <w:sz w:val="28"/>
          <w:szCs w:val="28"/>
        </w:rPr>
        <w:t>VC</w:t>
      </w:r>
      <w:r w:rsidR="003D7FC0">
        <w:rPr>
          <w:sz w:val="28"/>
          <w:szCs w:val="28"/>
        </w:rPr>
        <w:t xml:space="preserve">, or the Dean. Others say the </w:t>
      </w:r>
      <w:r w:rsidR="00946557">
        <w:rPr>
          <w:sz w:val="28"/>
          <w:szCs w:val="28"/>
        </w:rPr>
        <w:t xml:space="preserve">global </w:t>
      </w:r>
      <w:r w:rsidR="003D7FC0">
        <w:rPr>
          <w:sz w:val="28"/>
          <w:szCs w:val="28"/>
        </w:rPr>
        <w:t xml:space="preserve">discipline but </w:t>
      </w:r>
      <w:r w:rsidR="000765AB">
        <w:rPr>
          <w:sz w:val="28"/>
          <w:szCs w:val="28"/>
        </w:rPr>
        <w:t>there are many.</w:t>
      </w:r>
      <w:r w:rsidR="003D7FC0">
        <w:rPr>
          <w:sz w:val="28"/>
          <w:szCs w:val="28"/>
        </w:rPr>
        <w:t xml:space="preserve"> </w:t>
      </w:r>
      <w:r w:rsidR="00D92F5A">
        <w:rPr>
          <w:sz w:val="28"/>
          <w:szCs w:val="28"/>
        </w:rPr>
        <w:t xml:space="preserve">I think </w:t>
      </w:r>
      <w:r w:rsidR="008568F1">
        <w:rPr>
          <w:sz w:val="28"/>
          <w:szCs w:val="28"/>
        </w:rPr>
        <w:t>universities</w:t>
      </w:r>
      <w:r w:rsidR="00342F34">
        <w:rPr>
          <w:sz w:val="28"/>
          <w:szCs w:val="28"/>
        </w:rPr>
        <w:t xml:space="preserve"> are unified by</w:t>
      </w:r>
      <w:r w:rsidR="00D92F5A">
        <w:rPr>
          <w:sz w:val="28"/>
          <w:szCs w:val="28"/>
        </w:rPr>
        <w:t xml:space="preserve"> two heterogeneous qualities th</w:t>
      </w:r>
      <w:r w:rsidR="000765AB">
        <w:rPr>
          <w:sz w:val="28"/>
          <w:szCs w:val="28"/>
        </w:rPr>
        <w:t>at th</w:t>
      </w:r>
      <w:r w:rsidR="00D92F5A">
        <w:rPr>
          <w:sz w:val="28"/>
          <w:szCs w:val="28"/>
        </w:rPr>
        <w:t xml:space="preserve">is clever </w:t>
      </w:r>
      <w:r w:rsidR="000765AB">
        <w:rPr>
          <w:sz w:val="28"/>
          <w:szCs w:val="28"/>
        </w:rPr>
        <w:t xml:space="preserve">self-perpetuating </w:t>
      </w:r>
      <w:r w:rsidR="00D92F5A">
        <w:rPr>
          <w:sz w:val="28"/>
          <w:szCs w:val="28"/>
        </w:rPr>
        <w:t xml:space="preserve">institutional form </w:t>
      </w:r>
      <w:r w:rsidR="00EB105D">
        <w:rPr>
          <w:sz w:val="28"/>
          <w:szCs w:val="28"/>
        </w:rPr>
        <w:t xml:space="preserve">brought </w:t>
      </w:r>
      <w:r w:rsidR="000765AB">
        <w:rPr>
          <w:sz w:val="28"/>
          <w:szCs w:val="28"/>
        </w:rPr>
        <w:t>together</w:t>
      </w:r>
      <w:r w:rsidR="00173BAF">
        <w:rPr>
          <w:sz w:val="28"/>
          <w:szCs w:val="28"/>
        </w:rPr>
        <w:t xml:space="preserve"> in medieval Europe</w:t>
      </w:r>
      <w:r w:rsidR="00EB105D">
        <w:rPr>
          <w:sz w:val="28"/>
          <w:szCs w:val="28"/>
        </w:rPr>
        <w:t xml:space="preserve">: </w:t>
      </w:r>
      <w:r w:rsidR="00173BAF">
        <w:rPr>
          <w:sz w:val="28"/>
          <w:szCs w:val="28"/>
        </w:rPr>
        <w:t xml:space="preserve">knowledge, and social </w:t>
      </w:r>
      <w:r w:rsidR="000B45D3">
        <w:rPr>
          <w:sz w:val="28"/>
          <w:szCs w:val="28"/>
        </w:rPr>
        <w:t>weight or gr</w:t>
      </w:r>
      <w:r w:rsidR="00FF74B5">
        <w:rPr>
          <w:sz w:val="28"/>
          <w:szCs w:val="28"/>
        </w:rPr>
        <w:t>avitas</w:t>
      </w:r>
      <w:r w:rsidR="00D92F5A">
        <w:rPr>
          <w:sz w:val="28"/>
          <w:szCs w:val="28"/>
        </w:rPr>
        <w:t xml:space="preserve">. </w:t>
      </w:r>
    </w:p>
    <w:p w14:paraId="67FF6C0B" w14:textId="77777777" w:rsidR="00421C78" w:rsidRDefault="00421C78" w:rsidP="00BE2779">
      <w:pPr>
        <w:spacing w:line="288" w:lineRule="auto"/>
        <w:rPr>
          <w:sz w:val="28"/>
          <w:szCs w:val="28"/>
        </w:rPr>
      </w:pPr>
    </w:p>
    <w:p w14:paraId="4CE0E39F" w14:textId="77777777" w:rsidR="00421C78" w:rsidRDefault="00421C78" w:rsidP="00BE2779">
      <w:pPr>
        <w:spacing w:line="288" w:lineRule="auto"/>
        <w:rPr>
          <w:sz w:val="28"/>
          <w:szCs w:val="28"/>
        </w:rPr>
      </w:pPr>
      <w:r>
        <w:rPr>
          <w:sz w:val="28"/>
          <w:szCs w:val="28"/>
        </w:rPr>
        <w:t>[THE LUCKY COUNTRY]</w:t>
      </w:r>
    </w:p>
    <w:p w14:paraId="70F059AE" w14:textId="77777777" w:rsidR="008568F1" w:rsidRDefault="001959BA" w:rsidP="00BE2779">
      <w:pPr>
        <w:spacing w:line="288" w:lineRule="auto"/>
        <w:rPr>
          <w:sz w:val="28"/>
          <w:szCs w:val="28"/>
        </w:rPr>
      </w:pPr>
      <w:r>
        <w:rPr>
          <w:sz w:val="28"/>
          <w:szCs w:val="28"/>
        </w:rPr>
        <w:t xml:space="preserve">What is Australia, and what are the </w:t>
      </w:r>
      <w:r w:rsidRPr="00BB3B16">
        <w:rPr>
          <w:i/>
          <w:sz w:val="28"/>
          <w:szCs w:val="28"/>
        </w:rPr>
        <w:t>Australian</w:t>
      </w:r>
      <w:r>
        <w:rPr>
          <w:sz w:val="28"/>
          <w:szCs w:val="28"/>
        </w:rPr>
        <w:t xml:space="preserve"> universities? In cultural matters</w:t>
      </w:r>
      <w:r w:rsidR="000765AB">
        <w:rPr>
          <w:sz w:val="28"/>
          <w:szCs w:val="28"/>
        </w:rPr>
        <w:t>,</w:t>
      </w:r>
      <w:r>
        <w:rPr>
          <w:sz w:val="28"/>
          <w:szCs w:val="28"/>
        </w:rPr>
        <w:t xml:space="preserve"> the </w:t>
      </w:r>
      <w:r w:rsidR="00BB3B16">
        <w:rPr>
          <w:sz w:val="28"/>
          <w:szCs w:val="28"/>
        </w:rPr>
        <w:t xml:space="preserve">1960s is the </w:t>
      </w:r>
      <w:r>
        <w:rPr>
          <w:sz w:val="28"/>
          <w:szCs w:val="28"/>
        </w:rPr>
        <w:t>decade on which everything turns</w:t>
      </w:r>
      <w:r w:rsidR="00B706D4">
        <w:rPr>
          <w:sz w:val="28"/>
          <w:szCs w:val="28"/>
        </w:rPr>
        <w:t>. T</w:t>
      </w:r>
      <w:r>
        <w:rPr>
          <w:sz w:val="28"/>
          <w:szCs w:val="28"/>
        </w:rPr>
        <w:t xml:space="preserve">he most insightful book about Australia is Donald Horne’s </w:t>
      </w:r>
      <w:r w:rsidRPr="001959BA">
        <w:rPr>
          <w:i/>
          <w:sz w:val="28"/>
          <w:szCs w:val="28"/>
        </w:rPr>
        <w:t>The Lucky Country</w:t>
      </w:r>
      <w:r w:rsidR="00A65623">
        <w:rPr>
          <w:i/>
          <w:sz w:val="28"/>
          <w:szCs w:val="28"/>
        </w:rPr>
        <w:t>,</w:t>
      </w:r>
      <w:r>
        <w:rPr>
          <w:sz w:val="28"/>
          <w:szCs w:val="28"/>
        </w:rPr>
        <w:t xml:space="preserve"> </w:t>
      </w:r>
      <w:r w:rsidR="00B706D4">
        <w:rPr>
          <w:sz w:val="28"/>
          <w:szCs w:val="28"/>
        </w:rPr>
        <w:t>published</w:t>
      </w:r>
      <w:r>
        <w:rPr>
          <w:sz w:val="28"/>
          <w:szCs w:val="28"/>
        </w:rPr>
        <w:t xml:space="preserve"> in 1964. A best-seller</w:t>
      </w:r>
      <w:r w:rsidR="00577AAE">
        <w:rPr>
          <w:sz w:val="28"/>
          <w:szCs w:val="28"/>
        </w:rPr>
        <w:t>. N</w:t>
      </w:r>
      <w:r>
        <w:rPr>
          <w:sz w:val="28"/>
          <w:szCs w:val="28"/>
        </w:rPr>
        <w:t xml:space="preserve">ot bad for </w:t>
      </w:r>
      <w:r w:rsidR="00131757">
        <w:rPr>
          <w:sz w:val="28"/>
          <w:szCs w:val="28"/>
        </w:rPr>
        <w:t xml:space="preserve">a </w:t>
      </w:r>
      <w:r>
        <w:rPr>
          <w:sz w:val="28"/>
          <w:szCs w:val="28"/>
        </w:rPr>
        <w:t>book about ideas</w:t>
      </w:r>
      <w:r w:rsidR="0056568E">
        <w:rPr>
          <w:sz w:val="28"/>
          <w:szCs w:val="28"/>
        </w:rPr>
        <w:t>,</w:t>
      </w:r>
      <w:r>
        <w:rPr>
          <w:sz w:val="28"/>
          <w:szCs w:val="28"/>
        </w:rPr>
        <w:t xml:space="preserve"> in which the main idea was that the reader </w:t>
      </w:r>
      <w:r w:rsidR="00B34275">
        <w:rPr>
          <w:sz w:val="28"/>
          <w:szCs w:val="28"/>
        </w:rPr>
        <w:t>had no</w:t>
      </w:r>
      <w:r w:rsidR="00B6235A">
        <w:rPr>
          <w:sz w:val="28"/>
          <w:szCs w:val="28"/>
        </w:rPr>
        <w:t xml:space="preserve"> mind! </w:t>
      </w:r>
      <w:r w:rsidR="00A65623">
        <w:rPr>
          <w:sz w:val="28"/>
          <w:szCs w:val="28"/>
        </w:rPr>
        <w:t>H</w:t>
      </w:r>
      <w:r w:rsidR="00375F8B">
        <w:rPr>
          <w:sz w:val="28"/>
          <w:szCs w:val="28"/>
        </w:rPr>
        <w:t xml:space="preserve">e </w:t>
      </w:r>
      <w:r w:rsidR="00A65623">
        <w:rPr>
          <w:sz w:val="28"/>
          <w:szCs w:val="28"/>
        </w:rPr>
        <w:t>wrote</w:t>
      </w:r>
      <w:r w:rsidR="00375F8B">
        <w:rPr>
          <w:sz w:val="28"/>
          <w:szCs w:val="28"/>
        </w:rPr>
        <w:t xml:space="preserve"> about a half-formed national </w:t>
      </w:r>
      <w:r w:rsidR="00BB3B16">
        <w:rPr>
          <w:sz w:val="28"/>
          <w:szCs w:val="28"/>
        </w:rPr>
        <w:t>sensibility</w:t>
      </w:r>
      <w:r w:rsidR="00375F8B">
        <w:rPr>
          <w:sz w:val="28"/>
          <w:szCs w:val="28"/>
        </w:rPr>
        <w:t xml:space="preserve">, </w:t>
      </w:r>
      <w:r w:rsidR="00B34275">
        <w:rPr>
          <w:sz w:val="28"/>
          <w:szCs w:val="28"/>
        </w:rPr>
        <w:t>transferred</w:t>
      </w:r>
      <w:r w:rsidR="00375F8B">
        <w:rPr>
          <w:sz w:val="28"/>
          <w:szCs w:val="28"/>
        </w:rPr>
        <w:t xml:space="preserve"> </w:t>
      </w:r>
      <w:r w:rsidR="00A65623">
        <w:rPr>
          <w:sz w:val="28"/>
          <w:szCs w:val="28"/>
        </w:rPr>
        <w:t>from Britain</w:t>
      </w:r>
      <w:r w:rsidR="00375F8B">
        <w:rPr>
          <w:sz w:val="28"/>
          <w:szCs w:val="28"/>
        </w:rPr>
        <w:t xml:space="preserve"> yet out of </w:t>
      </w:r>
      <w:r w:rsidR="00375F8B" w:rsidRPr="00BB3B16">
        <w:rPr>
          <w:sz w:val="28"/>
          <w:szCs w:val="28"/>
        </w:rPr>
        <w:t xml:space="preserve">sorts </w:t>
      </w:r>
      <w:r w:rsidR="000765AB">
        <w:rPr>
          <w:sz w:val="28"/>
          <w:szCs w:val="28"/>
        </w:rPr>
        <w:t>when it returned to</w:t>
      </w:r>
      <w:r w:rsidR="00375F8B" w:rsidRPr="00BB3B16">
        <w:rPr>
          <w:sz w:val="28"/>
          <w:szCs w:val="28"/>
        </w:rPr>
        <w:t xml:space="preserve"> London, oblivious of its geographical location in Asia on which </w:t>
      </w:r>
      <w:r w:rsidR="00A65623">
        <w:rPr>
          <w:sz w:val="28"/>
          <w:szCs w:val="28"/>
        </w:rPr>
        <w:t xml:space="preserve">its </w:t>
      </w:r>
      <w:r w:rsidR="00BB3B16" w:rsidRPr="00BB3B16">
        <w:rPr>
          <w:sz w:val="28"/>
          <w:szCs w:val="28"/>
        </w:rPr>
        <w:t>future</w:t>
      </w:r>
      <w:r w:rsidR="00375F8B" w:rsidRPr="00BB3B16">
        <w:rPr>
          <w:sz w:val="28"/>
          <w:szCs w:val="28"/>
        </w:rPr>
        <w:t xml:space="preserve"> turned.</w:t>
      </w:r>
      <w:r w:rsidR="005F0A27">
        <w:rPr>
          <w:rStyle w:val="FootnoteReference"/>
          <w:sz w:val="28"/>
          <w:szCs w:val="28"/>
        </w:rPr>
        <w:footnoteReference w:id="5"/>
      </w:r>
      <w:r w:rsidR="00375F8B" w:rsidRPr="00BB3B16">
        <w:rPr>
          <w:sz w:val="28"/>
          <w:szCs w:val="28"/>
        </w:rPr>
        <w:t xml:space="preserve"> </w:t>
      </w:r>
      <w:r w:rsidR="008568F1">
        <w:rPr>
          <w:sz w:val="28"/>
          <w:szCs w:val="28"/>
        </w:rPr>
        <w:t>C</w:t>
      </w:r>
      <w:r w:rsidR="00CF426A">
        <w:rPr>
          <w:sz w:val="28"/>
          <w:szCs w:val="28"/>
        </w:rPr>
        <w:t>lutching the White Australia policy, which Horne campaigned against.</w:t>
      </w:r>
      <w:r w:rsidR="00BE3C60">
        <w:rPr>
          <w:sz w:val="28"/>
          <w:szCs w:val="28"/>
        </w:rPr>
        <w:t xml:space="preserve"> </w:t>
      </w:r>
    </w:p>
    <w:p w14:paraId="2BA8F000" w14:textId="203A4F26" w:rsidR="00D44535" w:rsidRPr="0009513C" w:rsidRDefault="00BB3B16" w:rsidP="00BE2779">
      <w:pPr>
        <w:spacing w:line="288" w:lineRule="auto"/>
        <w:ind w:firstLine="454"/>
        <w:rPr>
          <w:sz w:val="28"/>
          <w:szCs w:val="28"/>
        </w:rPr>
      </w:pPr>
      <w:r>
        <w:rPr>
          <w:sz w:val="28"/>
          <w:szCs w:val="28"/>
        </w:rPr>
        <w:t>‘</w:t>
      </w:r>
      <w:r w:rsidRPr="00BB3B16">
        <w:rPr>
          <w:sz w:val="28"/>
          <w:szCs w:val="28"/>
        </w:rPr>
        <w:t>Australia has not been a country of great innovation or originality</w:t>
      </w:r>
      <w:r>
        <w:rPr>
          <w:sz w:val="28"/>
          <w:szCs w:val="28"/>
        </w:rPr>
        <w:t>, he said. I</w:t>
      </w:r>
      <w:r w:rsidRPr="00BB3B16">
        <w:rPr>
          <w:sz w:val="28"/>
          <w:szCs w:val="28"/>
        </w:rPr>
        <w:t xml:space="preserve">t </w:t>
      </w:r>
      <w:r w:rsidR="00490333">
        <w:rPr>
          <w:sz w:val="28"/>
          <w:szCs w:val="28"/>
        </w:rPr>
        <w:t>improvise</w:t>
      </w:r>
      <w:r w:rsidR="000765AB">
        <w:rPr>
          <w:sz w:val="28"/>
          <w:szCs w:val="28"/>
        </w:rPr>
        <w:t>d well</w:t>
      </w:r>
      <w:r w:rsidR="00490333">
        <w:rPr>
          <w:sz w:val="28"/>
          <w:szCs w:val="28"/>
        </w:rPr>
        <w:t xml:space="preserve"> ‘when pushed’</w:t>
      </w:r>
      <w:r>
        <w:rPr>
          <w:sz w:val="28"/>
          <w:szCs w:val="28"/>
        </w:rPr>
        <w:t>,</w:t>
      </w:r>
      <w:r w:rsidR="00490333">
        <w:rPr>
          <w:rStyle w:val="FootnoteReference"/>
          <w:sz w:val="28"/>
          <w:szCs w:val="28"/>
        </w:rPr>
        <w:footnoteReference w:id="6"/>
      </w:r>
      <w:r>
        <w:rPr>
          <w:sz w:val="28"/>
          <w:szCs w:val="28"/>
        </w:rPr>
        <w:t xml:space="preserve"> but ‘</w:t>
      </w:r>
      <w:r w:rsidRPr="00BB3B16">
        <w:rPr>
          <w:sz w:val="28"/>
          <w:szCs w:val="28"/>
        </w:rPr>
        <w:t xml:space="preserve">has exploited the innovations and </w:t>
      </w:r>
      <w:r w:rsidRPr="00BB3B16">
        <w:rPr>
          <w:sz w:val="28"/>
          <w:szCs w:val="28"/>
        </w:rPr>
        <w:lastRenderedPageBreak/>
        <w:t>originality of others</w:t>
      </w:r>
      <w:r>
        <w:rPr>
          <w:sz w:val="28"/>
          <w:szCs w:val="28"/>
        </w:rPr>
        <w:t>.</w:t>
      </w:r>
      <w:r w:rsidRPr="00BB3B16">
        <w:rPr>
          <w:sz w:val="28"/>
          <w:szCs w:val="28"/>
        </w:rPr>
        <w:t>’</w:t>
      </w:r>
      <w:r>
        <w:rPr>
          <w:rStyle w:val="FootnoteReference"/>
          <w:sz w:val="28"/>
          <w:szCs w:val="28"/>
        </w:rPr>
        <w:footnoteReference w:id="7"/>
      </w:r>
      <w:r>
        <w:rPr>
          <w:sz w:val="28"/>
          <w:szCs w:val="28"/>
        </w:rPr>
        <w:t xml:space="preserve"> </w:t>
      </w:r>
      <w:r w:rsidR="00CF426A">
        <w:rPr>
          <w:sz w:val="28"/>
          <w:szCs w:val="28"/>
        </w:rPr>
        <w:t>‘Dependent, second-hand, second rate.’</w:t>
      </w:r>
      <w:r w:rsidR="00CC186B">
        <w:rPr>
          <w:rStyle w:val="FootnoteReference"/>
          <w:sz w:val="28"/>
          <w:szCs w:val="28"/>
        </w:rPr>
        <w:footnoteReference w:id="8"/>
      </w:r>
      <w:r w:rsidR="00CC186B">
        <w:rPr>
          <w:sz w:val="28"/>
          <w:szCs w:val="28"/>
        </w:rPr>
        <w:t xml:space="preserve"> </w:t>
      </w:r>
      <w:r w:rsidR="00B34275">
        <w:rPr>
          <w:sz w:val="28"/>
          <w:szCs w:val="28"/>
        </w:rPr>
        <w:t xml:space="preserve">It was also profoundly </w:t>
      </w:r>
      <w:proofErr w:type="spellStart"/>
      <w:r w:rsidR="00B34275">
        <w:rPr>
          <w:sz w:val="28"/>
          <w:szCs w:val="28"/>
        </w:rPr>
        <w:t>rejective</w:t>
      </w:r>
      <w:proofErr w:type="spellEnd"/>
      <w:r w:rsidR="00B34275">
        <w:rPr>
          <w:sz w:val="28"/>
          <w:szCs w:val="28"/>
        </w:rPr>
        <w:t xml:space="preserve"> of ideas and intellectuals.</w:t>
      </w:r>
      <w:r w:rsidR="008568F1">
        <w:rPr>
          <w:sz w:val="28"/>
          <w:szCs w:val="28"/>
        </w:rPr>
        <w:t xml:space="preserve"> </w:t>
      </w:r>
      <w:r w:rsidR="00177772">
        <w:rPr>
          <w:sz w:val="28"/>
          <w:szCs w:val="28"/>
        </w:rPr>
        <w:t>Horne’s explanation for Australian anti-intellectualism had two strands.</w:t>
      </w:r>
      <w:r w:rsidR="00401834">
        <w:rPr>
          <w:sz w:val="28"/>
          <w:szCs w:val="28"/>
        </w:rPr>
        <w:t xml:space="preserve"> And this might still be relevant.</w:t>
      </w:r>
      <w:r w:rsidR="00177772">
        <w:rPr>
          <w:sz w:val="28"/>
          <w:szCs w:val="28"/>
        </w:rPr>
        <w:t xml:space="preserve"> First, Australians had a deeply inlaid scepticism. It made them practical, less prone to self-delusion, and notoriously philistine.</w:t>
      </w:r>
      <w:r w:rsidR="00177772">
        <w:rPr>
          <w:rStyle w:val="FootnoteReference"/>
          <w:sz w:val="28"/>
          <w:szCs w:val="28"/>
        </w:rPr>
        <w:footnoteReference w:id="9"/>
      </w:r>
      <w:r w:rsidR="00177772">
        <w:rPr>
          <w:sz w:val="28"/>
          <w:szCs w:val="28"/>
        </w:rPr>
        <w:t xml:space="preserve"> Their </w:t>
      </w:r>
      <w:proofErr w:type="gramStart"/>
      <w:r w:rsidR="00177772">
        <w:rPr>
          <w:sz w:val="28"/>
          <w:szCs w:val="28"/>
        </w:rPr>
        <w:t>instinct  was</w:t>
      </w:r>
      <w:proofErr w:type="gramEnd"/>
      <w:r w:rsidR="00177772">
        <w:rPr>
          <w:sz w:val="28"/>
          <w:szCs w:val="28"/>
        </w:rPr>
        <w:t xml:space="preserve"> to ridicule authority and any claim to distinction or even complexity. Second, Australians also had ‘a passion for egalitarianism’ that translated </w:t>
      </w:r>
      <w:r w:rsidR="008D5B63">
        <w:rPr>
          <w:sz w:val="28"/>
          <w:szCs w:val="28"/>
        </w:rPr>
        <w:t xml:space="preserve">not into wanting everybody to be clever, but </w:t>
      </w:r>
      <w:r w:rsidR="00177772">
        <w:rPr>
          <w:sz w:val="28"/>
          <w:szCs w:val="28"/>
        </w:rPr>
        <w:t>into ‘dislike of cleverness’</w:t>
      </w:r>
      <w:r w:rsidR="008D5B63">
        <w:rPr>
          <w:sz w:val="28"/>
          <w:szCs w:val="28"/>
        </w:rPr>
        <w:t>, with its power to calibrate the group</w:t>
      </w:r>
      <w:r w:rsidR="00177772">
        <w:rPr>
          <w:sz w:val="28"/>
          <w:szCs w:val="28"/>
        </w:rPr>
        <w:t xml:space="preserve">. The meld of scepticism and egalitarianism led Australians to hide </w:t>
      </w:r>
      <w:r w:rsidR="005E71FF">
        <w:rPr>
          <w:sz w:val="28"/>
          <w:szCs w:val="28"/>
        </w:rPr>
        <w:t xml:space="preserve">their own </w:t>
      </w:r>
      <w:r w:rsidR="00177772">
        <w:rPr>
          <w:sz w:val="28"/>
          <w:szCs w:val="28"/>
        </w:rPr>
        <w:t>talent, to frustrate talent in others, to distrust experts and ‘to oversimplify even the simplest issues’.</w:t>
      </w:r>
      <w:r w:rsidR="00177772">
        <w:rPr>
          <w:rStyle w:val="FootnoteReference"/>
          <w:sz w:val="28"/>
          <w:szCs w:val="28"/>
        </w:rPr>
        <w:footnoteReference w:id="10"/>
      </w:r>
      <w:r w:rsidR="00177772">
        <w:rPr>
          <w:sz w:val="28"/>
          <w:szCs w:val="28"/>
        </w:rPr>
        <w:t xml:space="preserve"> </w:t>
      </w:r>
      <w:r w:rsidR="008A1501">
        <w:rPr>
          <w:sz w:val="28"/>
          <w:szCs w:val="28"/>
        </w:rPr>
        <w:t xml:space="preserve">Talented </w:t>
      </w:r>
      <w:r w:rsidR="00814EA4">
        <w:rPr>
          <w:sz w:val="28"/>
          <w:szCs w:val="28"/>
        </w:rPr>
        <w:t xml:space="preserve">Australians, said Horne, </w:t>
      </w:r>
      <w:r w:rsidR="00CE0E65">
        <w:rPr>
          <w:sz w:val="28"/>
          <w:szCs w:val="28"/>
        </w:rPr>
        <w:t>had</w:t>
      </w:r>
      <w:r w:rsidR="00814EA4">
        <w:rPr>
          <w:sz w:val="28"/>
          <w:szCs w:val="28"/>
        </w:rPr>
        <w:t xml:space="preserve"> ‘to appear ordinary, just like everybody else’ or </w:t>
      </w:r>
      <w:r w:rsidR="00213D0D">
        <w:rPr>
          <w:sz w:val="28"/>
          <w:szCs w:val="28"/>
        </w:rPr>
        <w:t xml:space="preserve">they were </w:t>
      </w:r>
      <w:r w:rsidR="00814EA4">
        <w:rPr>
          <w:sz w:val="28"/>
          <w:szCs w:val="28"/>
        </w:rPr>
        <w:t>stigmatized</w:t>
      </w:r>
      <w:r w:rsidR="00213D0D">
        <w:rPr>
          <w:sz w:val="28"/>
          <w:szCs w:val="28"/>
        </w:rPr>
        <w:t xml:space="preserve"> </w:t>
      </w:r>
      <w:r w:rsidR="00814EA4">
        <w:rPr>
          <w:sz w:val="28"/>
          <w:szCs w:val="28"/>
        </w:rPr>
        <w:t>as ‘not practical’</w:t>
      </w:r>
      <w:r w:rsidR="008568F1">
        <w:rPr>
          <w:sz w:val="28"/>
          <w:szCs w:val="28"/>
        </w:rPr>
        <w:t xml:space="preserve">, except sometimes, </w:t>
      </w:r>
      <w:r w:rsidR="00BA2C7A" w:rsidRPr="0009513C">
        <w:rPr>
          <w:sz w:val="28"/>
          <w:szCs w:val="28"/>
        </w:rPr>
        <w:t>in the arts and science.</w:t>
      </w:r>
      <w:r w:rsidR="004E35D5">
        <w:rPr>
          <w:sz w:val="28"/>
          <w:szCs w:val="28"/>
        </w:rPr>
        <w:t xml:space="preserve"> </w:t>
      </w:r>
    </w:p>
    <w:p w14:paraId="4F52118C" w14:textId="6EE9FE14" w:rsidR="0009513C" w:rsidRDefault="00BA2C7A" w:rsidP="00BE2779">
      <w:pPr>
        <w:spacing w:line="288" w:lineRule="auto"/>
        <w:rPr>
          <w:sz w:val="28"/>
          <w:szCs w:val="28"/>
        </w:rPr>
      </w:pPr>
      <w:r w:rsidRPr="0009513C">
        <w:rPr>
          <w:sz w:val="28"/>
          <w:szCs w:val="28"/>
        </w:rPr>
        <w:tab/>
        <w:t xml:space="preserve">If science was </w:t>
      </w:r>
      <w:r w:rsidR="00BD6731">
        <w:rPr>
          <w:sz w:val="28"/>
          <w:szCs w:val="28"/>
        </w:rPr>
        <w:t>a partial</w:t>
      </w:r>
      <w:r w:rsidRPr="0009513C">
        <w:rPr>
          <w:sz w:val="28"/>
          <w:szCs w:val="28"/>
        </w:rPr>
        <w:t xml:space="preserve"> exception to </w:t>
      </w:r>
      <w:r w:rsidR="00177772">
        <w:rPr>
          <w:sz w:val="28"/>
          <w:szCs w:val="28"/>
        </w:rPr>
        <w:t>t</w:t>
      </w:r>
      <w:r w:rsidR="00131757">
        <w:rPr>
          <w:sz w:val="28"/>
          <w:szCs w:val="28"/>
        </w:rPr>
        <w:t>his</w:t>
      </w:r>
      <w:r w:rsidRPr="0009513C">
        <w:rPr>
          <w:sz w:val="28"/>
          <w:szCs w:val="28"/>
        </w:rPr>
        <w:t xml:space="preserve"> harsh verdict</w:t>
      </w:r>
      <w:r w:rsidR="000765AB">
        <w:rPr>
          <w:sz w:val="28"/>
          <w:szCs w:val="28"/>
        </w:rPr>
        <w:t xml:space="preserve"> the</w:t>
      </w:r>
      <w:r w:rsidRPr="0009513C">
        <w:rPr>
          <w:sz w:val="28"/>
          <w:szCs w:val="28"/>
        </w:rPr>
        <w:t xml:space="preserve"> universities were not. </w:t>
      </w:r>
      <w:r w:rsidR="0009513C">
        <w:rPr>
          <w:sz w:val="28"/>
          <w:szCs w:val="28"/>
        </w:rPr>
        <w:t xml:space="preserve">The humanities </w:t>
      </w:r>
      <w:r w:rsidR="008568F1">
        <w:rPr>
          <w:sz w:val="28"/>
          <w:szCs w:val="28"/>
        </w:rPr>
        <w:t>were not</w:t>
      </w:r>
      <w:r w:rsidR="0009513C">
        <w:rPr>
          <w:sz w:val="28"/>
          <w:szCs w:val="28"/>
        </w:rPr>
        <w:t xml:space="preserve"> </w:t>
      </w:r>
      <w:r w:rsidR="00213D0D">
        <w:rPr>
          <w:sz w:val="28"/>
          <w:szCs w:val="28"/>
        </w:rPr>
        <w:t>‘</w:t>
      </w:r>
      <w:r w:rsidR="0009513C">
        <w:rPr>
          <w:sz w:val="28"/>
          <w:szCs w:val="28"/>
        </w:rPr>
        <w:t>invigorating</w:t>
      </w:r>
      <w:r w:rsidR="004E35D5">
        <w:rPr>
          <w:sz w:val="28"/>
          <w:szCs w:val="28"/>
        </w:rPr>
        <w:t>’</w:t>
      </w:r>
      <w:proofErr w:type="gramStart"/>
      <w:r w:rsidR="004E35D5">
        <w:rPr>
          <w:sz w:val="28"/>
          <w:szCs w:val="28"/>
        </w:rPr>
        <w:t>—‘</w:t>
      </w:r>
      <w:proofErr w:type="gramEnd"/>
      <w:r w:rsidR="004E35D5">
        <w:rPr>
          <w:sz w:val="28"/>
          <w:szCs w:val="28"/>
        </w:rPr>
        <w:t xml:space="preserve">the </w:t>
      </w:r>
      <w:r w:rsidR="0009513C" w:rsidRPr="0009513C">
        <w:rPr>
          <w:sz w:val="28"/>
          <w:szCs w:val="28"/>
        </w:rPr>
        <w:t>middle ranges are adequate but there is nothing much at the top</w:t>
      </w:r>
      <w:r w:rsidR="0009513C">
        <w:rPr>
          <w:sz w:val="28"/>
          <w:szCs w:val="28"/>
        </w:rPr>
        <w:t>.</w:t>
      </w:r>
      <w:r w:rsidR="0009513C" w:rsidRPr="0009513C">
        <w:rPr>
          <w:sz w:val="28"/>
          <w:szCs w:val="28"/>
        </w:rPr>
        <w:t>’</w:t>
      </w:r>
      <w:r w:rsidR="0009513C">
        <w:rPr>
          <w:rStyle w:val="FootnoteReference"/>
          <w:sz w:val="28"/>
          <w:szCs w:val="28"/>
        </w:rPr>
        <w:footnoteReference w:id="11"/>
      </w:r>
      <w:r w:rsidR="0009513C">
        <w:rPr>
          <w:sz w:val="28"/>
          <w:szCs w:val="28"/>
        </w:rPr>
        <w:t xml:space="preserve"> Australia produced</w:t>
      </w:r>
      <w:r w:rsidR="0009513C" w:rsidRPr="0009513C">
        <w:rPr>
          <w:sz w:val="28"/>
          <w:szCs w:val="28"/>
        </w:rPr>
        <w:t xml:space="preserve"> </w:t>
      </w:r>
      <w:r w:rsidR="0009513C">
        <w:rPr>
          <w:sz w:val="28"/>
          <w:szCs w:val="28"/>
        </w:rPr>
        <w:t>‘</w:t>
      </w:r>
      <w:r w:rsidR="0009513C" w:rsidRPr="0009513C">
        <w:rPr>
          <w:sz w:val="28"/>
          <w:szCs w:val="28"/>
        </w:rPr>
        <w:t>the smallest proportion</w:t>
      </w:r>
      <w:r w:rsidR="0009513C">
        <w:rPr>
          <w:sz w:val="28"/>
          <w:szCs w:val="28"/>
        </w:rPr>
        <w:t>’</w:t>
      </w:r>
      <w:r w:rsidR="0009513C" w:rsidRPr="0009513C">
        <w:rPr>
          <w:sz w:val="28"/>
          <w:szCs w:val="28"/>
        </w:rPr>
        <w:t xml:space="preserve"> of </w:t>
      </w:r>
      <w:r w:rsidR="0009513C">
        <w:rPr>
          <w:sz w:val="28"/>
          <w:szCs w:val="28"/>
        </w:rPr>
        <w:t>science and engineering</w:t>
      </w:r>
      <w:r w:rsidR="0009513C" w:rsidRPr="0009513C">
        <w:rPr>
          <w:sz w:val="28"/>
          <w:szCs w:val="28"/>
        </w:rPr>
        <w:t xml:space="preserve"> graduates </w:t>
      </w:r>
      <w:r w:rsidR="0009513C">
        <w:rPr>
          <w:sz w:val="28"/>
          <w:szCs w:val="28"/>
        </w:rPr>
        <w:t>‘</w:t>
      </w:r>
      <w:r w:rsidR="0009513C" w:rsidRPr="0009513C">
        <w:rPr>
          <w:sz w:val="28"/>
          <w:szCs w:val="28"/>
        </w:rPr>
        <w:t>among the prosperous nations’</w:t>
      </w:r>
      <w:r w:rsidR="00251B39">
        <w:rPr>
          <w:sz w:val="28"/>
          <w:szCs w:val="28"/>
        </w:rPr>
        <w:t>.</w:t>
      </w:r>
      <w:r w:rsidR="0009513C">
        <w:rPr>
          <w:rStyle w:val="FootnoteReference"/>
          <w:sz w:val="28"/>
          <w:szCs w:val="28"/>
        </w:rPr>
        <w:footnoteReference w:id="12"/>
      </w:r>
      <w:r w:rsidR="00251B39">
        <w:rPr>
          <w:sz w:val="28"/>
          <w:szCs w:val="28"/>
        </w:rPr>
        <w:t xml:space="preserve"> ‘</w:t>
      </w:r>
      <w:r w:rsidR="0009513C" w:rsidRPr="0009513C">
        <w:rPr>
          <w:sz w:val="28"/>
          <w:szCs w:val="28"/>
        </w:rPr>
        <w:t>There are many Australians who know how to conduct research; many of the best go overseas</w:t>
      </w:r>
      <w:r w:rsidR="00131757">
        <w:rPr>
          <w:sz w:val="28"/>
          <w:szCs w:val="28"/>
        </w:rPr>
        <w:t>’, he said.</w:t>
      </w:r>
      <w:r w:rsidR="00251B39">
        <w:rPr>
          <w:rStyle w:val="FootnoteReference"/>
          <w:sz w:val="28"/>
          <w:szCs w:val="28"/>
        </w:rPr>
        <w:footnoteReference w:id="13"/>
      </w:r>
      <w:r w:rsidR="00251B39">
        <w:rPr>
          <w:sz w:val="28"/>
          <w:szCs w:val="28"/>
        </w:rPr>
        <w:t xml:space="preserve"> </w:t>
      </w:r>
      <w:r w:rsidR="00BD6731">
        <w:rPr>
          <w:sz w:val="28"/>
          <w:szCs w:val="28"/>
        </w:rPr>
        <w:t>R&amp;D spending was abysmal</w:t>
      </w:r>
      <w:r w:rsidR="004E35D5">
        <w:rPr>
          <w:sz w:val="28"/>
          <w:szCs w:val="28"/>
        </w:rPr>
        <w:t>ly low</w:t>
      </w:r>
      <w:r w:rsidR="00BD6731">
        <w:rPr>
          <w:sz w:val="28"/>
          <w:szCs w:val="28"/>
        </w:rPr>
        <w:t xml:space="preserve">. </w:t>
      </w:r>
    </w:p>
    <w:p w14:paraId="7C813AE0" w14:textId="77777777" w:rsidR="008A3418" w:rsidRDefault="00BD6731" w:rsidP="00BE2779">
      <w:pPr>
        <w:spacing w:line="288" w:lineRule="auto"/>
        <w:rPr>
          <w:sz w:val="28"/>
          <w:szCs w:val="28"/>
        </w:rPr>
      </w:pPr>
      <w:r>
        <w:rPr>
          <w:sz w:val="28"/>
          <w:szCs w:val="28"/>
        </w:rPr>
        <w:tab/>
        <w:t xml:space="preserve">Horne </w:t>
      </w:r>
      <w:r w:rsidR="000765AB">
        <w:rPr>
          <w:sz w:val="28"/>
          <w:szCs w:val="28"/>
        </w:rPr>
        <w:t>knew less</w:t>
      </w:r>
      <w:r>
        <w:rPr>
          <w:sz w:val="28"/>
          <w:szCs w:val="28"/>
        </w:rPr>
        <w:t xml:space="preserve"> about the universities and research</w:t>
      </w:r>
      <w:r w:rsidR="000765AB">
        <w:rPr>
          <w:sz w:val="28"/>
          <w:szCs w:val="28"/>
        </w:rPr>
        <w:t xml:space="preserve"> than </w:t>
      </w:r>
      <w:r w:rsidR="0076278A">
        <w:rPr>
          <w:sz w:val="28"/>
          <w:szCs w:val="28"/>
        </w:rPr>
        <w:t xml:space="preserve">the </w:t>
      </w:r>
      <w:r w:rsidR="000765AB">
        <w:rPr>
          <w:sz w:val="28"/>
          <w:szCs w:val="28"/>
        </w:rPr>
        <w:t>media</w:t>
      </w:r>
      <w:r w:rsidR="0076278A">
        <w:rPr>
          <w:sz w:val="28"/>
          <w:szCs w:val="28"/>
        </w:rPr>
        <w:t>, society</w:t>
      </w:r>
      <w:r w:rsidR="00177772">
        <w:rPr>
          <w:sz w:val="28"/>
          <w:szCs w:val="28"/>
        </w:rPr>
        <w:t>, politics</w:t>
      </w:r>
      <w:r w:rsidR="000765AB">
        <w:rPr>
          <w:sz w:val="28"/>
          <w:szCs w:val="28"/>
        </w:rPr>
        <w:t xml:space="preserve"> and public life</w:t>
      </w:r>
      <w:r>
        <w:rPr>
          <w:sz w:val="28"/>
          <w:szCs w:val="28"/>
        </w:rPr>
        <w:t xml:space="preserve">. </w:t>
      </w:r>
      <w:r w:rsidR="00177772">
        <w:rPr>
          <w:sz w:val="28"/>
          <w:szCs w:val="28"/>
        </w:rPr>
        <w:t xml:space="preserve">At the very </w:t>
      </w:r>
      <w:proofErr w:type="gramStart"/>
      <w:r w:rsidR="00177772">
        <w:rPr>
          <w:sz w:val="28"/>
          <w:szCs w:val="28"/>
        </w:rPr>
        <w:t>time</w:t>
      </w:r>
      <w:proofErr w:type="gramEnd"/>
      <w:r w:rsidR="00177772">
        <w:rPr>
          <w:sz w:val="28"/>
          <w:szCs w:val="28"/>
        </w:rPr>
        <w:t xml:space="preserve"> </w:t>
      </w:r>
      <w:r w:rsidR="00131757">
        <w:rPr>
          <w:sz w:val="28"/>
          <w:szCs w:val="28"/>
        </w:rPr>
        <w:t xml:space="preserve">he was writing </w:t>
      </w:r>
      <w:r w:rsidR="00177772">
        <w:rPr>
          <w:sz w:val="28"/>
          <w:szCs w:val="28"/>
        </w:rPr>
        <w:t xml:space="preserve">Australian universities were </w:t>
      </w:r>
      <w:r w:rsidR="008568F1">
        <w:rPr>
          <w:sz w:val="28"/>
          <w:szCs w:val="28"/>
        </w:rPr>
        <w:t>expanding rapidly and m</w:t>
      </w:r>
      <w:r w:rsidR="0076278A">
        <w:rPr>
          <w:sz w:val="28"/>
          <w:szCs w:val="28"/>
        </w:rPr>
        <w:t xml:space="preserve">edical research, led by Wright, Macfarlane Burnet and others, </w:t>
      </w:r>
      <w:r w:rsidR="0043558E">
        <w:rPr>
          <w:sz w:val="28"/>
          <w:szCs w:val="28"/>
        </w:rPr>
        <w:t xml:space="preserve">was </w:t>
      </w:r>
      <w:r w:rsidR="0076278A">
        <w:rPr>
          <w:sz w:val="28"/>
          <w:szCs w:val="28"/>
        </w:rPr>
        <w:t>beginning to flourish</w:t>
      </w:r>
      <w:r>
        <w:rPr>
          <w:sz w:val="28"/>
          <w:szCs w:val="28"/>
        </w:rPr>
        <w:t xml:space="preserve">. Yet </w:t>
      </w:r>
      <w:r w:rsidR="0076278A">
        <w:rPr>
          <w:sz w:val="28"/>
          <w:szCs w:val="28"/>
        </w:rPr>
        <w:t>Horne’s</w:t>
      </w:r>
      <w:r>
        <w:rPr>
          <w:sz w:val="28"/>
          <w:szCs w:val="28"/>
        </w:rPr>
        <w:t xml:space="preserve"> larger argument </w:t>
      </w:r>
      <w:r w:rsidR="008568F1">
        <w:rPr>
          <w:sz w:val="28"/>
          <w:szCs w:val="28"/>
        </w:rPr>
        <w:t>is</w:t>
      </w:r>
      <w:r w:rsidR="00131757">
        <w:rPr>
          <w:sz w:val="28"/>
          <w:szCs w:val="28"/>
        </w:rPr>
        <w:t xml:space="preserve"> not</w:t>
      </w:r>
      <w:r>
        <w:rPr>
          <w:sz w:val="28"/>
          <w:szCs w:val="28"/>
        </w:rPr>
        <w:t xml:space="preserve"> </w:t>
      </w:r>
      <w:r w:rsidR="007A6EB6">
        <w:rPr>
          <w:sz w:val="28"/>
          <w:szCs w:val="28"/>
        </w:rPr>
        <w:t xml:space="preserve">so </w:t>
      </w:r>
      <w:r>
        <w:rPr>
          <w:sz w:val="28"/>
          <w:szCs w:val="28"/>
        </w:rPr>
        <w:t xml:space="preserve">easy to dismiss. </w:t>
      </w:r>
      <w:r w:rsidR="00C726BB">
        <w:rPr>
          <w:sz w:val="28"/>
          <w:szCs w:val="28"/>
        </w:rPr>
        <w:t>‘Intellectuals’, ‘as a strong and publicly influential type of person… do not exist’</w:t>
      </w:r>
      <w:r w:rsidR="008568F1">
        <w:rPr>
          <w:sz w:val="28"/>
          <w:szCs w:val="28"/>
        </w:rPr>
        <w:t>, he said.</w:t>
      </w:r>
      <w:r w:rsidR="00C726BB">
        <w:rPr>
          <w:rStyle w:val="FootnoteReference"/>
          <w:sz w:val="28"/>
          <w:szCs w:val="28"/>
        </w:rPr>
        <w:footnoteReference w:id="14"/>
      </w:r>
      <w:r w:rsidR="00C726BB">
        <w:rPr>
          <w:sz w:val="28"/>
          <w:szCs w:val="28"/>
        </w:rPr>
        <w:t xml:space="preserve"> </w:t>
      </w:r>
      <w:r w:rsidR="00014F52">
        <w:rPr>
          <w:sz w:val="28"/>
          <w:szCs w:val="28"/>
        </w:rPr>
        <w:t>Australia largely</w:t>
      </w:r>
      <w:r w:rsidR="00C726BB">
        <w:rPr>
          <w:sz w:val="28"/>
          <w:szCs w:val="28"/>
        </w:rPr>
        <w:t xml:space="preserve"> lack</w:t>
      </w:r>
      <w:r w:rsidR="00014F52">
        <w:rPr>
          <w:sz w:val="28"/>
          <w:szCs w:val="28"/>
        </w:rPr>
        <w:t>ed</w:t>
      </w:r>
      <w:r w:rsidR="00C726BB">
        <w:rPr>
          <w:sz w:val="28"/>
          <w:szCs w:val="28"/>
        </w:rPr>
        <w:t xml:space="preserve"> </w:t>
      </w:r>
      <w:r w:rsidR="0076278A">
        <w:rPr>
          <w:sz w:val="28"/>
          <w:szCs w:val="28"/>
        </w:rPr>
        <w:t>a</w:t>
      </w:r>
      <w:r w:rsidR="00C726BB">
        <w:rPr>
          <w:sz w:val="28"/>
          <w:szCs w:val="28"/>
        </w:rPr>
        <w:t xml:space="preserve"> </w:t>
      </w:r>
      <w:r w:rsidR="0076278A">
        <w:rPr>
          <w:sz w:val="28"/>
          <w:szCs w:val="28"/>
        </w:rPr>
        <w:t>public sphere</w:t>
      </w:r>
      <w:r w:rsidR="009D10A5">
        <w:rPr>
          <w:sz w:val="28"/>
          <w:szCs w:val="28"/>
        </w:rPr>
        <w:t xml:space="preserve"> in the sense of </w:t>
      </w:r>
      <w:proofErr w:type="spellStart"/>
      <w:r w:rsidR="009D10A5">
        <w:rPr>
          <w:sz w:val="28"/>
          <w:szCs w:val="28"/>
        </w:rPr>
        <w:t>Jurgen</w:t>
      </w:r>
      <w:proofErr w:type="spellEnd"/>
      <w:r w:rsidR="009D10A5">
        <w:rPr>
          <w:sz w:val="28"/>
          <w:szCs w:val="28"/>
        </w:rPr>
        <w:t xml:space="preserve"> </w:t>
      </w:r>
      <w:proofErr w:type="spellStart"/>
      <w:r w:rsidR="009D10A5">
        <w:rPr>
          <w:sz w:val="28"/>
          <w:szCs w:val="28"/>
        </w:rPr>
        <w:t>Habermas</w:t>
      </w:r>
      <w:proofErr w:type="spellEnd"/>
      <w:r w:rsidR="009D10A5">
        <w:rPr>
          <w:sz w:val="28"/>
          <w:szCs w:val="28"/>
        </w:rPr>
        <w:t xml:space="preserve">, </w:t>
      </w:r>
      <w:r w:rsidR="0076278A">
        <w:rPr>
          <w:sz w:val="28"/>
          <w:szCs w:val="28"/>
        </w:rPr>
        <w:t>the</w:t>
      </w:r>
      <w:r w:rsidR="009D10A5">
        <w:rPr>
          <w:sz w:val="28"/>
          <w:szCs w:val="28"/>
        </w:rPr>
        <w:t xml:space="preserve"> </w:t>
      </w:r>
      <w:r w:rsidR="008A3418">
        <w:rPr>
          <w:sz w:val="28"/>
          <w:szCs w:val="28"/>
        </w:rPr>
        <w:t>network</w:t>
      </w:r>
      <w:r w:rsidR="00131757">
        <w:rPr>
          <w:sz w:val="28"/>
          <w:szCs w:val="28"/>
        </w:rPr>
        <w:t xml:space="preserve"> </w:t>
      </w:r>
      <w:r w:rsidR="0076278A">
        <w:rPr>
          <w:sz w:val="28"/>
          <w:szCs w:val="28"/>
        </w:rPr>
        <w:t xml:space="preserve">of </w:t>
      </w:r>
      <w:r w:rsidR="00B52375">
        <w:rPr>
          <w:sz w:val="28"/>
          <w:szCs w:val="28"/>
        </w:rPr>
        <w:t>critical inte</w:t>
      </w:r>
      <w:r w:rsidR="007D45FD">
        <w:rPr>
          <w:sz w:val="28"/>
          <w:szCs w:val="28"/>
        </w:rPr>
        <w:t>l</w:t>
      </w:r>
      <w:r w:rsidR="00B52375">
        <w:rPr>
          <w:sz w:val="28"/>
          <w:szCs w:val="28"/>
        </w:rPr>
        <w:t>lectuals</w:t>
      </w:r>
      <w:r w:rsidR="007D45FD">
        <w:rPr>
          <w:sz w:val="28"/>
          <w:szCs w:val="28"/>
        </w:rPr>
        <w:t>, interest groups</w:t>
      </w:r>
      <w:r w:rsidR="0076278A">
        <w:rPr>
          <w:sz w:val="28"/>
          <w:szCs w:val="28"/>
        </w:rPr>
        <w:t xml:space="preserve"> and strategic thinkers</w:t>
      </w:r>
      <w:r w:rsidR="009D10A5">
        <w:rPr>
          <w:sz w:val="28"/>
          <w:szCs w:val="28"/>
        </w:rPr>
        <w:t xml:space="preserve"> </w:t>
      </w:r>
      <w:r w:rsidR="0076278A">
        <w:rPr>
          <w:sz w:val="28"/>
          <w:szCs w:val="28"/>
        </w:rPr>
        <w:t>at the edge of the state</w:t>
      </w:r>
      <w:r w:rsidR="007D45FD">
        <w:rPr>
          <w:sz w:val="28"/>
          <w:szCs w:val="28"/>
        </w:rPr>
        <w:t xml:space="preserve">. </w:t>
      </w:r>
      <w:r w:rsidR="007D45FD">
        <w:rPr>
          <w:sz w:val="28"/>
          <w:szCs w:val="28"/>
        </w:rPr>
        <w:lastRenderedPageBreak/>
        <w:t>The absence of the public sphere</w:t>
      </w:r>
      <w:r w:rsidR="009D10A5">
        <w:rPr>
          <w:sz w:val="28"/>
          <w:szCs w:val="28"/>
        </w:rPr>
        <w:t xml:space="preserve"> </w:t>
      </w:r>
      <w:r w:rsidR="00EE5894">
        <w:rPr>
          <w:sz w:val="28"/>
          <w:szCs w:val="28"/>
        </w:rPr>
        <w:t xml:space="preserve">left a </w:t>
      </w:r>
      <w:r w:rsidR="0076278A">
        <w:rPr>
          <w:sz w:val="28"/>
          <w:szCs w:val="28"/>
        </w:rPr>
        <w:t>gulf</w:t>
      </w:r>
      <w:r w:rsidR="00C726BB">
        <w:rPr>
          <w:sz w:val="28"/>
          <w:szCs w:val="28"/>
        </w:rPr>
        <w:t xml:space="preserve"> between </w:t>
      </w:r>
      <w:r w:rsidR="0076278A">
        <w:rPr>
          <w:sz w:val="28"/>
          <w:szCs w:val="28"/>
        </w:rPr>
        <w:t>campus</w:t>
      </w:r>
      <w:r w:rsidR="00C726BB">
        <w:rPr>
          <w:sz w:val="28"/>
          <w:szCs w:val="28"/>
        </w:rPr>
        <w:t xml:space="preserve"> and government</w:t>
      </w:r>
      <w:r w:rsidR="008A3418">
        <w:rPr>
          <w:sz w:val="28"/>
          <w:szCs w:val="28"/>
        </w:rPr>
        <w:t>, and</w:t>
      </w:r>
      <w:r w:rsidR="00301B05">
        <w:rPr>
          <w:sz w:val="28"/>
          <w:szCs w:val="28"/>
        </w:rPr>
        <w:t xml:space="preserve"> in</w:t>
      </w:r>
      <w:r w:rsidR="00C726BB">
        <w:rPr>
          <w:sz w:val="28"/>
          <w:szCs w:val="28"/>
        </w:rPr>
        <w:t xml:space="preserve"> government</w:t>
      </w:r>
      <w:r w:rsidR="00301B05">
        <w:rPr>
          <w:sz w:val="28"/>
          <w:szCs w:val="28"/>
        </w:rPr>
        <w:t>,</w:t>
      </w:r>
      <w:r w:rsidR="0076278A">
        <w:rPr>
          <w:sz w:val="28"/>
          <w:szCs w:val="28"/>
        </w:rPr>
        <w:t xml:space="preserve"> said Horne,</w:t>
      </w:r>
      <w:r w:rsidR="00301B05">
        <w:rPr>
          <w:sz w:val="28"/>
          <w:szCs w:val="28"/>
        </w:rPr>
        <w:t xml:space="preserve"> </w:t>
      </w:r>
      <w:r w:rsidR="00C726BB">
        <w:rPr>
          <w:sz w:val="28"/>
          <w:szCs w:val="28"/>
        </w:rPr>
        <w:t>‘the sense of the possible is very narrow.’</w:t>
      </w:r>
      <w:r w:rsidR="00C726BB">
        <w:rPr>
          <w:rStyle w:val="FootnoteReference"/>
          <w:sz w:val="28"/>
          <w:szCs w:val="28"/>
        </w:rPr>
        <w:footnoteReference w:id="15"/>
      </w:r>
      <w:r w:rsidR="00C726BB">
        <w:rPr>
          <w:sz w:val="28"/>
          <w:szCs w:val="28"/>
        </w:rPr>
        <w:t xml:space="preserve"> </w:t>
      </w:r>
    </w:p>
    <w:p w14:paraId="1D9D8785" w14:textId="66631EF0" w:rsidR="00BD6731" w:rsidRDefault="00C726BB" w:rsidP="00BE2779">
      <w:pPr>
        <w:spacing w:line="288" w:lineRule="auto"/>
        <w:ind w:firstLine="454"/>
        <w:rPr>
          <w:sz w:val="28"/>
          <w:szCs w:val="28"/>
        </w:rPr>
      </w:pPr>
      <w:r>
        <w:rPr>
          <w:sz w:val="28"/>
          <w:szCs w:val="28"/>
        </w:rPr>
        <w:t>Horne</w:t>
      </w:r>
      <w:r w:rsidR="00236D99">
        <w:rPr>
          <w:sz w:val="28"/>
          <w:szCs w:val="28"/>
        </w:rPr>
        <w:t xml:space="preserve"> </w:t>
      </w:r>
      <w:r w:rsidR="00CF426A">
        <w:rPr>
          <w:sz w:val="28"/>
          <w:szCs w:val="28"/>
        </w:rPr>
        <w:t xml:space="preserve">was </w:t>
      </w:r>
      <w:r w:rsidR="008A3418">
        <w:rPr>
          <w:sz w:val="28"/>
          <w:szCs w:val="28"/>
        </w:rPr>
        <w:t>largely right, then</w:t>
      </w:r>
      <w:r w:rsidR="00F9471A">
        <w:rPr>
          <w:sz w:val="28"/>
          <w:szCs w:val="28"/>
        </w:rPr>
        <w:t>.</w:t>
      </w:r>
      <w:r w:rsidR="00CF426A">
        <w:rPr>
          <w:sz w:val="28"/>
          <w:szCs w:val="28"/>
        </w:rPr>
        <w:t xml:space="preserve"> </w:t>
      </w:r>
      <w:r w:rsidR="00F9471A">
        <w:rPr>
          <w:sz w:val="28"/>
          <w:szCs w:val="28"/>
        </w:rPr>
        <w:t xml:space="preserve">The </w:t>
      </w:r>
      <w:r w:rsidR="00BD6731">
        <w:rPr>
          <w:sz w:val="28"/>
          <w:szCs w:val="28"/>
        </w:rPr>
        <w:t xml:space="preserve">question </w:t>
      </w:r>
      <w:r w:rsidR="00301B05">
        <w:rPr>
          <w:sz w:val="28"/>
          <w:szCs w:val="28"/>
        </w:rPr>
        <w:t>is</w:t>
      </w:r>
      <w:r w:rsidR="008A3418">
        <w:rPr>
          <w:sz w:val="28"/>
          <w:szCs w:val="28"/>
        </w:rPr>
        <w:t>,</w:t>
      </w:r>
      <w:r w:rsidR="00BD6731">
        <w:rPr>
          <w:sz w:val="28"/>
          <w:szCs w:val="28"/>
        </w:rPr>
        <w:t xml:space="preserve"> </w:t>
      </w:r>
      <w:r w:rsidR="00213D0D">
        <w:rPr>
          <w:sz w:val="28"/>
          <w:szCs w:val="28"/>
        </w:rPr>
        <w:t>how much</w:t>
      </w:r>
      <w:r w:rsidR="00BD6731">
        <w:rPr>
          <w:sz w:val="28"/>
          <w:szCs w:val="28"/>
        </w:rPr>
        <w:t xml:space="preserve"> </w:t>
      </w:r>
      <w:r w:rsidR="00CF426A">
        <w:rPr>
          <w:sz w:val="28"/>
          <w:szCs w:val="28"/>
        </w:rPr>
        <w:t>he is still right</w:t>
      </w:r>
      <w:r w:rsidR="008A3418">
        <w:rPr>
          <w:sz w:val="28"/>
          <w:szCs w:val="28"/>
        </w:rPr>
        <w:t>?</w:t>
      </w:r>
      <w:r w:rsidR="00BD6731">
        <w:rPr>
          <w:sz w:val="28"/>
          <w:szCs w:val="28"/>
        </w:rPr>
        <w:t xml:space="preserve"> </w:t>
      </w:r>
    </w:p>
    <w:p w14:paraId="2F485525" w14:textId="4F485C36" w:rsidR="00B027E1" w:rsidRPr="0009513C" w:rsidRDefault="00B027E1" w:rsidP="00BE2779">
      <w:pPr>
        <w:spacing w:line="288" w:lineRule="auto"/>
        <w:rPr>
          <w:sz w:val="28"/>
          <w:szCs w:val="28"/>
        </w:rPr>
      </w:pPr>
    </w:p>
    <w:p w14:paraId="2BACA9D7" w14:textId="40EBC971" w:rsidR="00421C78" w:rsidRDefault="00421C78" w:rsidP="00BE2779">
      <w:pPr>
        <w:spacing w:line="288" w:lineRule="auto"/>
        <w:rPr>
          <w:sz w:val="28"/>
          <w:szCs w:val="28"/>
        </w:rPr>
      </w:pPr>
      <w:r>
        <w:rPr>
          <w:sz w:val="28"/>
          <w:szCs w:val="28"/>
        </w:rPr>
        <w:t>[HISTORY]</w:t>
      </w:r>
    </w:p>
    <w:p w14:paraId="4EC1558D" w14:textId="77777777" w:rsidR="008A3418" w:rsidRDefault="001E786C" w:rsidP="00BE2779">
      <w:pPr>
        <w:spacing w:line="288" w:lineRule="auto"/>
        <w:rPr>
          <w:sz w:val="28"/>
          <w:szCs w:val="28"/>
        </w:rPr>
      </w:pPr>
      <w:r>
        <w:rPr>
          <w:sz w:val="28"/>
          <w:szCs w:val="28"/>
        </w:rPr>
        <w:t xml:space="preserve">In a forthcoming book on Australian higher education </w:t>
      </w:r>
      <w:r w:rsidR="007D45FD">
        <w:rPr>
          <w:sz w:val="28"/>
          <w:szCs w:val="28"/>
        </w:rPr>
        <w:t>Glyn</w:t>
      </w:r>
      <w:r w:rsidR="00956AF6">
        <w:rPr>
          <w:sz w:val="28"/>
          <w:szCs w:val="28"/>
        </w:rPr>
        <w:t xml:space="preserve"> Davis </w:t>
      </w:r>
      <w:r w:rsidR="000625F0">
        <w:rPr>
          <w:sz w:val="28"/>
          <w:szCs w:val="28"/>
        </w:rPr>
        <w:t>describes</w:t>
      </w:r>
      <w:r w:rsidR="000B183F">
        <w:rPr>
          <w:sz w:val="28"/>
          <w:szCs w:val="28"/>
        </w:rPr>
        <w:t xml:space="preserve"> the </w:t>
      </w:r>
      <w:r w:rsidR="0065214D">
        <w:rPr>
          <w:sz w:val="28"/>
          <w:szCs w:val="28"/>
        </w:rPr>
        <w:t>start of</w:t>
      </w:r>
      <w:r w:rsidR="000B183F">
        <w:rPr>
          <w:sz w:val="28"/>
          <w:szCs w:val="28"/>
        </w:rPr>
        <w:t xml:space="preserve"> Sydney and Melbourne</w:t>
      </w:r>
      <w:r w:rsidR="0065214D">
        <w:rPr>
          <w:sz w:val="28"/>
          <w:szCs w:val="28"/>
        </w:rPr>
        <w:t xml:space="preserve">. </w:t>
      </w:r>
      <w:r w:rsidR="007D45FD">
        <w:rPr>
          <w:sz w:val="28"/>
          <w:szCs w:val="28"/>
        </w:rPr>
        <w:t>S</w:t>
      </w:r>
      <w:r w:rsidR="00E90F93">
        <w:rPr>
          <w:sz w:val="28"/>
          <w:szCs w:val="28"/>
        </w:rPr>
        <w:t>elf-govern</w:t>
      </w:r>
      <w:r w:rsidR="007D45FD">
        <w:rPr>
          <w:sz w:val="28"/>
          <w:szCs w:val="28"/>
        </w:rPr>
        <w:t>ing</w:t>
      </w:r>
      <w:r w:rsidR="00E90F93">
        <w:rPr>
          <w:sz w:val="28"/>
          <w:szCs w:val="28"/>
        </w:rPr>
        <w:t xml:space="preserve"> under the colonial state</w:t>
      </w:r>
      <w:r w:rsidR="0065214D">
        <w:rPr>
          <w:sz w:val="28"/>
          <w:szCs w:val="28"/>
        </w:rPr>
        <w:t>.</w:t>
      </w:r>
      <w:r w:rsidR="00E90F93">
        <w:rPr>
          <w:sz w:val="28"/>
          <w:szCs w:val="28"/>
        </w:rPr>
        <w:t xml:space="preserve"> </w:t>
      </w:r>
      <w:r w:rsidR="0065214D">
        <w:rPr>
          <w:sz w:val="28"/>
          <w:szCs w:val="28"/>
        </w:rPr>
        <w:t>S</w:t>
      </w:r>
      <w:r w:rsidR="00E90F93">
        <w:rPr>
          <w:sz w:val="28"/>
          <w:szCs w:val="28"/>
        </w:rPr>
        <w:t>ecular</w:t>
      </w:r>
      <w:r w:rsidR="0065214D">
        <w:rPr>
          <w:sz w:val="28"/>
          <w:szCs w:val="28"/>
        </w:rPr>
        <w:t>. C</w:t>
      </w:r>
      <w:r w:rsidR="005A491B">
        <w:rPr>
          <w:sz w:val="28"/>
          <w:szCs w:val="28"/>
        </w:rPr>
        <w:t>omprehensive of the disciplines</w:t>
      </w:r>
      <w:r w:rsidR="007D45FD">
        <w:rPr>
          <w:sz w:val="28"/>
          <w:szCs w:val="28"/>
        </w:rPr>
        <w:t>. Not scholastic, p</w:t>
      </w:r>
      <w:r w:rsidR="0065214D">
        <w:rPr>
          <w:sz w:val="28"/>
          <w:szCs w:val="28"/>
        </w:rPr>
        <w:t>reparing</w:t>
      </w:r>
      <w:r w:rsidR="005A491B">
        <w:rPr>
          <w:sz w:val="28"/>
          <w:szCs w:val="28"/>
        </w:rPr>
        <w:t xml:space="preserve"> professional</w:t>
      </w:r>
      <w:r w:rsidR="00E90F93">
        <w:rPr>
          <w:sz w:val="28"/>
          <w:szCs w:val="28"/>
        </w:rPr>
        <w:t>s</w:t>
      </w:r>
      <w:r w:rsidR="005C5EC0">
        <w:rPr>
          <w:sz w:val="28"/>
          <w:szCs w:val="28"/>
        </w:rPr>
        <w:t xml:space="preserve">. </w:t>
      </w:r>
      <w:r w:rsidR="0065214D">
        <w:rPr>
          <w:sz w:val="28"/>
          <w:szCs w:val="28"/>
        </w:rPr>
        <w:t>U</w:t>
      </w:r>
      <w:r w:rsidR="005A491B">
        <w:rPr>
          <w:sz w:val="28"/>
          <w:szCs w:val="28"/>
        </w:rPr>
        <w:t>tilitarian</w:t>
      </w:r>
      <w:r w:rsidR="007D45FD">
        <w:rPr>
          <w:sz w:val="28"/>
          <w:szCs w:val="28"/>
        </w:rPr>
        <w:t>,</w:t>
      </w:r>
      <w:r w:rsidR="0065214D">
        <w:rPr>
          <w:sz w:val="28"/>
          <w:szCs w:val="28"/>
        </w:rPr>
        <w:t xml:space="preserve"> like the </w:t>
      </w:r>
      <w:r w:rsidR="007D45FD">
        <w:rPr>
          <w:sz w:val="28"/>
          <w:szCs w:val="28"/>
        </w:rPr>
        <w:t xml:space="preserve">colonies themselves. </w:t>
      </w:r>
      <w:r w:rsidR="005A491B">
        <w:rPr>
          <w:sz w:val="28"/>
          <w:szCs w:val="28"/>
        </w:rPr>
        <w:t xml:space="preserve">More influenced by London and Scotland than Oxford and Cambridge. </w:t>
      </w:r>
      <w:r w:rsidR="008A3418">
        <w:rPr>
          <w:sz w:val="28"/>
          <w:szCs w:val="28"/>
        </w:rPr>
        <w:t xml:space="preserve">These foundations </w:t>
      </w:r>
      <w:r w:rsidR="005C5EC0">
        <w:rPr>
          <w:sz w:val="28"/>
          <w:szCs w:val="28"/>
        </w:rPr>
        <w:t xml:space="preserve">set </w:t>
      </w:r>
      <w:r w:rsidR="000625F0">
        <w:rPr>
          <w:sz w:val="28"/>
          <w:szCs w:val="28"/>
        </w:rPr>
        <w:t>the achievement and the limit</w:t>
      </w:r>
      <w:r w:rsidR="008A3418">
        <w:rPr>
          <w:sz w:val="28"/>
          <w:szCs w:val="28"/>
        </w:rPr>
        <w:t>. T</w:t>
      </w:r>
      <w:r w:rsidR="000625F0">
        <w:rPr>
          <w:sz w:val="28"/>
          <w:szCs w:val="28"/>
        </w:rPr>
        <w:t xml:space="preserve">hough the two </w:t>
      </w:r>
      <w:r w:rsidR="0065214D">
        <w:rPr>
          <w:sz w:val="28"/>
          <w:szCs w:val="28"/>
        </w:rPr>
        <w:t xml:space="preserve">young </w:t>
      </w:r>
      <w:r w:rsidR="000625F0">
        <w:rPr>
          <w:sz w:val="28"/>
          <w:szCs w:val="28"/>
        </w:rPr>
        <w:t>universities had shaky moments, the</w:t>
      </w:r>
      <w:r w:rsidR="005C5EC0">
        <w:rPr>
          <w:sz w:val="28"/>
          <w:szCs w:val="28"/>
        </w:rPr>
        <w:t>ir</w:t>
      </w:r>
      <w:r w:rsidR="000625F0">
        <w:rPr>
          <w:sz w:val="28"/>
          <w:szCs w:val="28"/>
        </w:rPr>
        <w:t xml:space="preserve"> design took root and spread</w:t>
      </w:r>
      <w:r w:rsidR="008A3418">
        <w:rPr>
          <w:sz w:val="28"/>
          <w:szCs w:val="28"/>
        </w:rPr>
        <w:t>, and f</w:t>
      </w:r>
      <w:r w:rsidR="00355513">
        <w:rPr>
          <w:sz w:val="28"/>
          <w:szCs w:val="28"/>
        </w:rPr>
        <w:t>or the next century</w:t>
      </w:r>
      <w:r w:rsidR="000625F0">
        <w:rPr>
          <w:sz w:val="28"/>
          <w:szCs w:val="28"/>
        </w:rPr>
        <w:t>,</w:t>
      </w:r>
      <w:r w:rsidR="000E73A7">
        <w:rPr>
          <w:sz w:val="28"/>
          <w:szCs w:val="28"/>
        </w:rPr>
        <w:t xml:space="preserve"> </w:t>
      </w:r>
      <w:r w:rsidR="00355513">
        <w:rPr>
          <w:sz w:val="28"/>
          <w:szCs w:val="28"/>
        </w:rPr>
        <w:t xml:space="preserve">the </w:t>
      </w:r>
      <w:r w:rsidR="000E73A7">
        <w:rPr>
          <w:sz w:val="28"/>
          <w:szCs w:val="28"/>
        </w:rPr>
        <w:t xml:space="preserve">successive foundations </w:t>
      </w:r>
      <w:r w:rsidR="00355513">
        <w:rPr>
          <w:sz w:val="28"/>
          <w:szCs w:val="28"/>
        </w:rPr>
        <w:t xml:space="preserve">across the country </w:t>
      </w:r>
      <w:r w:rsidR="000625F0">
        <w:rPr>
          <w:sz w:val="28"/>
          <w:szCs w:val="28"/>
        </w:rPr>
        <w:t>repeated the</w:t>
      </w:r>
      <w:r w:rsidR="0065214D">
        <w:rPr>
          <w:sz w:val="28"/>
          <w:szCs w:val="28"/>
        </w:rPr>
        <w:t>se</w:t>
      </w:r>
      <w:r w:rsidR="000E73A7">
        <w:rPr>
          <w:sz w:val="28"/>
          <w:szCs w:val="28"/>
        </w:rPr>
        <w:t xml:space="preserve"> core features</w:t>
      </w:r>
      <w:r w:rsidR="006924B9">
        <w:rPr>
          <w:sz w:val="28"/>
          <w:szCs w:val="28"/>
        </w:rPr>
        <w:t>,</w:t>
      </w:r>
      <w:r w:rsidR="0065214D">
        <w:rPr>
          <w:sz w:val="28"/>
          <w:szCs w:val="28"/>
        </w:rPr>
        <w:t xml:space="preserve"> with</w:t>
      </w:r>
      <w:r w:rsidR="000E73A7">
        <w:rPr>
          <w:sz w:val="28"/>
          <w:szCs w:val="28"/>
        </w:rPr>
        <w:t xml:space="preserve"> nuances here and there</w:t>
      </w:r>
      <w:r w:rsidR="0065214D">
        <w:rPr>
          <w:sz w:val="28"/>
          <w:szCs w:val="28"/>
        </w:rPr>
        <w:t>. The</w:t>
      </w:r>
      <w:r w:rsidR="000E73A7">
        <w:rPr>
          <w:sz w:val="28"/>
          <w:szCs w:val="28"/>
        </w:rPr>
        <w:t xml:space="preserve"> </w:t>
      </w:r>
      <w:r w:rsidR="000625F0">
        <w:rPr>
          <w:sz w:val="28"/>
          <w:szCs w:val="28"/>
        </w:rPr>
        <w:t xml:space="preserve">outcome </w:t>
      </w:r>
      <w:r w:rsidR="003934CE">
        <w:rPr>
          <w:sz w:val="28"/>
          <w:szCs w:val="28"/>
        </w:rPr>
        <w:t xml:space="preserve">of this determined path-dependency was </w:t>
      </w:r>
      <w:r w:rsidR="000E73A7">
        <w:rPr>
          <w:sz w:val="28"/>
          <w:szCs w:val="28"/>
        </w:rPr>
        <w:t xml:space="preserve">a </w:t>
      </w:r>
      <w:r w:rsidR="003934CE">
        <w:rPr>
          <w:sz w:val="28"/>
          <w:szCs w:val="28"/>
        </w:rPr>
        <w:t xml:space="preserve">national </w:t>
      </w:r>
      <w:r w:rsidR="000625F0">
        <w:rPr>
          <w:sz w:val="28"/>
          <w:szCs w:val="28"/>
        </w:rPr>
        <w:t xml:space="preserve">system with remarkable </w:t>
      </w:r>
      <w:r w:rsidR="000E73A7">
        <w:rPr>
          <w:sz w:val="28"/>
          <w:szCs w:val="28"/>
        </w:rPr>
        <w:t xml:space="preserve">homogeneity. </w:t>
      </w:r>
    </w:p>
    <w:p w14:paraId="1253EF53" w14:textId="3B9F185B" w:rsidR="008A3418" w:rsidRDefault="008A3418" w:rsidP="00BE2779">
      <w:pPr>
        <w:spacing w:line="288" w:lineRule="auto"/>
        <w:ind w:firstLine="454"/>
        <w:rPr>
          <w:sz w:val="28"/>
          <w:szCs w:val="28"/>
        </w:rPr>
      </w:pPr>
      <w:r>
        <w:rPr>
          <w:sz w:val="28"/>
          <w:szCs w:val="28"/>
        </w:rPr>
        <w:t xml:space="preserve">The next key moment in the making of the Australian university was a century later, in R. Douglas Wright’s time, the system building era from the late the 1950s to the 1970s. The universities were lifted from small enclaves, finishing schools for a fraction of the middle class, into the mass educators and </w:t>
      </w:r>
      <w:r w:rsidRPr="00B25DEB">
        <w:rPr>
          <w:sz w:val="28"/>
          <w:szCs w:val="28"/>
        </w:rPr>
        <w:t xml:space="preserve">research laboratories of today. </w:t>
      </w:r>
      <w:r>
        <w:rPr>
          <w:sz w:val="28"/>
          <w:szCs w:val="28"/>
        </w:rPr>
        <w:t xml:space="preserve">To the founding template, the system-building years added </w:t>
      </w:r>
      <w:r w:rsidRPr="00E8572D">
        <w:rPr>
          <w:i/>
          <w:sz w:val="28"/>
          <w:szCs w:val="28"/>
        </w:rPr>
        <w:t>accumulation</w:t>
      </w:r>
      <w:r>
        <w:rPr>
          <w:sz w:val="28"/>
          <w:szCs w:val="28"/>
        </w:rPr>
        <w:t xml:space="preserve">; of numbers, of functions, of resources, of prestige: the rubric of never ending growth. Like Australian native flora, with no size limits, spreading upwards and outwards to fill the empty spaces on the map. Growth confirmed the founding template, the comprehensive structure. </w:t>
      </w:r>
    </w:p>
    <w:p w14:paraId="5D255563" w14:textId="71DC9315" w:rsidR="008A3418" w:rsidRDefault="008A3418" w:rsidP="00BE2779">
      <w:pPr>
        <w:spacing w:line="288" w:lineRule="auto"/>
        <w:rPr>
          <w:sz w:val="28"/>
          <w:szCs w:val="28"/>
        </w:rPr>
      </w:pPr>
      <w:r>
        <w:rPr>
          <w:sz w:val="28"/>
          <w:szCs w:val="28"/>
        </w:rPr>
        <w:tab/>
        <w:t xml:space="preserve">At this </w:t>
      </w:r>
      <w:proofErr w:type="gramStart"/>
      <w:r>
        <w:rPr>
          <w:sz w:val="28"/>
          <w:szCs w:val="28"/>
        </w:rPr>
        <w:t>time</w:t>
      </w:r>
      <w:proofErr w:type="gramEnd"/>
      <w:r>
        <w:rPr>
          <w:sz w:val="28"/>
          <w:szCs w:val="28"/>
        </w:rPr>
        <w:t xml:space="preserve"> Wright was an instigator at a succession of historical moments. In </w:t>
      </w:r>
      <w:proofErr w:type="gramStart"/>
      <w:r>
        <w:rPr>
          <w:sz w:val="28"/>
          <w:szCs w:val="28"/>
        </w:rPr>
        <w:t>1954</w:t>
      </w:r>
      <w:proofErr w:type="gramEnd"/>
      <w:r>
        <w:rPr>
          <w:sz w:val="28"/>
          <w:szCs w:val="28"/>
        </w:rPr>
        <w:t xml:space="preserve"> he suggested to Menzies that the Prime Minister establish a commission of inquiry into the universities, which was to be the decisive moment in the Commonwealth’s move into university policy. Wright co-wrote Melbourne’s submission. The final report emphasized the resource needs of faculties of medicine.</w:t>
      </w:r>
      <w:r>
        <w:rPr>
          <w:rStyle w:val="FootnoteReference"/>
          <w:sz w:val="28"/>
          <w:szCs w:val="28"/>
        </w:rPr>
        <w:footnoteReference w:id="16"/>
      </w:r>
      <w:r>
        <w:rPr>
          <w:sz w:val="28"/>
          <w:szCs w:val="28"/>
        </w:rPr>
        <w:t xml:space="preserve"> With Coombes and others he started the ANU, designed as the national research hub and graduate school with a Medical </w:t>
      </w:r>
      <w:r>
        <w:rPr>
          <w:sz w:val="28"/>
          <w:szCs w:val="28"/>
        </w:rPr>
        <w:lastRenderedPageBreak/>
        <w:t>Institute at its heart.</w:t>
      </w:r>
      <w:r>
        <w:rPr>
          <w:rStyle w:val="FootnoteReference"/>
          <w:sz w:val="28"/>
          <w:szCs w:val="28"/>
        </w:rPr>
        <w:footnoteReference w:id="17"/>
      </w:r>
      <w:r>
        <w:rPr>
          <w:sz w:val="28"/>
          <w:szCs w:val="28"/>
        </w:rPr>
        <w:t xml:space="preserve"> He was first chair at Peter </w:t>
      </w:r>
      <w:proofErr w:type="spellStart"/>
      <w:r>
        <w:rPr>
          <w:sz w:val="28"/>
          <w:szCs w:val="28"/>
        </w:rPr>
        <w:t>MacCallum</w:t>
      </w:r>
      <w:proofErr w:type="spellEnd"/>
      <w:r>
        <w:rPr>
          <w:sz w:val="28"/>
          <w:szCs w:val="28"/>
        </w:rPr>
        <w:t>. He met with Coombes and three major donors to kick-start Howard Florey.</w:t>
      </w:r>
      <w:r>
        <w:rPr>
          <w:rStyle w:val="FootnoteReference"/>
          <w:sz w:val="28"/>
          <w:szCs w:val="28"/>
        </w:rPr>
        <w:footnoteReference w:id="18"/>
      </w:r>
      <w:r>
        <w:rPr>
          <w:sz w:val="28"/>
          <w:szCs w:val="28"/>
        </w:rPr>
        <w:t xml:space="preserve"> Unlike Macfarlane Burnet, he saw no tension between funding research in medical university departments, and flourishing institutes.</w:t>
      </w:r>
      <w:r>
        <w:rPr>
          <w:rStyle w:val="FootnoteReference"/>
          <w:sz w:val="28"/>
          <w:szCs w:val="28"/>
        </w:rPr>
        <w:footnoteReference w:id="19"/>
      </w:r>
      <w:r>
        <w:rPr>
          <w:sz w:val="28"/>
          <w:szCs w:val="28"/>
        </w:rPr>
        <w:t xml:space="preserve"> All had their place. </w:t>
      </w:r>
    </w:p>
    <w:p w14:paraId="174F9B5C" w14:textId="21AA59C7" w:rsidR="00E84BAE" w:rsidRDefault="00FD3836" w:rsidP="00BE2779">
      <w:pPr>
        <w:spacing w:line="288" w:lineRule="auto"/>
        <w:ind w:firstLine="454"/>
        <w:rPr>
          <w:sz w:val="28"/>
          <w:szCs w:val="28"/>
        </w:rPr>
      </w:pPr>
      <w:r>
        <w:rPr>
          <w:sz w:val="28"/>
          <w:szCs w:val="28"/>
        </w:rPr>
        <w:t>A decade later</w:t>
      </w:r>
      <w:r w:rsidR="007D45FD">
        <w:rPr>
          <w:sz w:val="28"/>
          <w:szCs w:val="28"/>
        </w:rPr>
        <w:t xml:space="preserve"> </w:t>
      </w:r>
      <w:proofErr w:type="spellStart"/>
      <w:r w:rsidR="000E73A7">
        <w:rPr>
          <w:sz w:val="28"/>
          <w:szCs w:val="28"/>
        </w:rPr>
        <w:t>Labor’s</w:t>
      </w:r>
      <w:proofErr w:type="spellEnd"/>
      <w:r w:rsidR="000E73A7">
        <w:rPr>
          <w:sz w:val="28"/>
          <w:szCs w:val="28"/>
        </w:rPr>
        <w:t xml:space="preserve"> modernizing Minister John Dawkins </w:t>
      </w:r>
      <w:r w:rsidR="008A3418">
        <w:rPr>
          <w:sz w:val="28"/>
          <w:szCs w:val="28"/>
        </w:rPr>
        <w:t>took the founding template</w:t>
      </w:r>
      <w:r>
        <w:rPr>
          <w:sz w:val="28"/>
          <w:szCs w:val="28"/>
        </w:rPr>
        <w:t>, with its larger universities,</w:t>
      </w:r>
      <w:r w:rsidR="008A3418">
        <w:rPr>
          <w:sz w:val="28"/>
          <w:szCs w:val="28"/>
        </w:rPr>
        <w:t xml:space="preserve"> and entrenched </w:t>
      </w:r>
      <w:r>
        <w:rPr>
          <w:sz w:val="28"/>
          <w:szCs w:val="28"/>
        </w:rPr>
        <w:t xml:space="preserve">and enlarged </w:t>
      </w:r>
      <w:r w:rsidR="008A3418">
        <w:rPr>
          <w:sz w:val="28"/>
          <w:szCs w:val="28"/>
        </w:rPr>
        <w:t>it further with size targets and mergers</w:t>
      </w:r>
      <w:r>
        <w:rPr>
          <w:sz w:val="28"/>
          <w:szCs w:val="28"/>
        </w:rPr>
        <w:t xml:space="preserve">, also </w:t>
      </w:r>
      <w:r w:rsidR="008A3418">
        <w:rPr>
          <w:sz w:val="28"/>
          <w:szCs w:val="28"/>
        </w:rPr>
        <w:t xml:space="preserve">turning the Australian university into a </w:t>
      </w:r>
      <w:r w:rsidR="005C5EC0">
        <w:rPr>
          <w:sz w:val="28"/>
          <w:szCs w:val="28"/>
        </w:rPr>
        <w:t xml:space="preserve">competitive </w:t>
      </w:r>
      <w:r w:rsidR="008A3418">
        <w:rPr>
          <w:sz w:val="28"/>
          <w:szCs w:val="28"/>
        </w:rPr>
        <w:t>corporation</w:t>
      </w:r>
      <w:r w:rsidR="00517810">
        <w:rPr>
          <w:sz w:val="28"/>
          <w:szCs w:val="28"/>
        </w:rPr>
        <w:t xml:space="preserve">. </w:t>
      </w:r>
      <w:r w:rsidR="008A3418">
        <w:rPr>
          <w:sz w:val="28"/>
          <w:szCs w:val="28"/>
        </w:rPr>
        <w:t>S</w:t>
      </w:r>
      <w:r w:rsidR="000625F0">
        <w:rPr>
          <w:sz w:val="28"/>
          <w:szCs w:val="28"/>
        </w:rPr>
        <w:t>mall specialists and colleges of advanced education</w:t>
      </w:r>
      <w:r w:rsidR="008A3418">
        <w:rPr>
          <w:sz w:val="28"/>
          <w:szCs w:val="28"/>
        </w:rPr>
        <w:t xml:space="preserve"> vanished</w:t>
      </w:r>
      <w:r w:rsidR="000E73A7">
        <w:rPr>
          <w:sz w:val="28"/>
          <w:szCs w:val="28"/>
        </w:rPr>
        <w:t xml:space="preserve">. </w:t>
      </w:r>
      <w:r w:rsidR="00355513">
        <w:rPr>
          <w:sz w:val="28"/>
          <w:szCs w:val="28"/>
        </w:rPr>
        <w:t xml:space="preserve">The new element was </w:t>
      </w:r>
      <w:r w:rsidR="00032639">
        <w:rPr>
          <w:sz w:val="28"/>
          <w:szCs w:val="28"/>
        </w:rPr>
        <w:t>fee-paying</w:t>
      </w:r>
      <w:r w:rsidR="00355513">
        <w:rPr>
          <w:sz w:val="28"/>
          <w:szCs w:val="28"/>
        </w:rPr>
        <w:t xml:space="preserve"> international students.</w:t>
      </w:r>
    </w:p>
    <w:p w14:paraId="68252299" w14:textId="77777777" w:rsidR="00E97DBA" w:rsidRDefault="00E97DBA" w:rsidP="00BE2779">
      <w:pPr>
        <w:spacing w:line="288" w:lineRule="auto"/>
        <w:rPr>
          <w:sz w:val="28"/>
          <w:szCs w:val="28"/>
        </w:rPr>
      </w:pPr>
    </w:p>
    <w:p w14:paraId="02F01754" w14:textId="4FBBA0A5" w:rsidR="00B04979" w:rsidRDefault="00B04979" w:rsidP="00BE2779">
      <w:pPr>
        <w:spacing w:line="288" w:lineRule="auto"/>
        <w:rPr>
          <w:sz w:val="28"/>
          <w:szCs w:val="28"/>
        </w:rPr>
      </w:pPr>
      <w:r>
        <w:rPr>
          <w:sz w:val="28"/>
          <w:szCs w:val="28"/>
        </w:rPr>
        <w:t>[THE UNIVERSITIES TODAY]</w:t>
      </w:r>
    </w:p>
    <w:p w14:paraId="1CA4C019" w14:textId="155D6E7B" w:rsidR="00687456" w:rsidRDefault="006E4F1F" w:rsidP="00BE2779">
      <w:pPr>
        <w:spacing w:line="288" w:lineRule="auto"/>
        <w:rPr>
          <w:sz w:val="28"/>
          <w:szCs w:val="28"/>
        </w:rPr>
      </w:pPr>
      <w:r>
        <w:rPr>
          <w:sz w:val="28"/>
          <w:szCs w:val="28"/>
        </w:rPr>
        <w:t>The system building 1960s and 1970s</w:t>
      </w:r>
      <w:r w:rsidR="007A4BA9">
        <w:rPr>
          <w:sz w:val="28"/>
          <w:szCs w:val="28"/>
        </w:rPr>
        <w:t xml:space="preserve"> </w:t>
      </w:r>
      <w:r w:rsidR="00140E0A">
        <w:rPr>
          <w:sz w:val="28"/>
          <w:szCs w:val="28"/>
        </w:rPr>
        <w:t xml:space="preserve">also began </w:t>
      </w:r>
      <w:r>
        <w:rPr>
          <w:sz w:val="28"/>
          <w:szCs w:val="28"/>
        </w:rPr>
        <w:t>the</w:t>
      </w:r>
      <w:r w:rsidR="00140E0A">
        <w:rPr>
          <w:sz w:val="28"/>
          <w:szCs w:val="28"/>
        </w:rPr>
        <w:t xml:space="preserve"> process of continuous transformation</w:t>
      </w:r>
      <w:r w:rsidR="009E52EA">
        <w:rPr>
          <w:sz w:val="28"/>
          <w:szCs w:val="28"/>
        </w:rPr>
        <w:t xml:space="preserve"> </w:t>
      </w:r>
      <w:r>
        <w:rPr>
          <w:sz w:val="28"/>
          <w:szCs w:val="28"/>
        </w:rPr>
        <w:t xml:space="preserve">of the universities </w:t>
      </w:r>
      <w:r w:rsidR="00140E0A">
        <w:rPr>
          <w:sz w:val="28"/>
          <w:szCs w:val="28"/>
        </w:rPr>
        <w:t xml:space="preserve">that has </w:t>
      </w:r>
      <w:r>
        <w:rPr>
          <w:sz w:val="28"/>
          <w:szCs w:val="28"/>
        </w:rPr>
        <w:t>pulsated</w:t>
      </w:r>
      <w:r w:rsidR="00140E0A">
        <w:rPr>
          <w:sz w:val="28"/>
          <w:szCs w:val="28"/>
        </w:rPr>
        <w:t xml:space="preserve"> through them</w:t>
      </w:r>
      <w:r w:rsidR="009E52EA">
        <w:rPr>
          <w:sz w:val="28"/>
          <w:szCs w:val="28"/>
        </w:rPr>
        <w:t xml:space="preserve"> ever since</w:t>
      </w:r>
      <w:r w:rsidR="006D3BCE">
        <w:rPr>
          <w:sz w:val="28"/>
          <w:szCs w:val="28"/>
        </w:rPr>
        <w:t xml:space="preserve">. </w:t>
      </w:r>
    </w:p>
    <w:p w14:paraId="27403140" w14:textId="77777777" w:rsidR="00B04979" w:rsidRDefault="00B04979" w:rsidP="00BE2779">
      <w:pPr>
        <w:spacing w:line="288" w:lineRule="auto"/>
        <w:rPr>
          <w:sz w:val="28"/>
          <w:szCs w:val="28"/>
        </w:rPr>
      </w:pPr>
    </w:p>
    <w:p w14:paraId="64AE24D6" w14:textId="77777777" w:rsidR="00B04979" w:rsidRPr="00B04979" w:rsidRDefault="00B04979" w:rsidP="00BE2779">
      <w:pPr>
        <w:spacing w:line="288" w:lineRule="auto"/>
        <w:rPr>
          <w:i/>
          <w:sz w:val="28"/>
          <w:szCs w:val="28"/>
        </w:rPr>
      </w:pPr>
      <w:r w:rsidRPr="00B04979">
        <w:rPr>
          <w:i/>
          <w:sz w:val="28"/>
          <w:szCs w:val="28"/>
        </w:rPr>
        <w:t>[FACTS AND FIGURES]</w:t>
      </w:r>
    </w:p>
    <w:p w14:paraId="70D1269E" w14:textId="03446631" w:rsidR="00F76CDA" w:rsidRDefault="00234587" w:rsidP="00BE2779">
      <w:pPr>
        <w:spacing w:line="288" w:lineRule="auto"/>
        <w:ind w:firstLine="454"/>
        <w:rPr>
          <w:sz w:val="28"/>
          <w:szCs w:val="28"/>
        </w:rPr>
      </w:pPr>
      <w:r>
        <w:rPr>
          <w:sz w:val="28"/>
          <w:szCs w:val="28"/>
        </w:rPr>
        <w:t>Australia enrolled 1.4 million students in 2015, and had 363,000 international students, a massive 26 per cent of all enrolments. Universities</w:t>
      </w:r>
      <w:r w:rsidR="0025620E">
        <w:rPr>
          <w:sz w:val="28"/>
          <w:szCs w:val="28"/>
        </w:rPr>
        <w:t xml:space="preserve"> received $26.6 billion in income. </w:t>
      </w:r>
      <w:r w:rsidR="00F76CDA">
        <w:rPr>
          <w:sz w:val="28"/>
          <w:szCs w:val="28"/>
        </w:rPr>
        <w:t>Fundi</w:t>
      </w:r>
      <w:r w:rsidR="00721BF7">
        <w:rPr>
          <w:sz w:val="28"/>
          <w:szCs w:val="28"/>
        </w:rPr>
        <w:t>ng per student in Australia is now</w:t>
      </w:r>
      <w:r w:rsidR="00F76CDA">
        <w:rPr>
          <w:sz w:val="28"/>
          <w:szCs w:val="28"/>
        </w:rPr>
        <w:t xml:space="preserve"> higher than at any time since the early 1990s</w:t>
      </w:r>
      <w:r>
        <w:rPr>
          <w:sz w:val="28"/>
          <w:szCs w:val="28"/>
        </w:rPr>
        <w:t>,</w:t>
      </w:r>
      <w:r w:rsidR="00F76CDA">
        <w:rPr>
          <w:rStyle w:val="FootnoteReference"/>
          <w:sz w:val="28"/>
          <w:szCs w:val="28"/>
        </w:rPr>
        <w:footnoteReference w:id="20"/>
      </w:r>
      <w:r w:rsidR="00F76CDA">
        <w:rPr>
          <w:sz w:val="28"/>
          <w:szCs w:val="28"/>
        </w:rPr>
        <w:t xml:space="preserve"> </w:t>
      </w:r>
      <w:r>
        <w:rPr>
          <w:sz w:val="28"/>
          <w:szCs w:val="28"/>
        </w:rPr>
        <w:t xml:space="preserve">but since then there has been a partial shift from teaching to research, within total budgets. </w:t>
      </w:r>
    </w:p>
    <w:p w14:paraId="4D1D644D" w14:textId="73A86B0C" w:rsidR="005D6C91" w:rsidRDefault="00F12485" w:rsidP="00BE2779">
      <w:pPr>
        <w:spacing w:line="288" w:lineRule="auto"/>
        <w:ind w:firstLine="454"/>
        <w:rPr>
          <w:sz w:val="28"/>
          <w:szCs w:val="28"/>
        </w:rPr>
      </w:pPr>
      <w:r>
        <w:rPr>
          <w:sz w:val="28"/>
          <w:szCs w:val="28"/>
        </w:rPr>
        <w:t xml:space="preserve">In 2015, </w:t>
      </w:r>
      <w:r w:rsidR="00234587">
        <w:rPr>
          <w:sz w:val="28"/>
          <w:szCs w:val="28"/>
        </w:rPr>
        <w:t>42</w:t>
      </w:r>
      <w:r w:rsidR="0025620E">
        <w:rPr>
          <w:sz w:val="28"/>
          <w:szCs w:val="28"/>
        </w:rPr>
        <w:t xml:space="preserve"> per cent</w:t>
      </w:r>
      <w:r w:rsidR="00A40198">
        <w:rPr>
          <w:sz w:val="28"/>
          <w:szCs w:val="28"/>
        </w:rPr>
        <w:t xml:space="preserve"> </w:t>
      </w:r>
      <w:r w:rsidR="0018688E">
        <w:rPr>
          <w:sz w:val="28"/>
          <w:szCs w:val="28"/>
        </w:rPr>
        <w:t>the inc</w:t>
      </w:r>
      <w:r>
        <w:rPr>
          <w:sz w:val="28"/>
          <w:szCs w:val="28"/>
        </w:rPr>
        <w:t>ome of Australian universities wa</w:t>
      </w:r>
      <w:r w:rsidR="0018688E">
        <w:rPr>
          <w:sz w:val="28"/>
          <w:szCs w:val="28"/>
        </w:rPr>
        <w:t xml:space="preserve">s from </w:t>
      </w:r>
      <w:r w:rsidR="00BD7C50">
        <w:rPr>
          <w:sz w:val="28"/>
          <w:szCs w:val="28"/>
        </w:rPr>
        <w:t>government</w:t>
      </w:r>
      <w:r w:rsidR="0025620E">
        <w:rPr>
          <w:sz w:val="28"/>
          <w:szCs w:val="28"/>
        </w:rPr>
        <w:t xml:space="preserve">. </w:t>
      </w:r>
      <w:r>
        <w:rPr>
          <w:sz w:val="28"/>
          <w:szCs w:val="28"/>
        </w:rPr>
        <w:t>G</w:t>
      </w:r>
      <w:r w:rsidR="0025620E">
        <w:rPr>
          <w:sz w:val="28"/>
          <w:szCs w:val="28"/>
        </w:rPr>
        <w:t xml:space="preserve">rants based on </w:t>
      </w:r>
      <w:r w:rsidR="0053761D">
        <w:rPr>
          <w:sz w:val="28"/>
          <w:szCs w:val="28"/>
        </w:rPr>
        <w:t xml:space="preserve">student fees in the tuition loans system </w:t>
      </w:r>
      <w:r w:rsidR="00234587">
        <w:rPr>
          <w:sz w:val="28"/>
          <w:szCs w:val="28"/>
        </w:rPr>
        <w:t xml:space="preserve">plus </w:t>
      </w:r>
      <w:r w:rsidR="0025620E">
        <w:rPr>
          <w:sz w:val="28"/>
          <w:szCs w:val="28"/>
        </w:rPr>
        <w:t>other student fees</w:t>
      </w:r>
      <w:r w:rsidR="00234587">
        <w:rPr>
          <w:sz w:val="28"/>
          <w:szCs w:val="28"/>
        </w:rPr>
        <w:t xml:space="preserve">, added to 44 per cent. Of this </w:t>
      </w:r>
      <w:r w:rsidR="0025620E">
        <w:rPr>
          <w:sz w:val="28"/>
          <w:szCs w:val="28"/>
        </w:rPr>
        <w:t>20</w:t>
      </w:r>
      <w:r w:rsidR="00227215">
        <w:rPr>
          <w:sz w:val="28"/>
          <w:szCs w:val="28"/>
        </w:rPr>
        <w:t xml:space="preserve"> per cent </w:t>
      </w:r>
      <w:r w:rsidR="001755A1">
        <w:rPr>
          <w:sz w:val="28"/>
          <w:szCs w:val="28"/>
        </w:rPr>
        <w:t xml:space="preserve">of income was </w:t>
      </w:r>
      <w:r w:rsidR="00227215">
        <w:rPr>
          <w:sz w:val="28"/>
          <w:szCs w:val="28"/>
        </w:rPr>
        <w:t>from international students</w:t>
      </w:r>
      <w:r>
        <w:rPr>
          <w:sz w:val="28"/>
          <w:szCs w:val="28"/>
        </w:rPr>
        <w:t>, £5.3 billion</w:t>
      </w:r>
      <w:r w:rsidR="00227215">
        <w:rPr>
          <w:sz w:val="28"/>
          <w:szCs w:val="28"/>
        </w:rPr>
        <w:t>.</w:t>
      </w:r>
      <w:r>
        <w:rPr>
          <w:rStyle w:val="FootnoteReference"/>
          <w:sz w:val="28"/>
          <w:szCs w:val="28"/>
        </w:rPr>
        <w:footnoteReference w:id="21"/>
      </w:r>
      <w:r w:rsidR="00227215">
        <w:rPr>
          <w:sz w:val="28"/>
          <w:szCs w:val="28"/>
        </w:rPr>
        <w:t xml:space="preserve"> </w:t>
      </w:r>
      <w:r>
        <w:rPr>
          <w:sz w:val="28"/>
          <w:szCs w:val="28"/>
        </w:rPr>
        <w:t>Bureau of Statistics data show that in 2015-16 t</w:t>
      </w:r>
      <w:r w:rsidR="003C067F">
        <w:rPr>
          <w:sz w:val="28"/>
          <w:szCs w:val="28"/>
        </w:rPr>
        <w:t>he total value of higher education exports, including non-tuition spending by students and their families, was $13.7 billion.</w:t>
      </w:r>
      <w:r w:rsidR="003C067F">
        <w:rPr>
          <w:rStyle w:val="FootnoteReference"/>
          <w:sz w:val="28"/>
          <w:szCs w:val="28"/>
        </w:rPr>
        <w:footnoteReference w:id="22"/>
      </w:r>
      <w:r w:rsidR="003C067F">
        <w:rPr>
          <w:sz w:val="28"/>
          <w:szCs w:val="28"/>
        </w:rPr>
        <w:t xml:space="preserve"> </w:t>
      </w:r>
    </w:p>
    <w:p w14:paraId="15176806" w14:textId="037DF747" w:rsidR="00496623" w:rsidRDefault="006E4F1F" w:rsidP="00BE2779">
      <w:pPr>
        <w:spacing w:line="288" w:lineRule="auto"/>
        <w:ind w:firstLine="454"/>
        <w:rPr>
          <w:sz w:val="28"/>
          <w:szCs w:val="28"/>
        </w:rPr>
      </w:pPr>
      <w:r>
        <w:rPr>
          <w:sz w:val="28"/>
          <w:szCs w:val="28"/>
        </w:rPr>
        <w:t>T</w:t>
      </w:r>
      <w:r w:rsidR="00FF4451">
        <w:rPr>
          <w:sz w:val="28"/>
          <w:szCs w:val="28"/>
        </w:rPr>
        <w:t>he</w:t>
      </w:r>
      <w:r w:rsidR="00496623">
        <w:rPr>
          <w:sz w:val="28"/>
          <w:szCs w:val="28"/>
        </w:rPr>
        <w:t xml:space="preserve"> Australian </w:t>
      </w:r>
      <w:r w:rsidR="00FF4451">
        <w:rPr>
          <w:sz w:val="28"/>
          <w:szCs w:val="28"/>
        </w:rPr>
        <w:t>university system</w:t>
      </w:r>
      <w:r w:rsidR="00496623">
        <w:rPr>
          <w:sz w:val="28"/>
          <w:szCs w:val="28"/>
        </w:rPr>
        <w:t xml:space="preserve"> </w:t>
      </w:r>
      <w:r>
        <w:rPr>
          <w:sz w:val="28"/>
          <w:szCs w:val="28"/>
        </w:rPr>
        <w:t>exhibits certain distinctive</w:t>
      </w:r>
      <w:r w:rsidR="00496623">
        <w:rPr>
          <w:sz w:val="28"/>
          <w:szCs w:val="28"/>
        </w:rPr>
        <w:t xml:space="preserve"> </w:t>
      </w:r>
      <w:r w:rsidR="00FF4451">
        <w:rPr>
          <w:sz w:val="28"/>
          <w:szCs w:val="28"/>
        </w:rPr>
        <w:t xml:space="preserve">structural </w:t>
      </w:r>
      <w:r w:rsidR="009E52EA">
        <w:rPr>
          <w:sz w:val="28"/>
          <w:szCs w:val="28"/>
        </w:rPr>
        <w:t>features</w:t>
      </w:r>
      <w:r w:rsidR="00496623">
        <w:rPr>
          <w:sz w:val="28"/>
          <w:szCs w:val="28"/>
        </w:rPr>
        <w:t xml:space="preserve">. </w:t>
      </w:r>
      <w:r w:rsidR="00AF5AC3">
        <w:rPr>
          <w:sz w:val="28"/>
          <w:szCs w:val="28"/>
        </w:rPr>
        <w:t>F</w:t>
      </w:r>
      <w:r w:rsidR="00496623">
        <w:rPr>
          <w:sz w:val="28"/>
          <w:szCs w:val="28"/>
        </w:rPr>
        <w:t>irst</w:t>
      </w:r>
      <w:r w:rsidR="00671005">
        <w:rPr>
          <w:sz w:val="28"/>
          <w:szCs w:val="28"/>
        </w:rPr>
        <w:t>,</w:t>
      </w:r>
      <w:r w:rsidR="00496623">
        <w:rPr>
          <w:sz w:val="28"/>
          <w:szCs w:val="28"/>
        </w:rPr>
        <w:t xml:space="preserve"> the preponderance of degree programs</w:t>
      </w:r>
      <w:r w:rsidR="00442E57">
        <w:rPr>
          <w:sz w:val="28"/>
          <w:szCs w:val="28"/>
        </w:rPr>
        <w:t>:</w:t>
      </w:r>
      <w:r w:rsidR="005B0EFE">
        <w:rPr>
          <w:sz w:val="28"/>
          <w:szCs w:val="28"/>
        </w:rPr>
        <w:t xml:space="preserve"> 44 per cent of the </w:t>
      </w:r>
      <w:r w:rsidR="005B0EFE">
        <w:rPr>
          <w:sz w:val="28"/>
          <w:szCs w:val="28"/>
        </w:rPr>
        <w:lastRenderedPageBreak/>
        <w:t xml:space="preserve">domestic population graduates at first degree level or above, </w:t>
      </w:r>
      <w:r w:rsidR="0024075B">
        <w:rPr>
          <w:sz w:val="28"/>
          <w:szCs w:val="28"/>
        </w:rPr>
        <w:t xml:space="preserve">with </w:t>
      </w:r>
      <w:r w:rsidR="00E06FFC">
        <w:rPr>
          <w:sz w:val="28"/>
          <w:szCs w:val="28"/>
        </w:rPr>
        <w:t>only another</w:t>
      </w:r>
      <w:r w:rsidR="005B0EFE">
        <w:rPr>
          <w:sz w:val="28"/>
          <w:szCs w:val="28"/>
        </w:rPr>
        <w:t xml:space="preserve"> 11 per cent in sub-degrees.</w:t>
      </w:r>
      <w:r w:rsidR="005B0EFE">
        <w:rPr>
          <w:rStyle w:val="FootnoteReference"/>
          <w:sz w:val="28"/>
          <w:szCs w:val="28"/>
        </w:rPr>
        <w:footnoteReference w:id="23"/>
      </w:r>
      <w:r w:rsidR="005B0EFE">
        <w:rPr>
          <w:sz w:val="28"/>
          <w:szCs w:val="28"/>
        </w:rPr>
        <w:t xml:space="preserve"> </w:t>
      </w:r>
    </w:p>
    <w:p w14:paraId="32593EEE" w14:textId="7334694E" w:rsidR="000F0C53" w:rsidRDefault="00276AF9" w:rsidP="00BE2779">
      <w:pPr>
        <w:spacing w:line="288" w:lineRule="auto"/>
        <w:ind w:firstLine="454"/>
        <w:rPr>
          <w:sz w:val="28"/>
          <w:szCs w:val="28"/>
        </w:rPr>
      </w:pPr>
      <w:r>
        <w:rPr>
          <w:sz w:val="28"/>
          <w:szCs w:val="28"/>
        </w:rPr>
        <w:t>Second,</w:t>
      </w:r>
      <w:r w:rsidR="002C11DA">
        <w:rPr>
          <w:sz w:val="28"/>
          <w:szCs w:val="28"/>
        </w:rPr>
        <w:t xml:space="preserve"> </w:t>
      </w:r>
      <w:r w:rsidR="0032243D">
        <w:rPr>
          <w:sz w:val="28"/>
          <w:szCs w:val="28"/>
        </w:rPr>
        <w:t xml:space="preserve">Australian </w:t>
      </w:r>
      <w:r w:rsidR="00671005">
        <w:rPr>
          <w:sz w:val="28"/>
          <w:szCs w:val="28"/>
        </w:rPr>
        <w:t>universitie</w:t>
      </w:r>
      <w:r w:rsidR="002C11DA">
        <w:rPr>
          <w:sz w:val="28"/>
          <w:szCs w:val="28"/>
        </w:rPr>
        <w:t xml:space="preserve">s </w:t>
      </w:r>
      <w:r w:rsidR="008F6DAC">
        <w:rPr>
          <w:sz w:val="28"/>
          <w:szCs w:val="28"/>
        </w:rPr>
        <w:t>ar</w:t>
      </w:r>
      <w:r w:rsidR="002C11DA">
        <w:rPr>
          <w:sz w:val="28"/>
          <w:szCs w:val="28"/>
        </w:rPr>
        <w:t>e large</w:t>
      </w:r>
      <w:r>
        <w:rPr>
          <w:sz w:val="28"/>
          <w:szCs w:val="28"/>
        </w:rPr>
        <w:t xml:space="preserve">. </w:t>
      </w:r>
      <w:r w:rsidR="00671005">
        <w:rPr>
          <w:sz w:val="28"/>
          <w:szCs w:val="28"/>
        </w:rPr>
        <w:t>None</w:t>
      </w:r>
      <w:r w:rsidR="008F6DAC">
        <w:rPr>
          <w:sz w:val="28"/>
          <w:szCs w:val="28"/>
        </w:rPr>
        <w:t xml:space="preserve"> is as small as </w:t>
      </w:r>
      <w:r w:rsidR="00AF5AC3">
        <w:rPr>
          <w:sz w:val="28"/>
          <w:szCs w:val="28"/>
        </w:rPr>
        <w:t xml:space="preserve">Princeton </w:t>
      </w:r>
      <w:r w:rsidR="00F76CDA">
        <w:rPr>
          <w:sz w:val="28"/>
          <w:szCs w:val="28"/>
        </w:rPr>
        <w:t xml:space="preserve">which has </w:t>
      </w:r>
      <w:r w:rsidR="00AF5AC3">
        <w:rPr>
          <w:sz w:val="28"/>
          <w:szCs w:val="28"/>
        </w:rPr>
        <w:t>8000 students</w:t>
      </w:r>
      <w:r w:rsidR="00496623">
        <w:rPr>
          <w:sz w:val="28"/>
          <w:szCs w:val="28"/>
        </w:rPr>
        <w:t xml:space="preserve">. The </w:t>
      </w:r>
      <w:r w:rsidR="00F76CDA">
        <w:rPr>
          <w:sz w:val="28"/>
          <w:szCs w:val="28"/>
        </w:rPr>
        <w:t xml:space="preserve">smallest </w:t>
      </w:r>
      <w:r w:rsidR="008F6DAC">
        <w:rPr>
          <w:sz w:val="28"/>
          <w:szCs w:val="28"/>
        </w:rPr>
        <w:t xml:space="preserve">Australian </w:t>
      </w:r>
      <w:r w:rsidR="00496623">
        <w:rPr>
          <w:sz w:val="28"/>
          <w:szCs w:val="28"/>
        </w:rPr>
        <w:t>has 12,000</w:t>
      </w:r>
      <w:r w:rsidR="008F6DAC">
        <w:rPr>
          <w:sz w:val="28"/>
          <w:szCs w:val="28"/>
        </w:rPr>
        <w:t>.</w:t>
      </w:r>
      <w:r w:rsidR="00496623">
        <w:rPr>
          <w:sz w:val="28"/>
          <w:szCs w:val="28"/>
        </w:rPr>
        <w:t xml:space="preserve"> </w:t>
      </w:r>
      <w:r>
        <w:rPr>
          <w:sz w:val="28"/>
          <w:szCs w:val="28"/>
        </w:rPr>
        <w:t xml:space="preserve">Some </w:t>
      </w:r>
      <w:r w:rsidR="00496623">
        <w:rPr>
          <w:sz w:val="28"/>
          <w:szCs w:val="28"/>
        </w:rPr>
        <w:t xml:space="preserve">are </w:t>
      </w:r>
      <w:r w:rsidR="008F6DAC">
        <w:rPr>
          <w:sz w:val="28"/>
          <w:szCs w:val="28"/>
        </w:rPr>
        <w:t>gigantic</w:t>
      </w:r>
      <w:r w:rsidR="00AF5AC3">
        <w:rPr>
          <w:sz w:val="28"/>
          <w:szCs w:val="28"/>
        </w:rPr>
        <w:t>, on the</w:t>
      </w:r>
      <w:r w:rsidR="008F6DAC">
        <w:rPr>
          <w:sz w:val="28"/>
          <w:szCs w:val="28"/>
        </w:rPr>
        <w:t xml:space="preserve"> </w:t>
      </w:r>
      <w:r w:rsidR="0032243D">
        <w:rPr>
          <w:sz w:val="28"/>
          <w:szCs w:val="28"/>
        </w:rPr>
        <w:t xml:space="preserve">scale of </w:t>
      </w:r>
      <w:r w:rsidR="00AF5AC3">
        <w:rPr>
          <w:sz w:val="28"/>
          <w:szCs w:val="28"/>
        </w:rPr>
        <w:t>Toronto</w:t>
      </w:r>
      <w:r w:rsidR="00671005">
        <w:rPr>
          <w:sz w:val="28"/>
          <w:szCs w:val="28"/>
        </w:rPr>
        <w:t>,</w:t>
      </w:r>
      <w:r w:rsidR="00AF5AC3">
        <w:rPr>
          <w:sz w:val="28"/>
          <w:szCs w:val="28"/>
        </w:rPr>
        <w:t xml:space="preserve"> and </w:t>
      </w:r>
      <w:r w:rsidR="0032243D">
        <w:rPr>
          <w:sz w:val="28"/>
          <w:szCs w:val="28"/>
        </w:rPr>
        <w:t>the mid-West public flagships in the United States</w:t>
      </w:r>
      <w:r w:rsidR="00AF5AC3">
        <w:rPr>
          <w:sz w:val="28"/>
          <w:szCs w:val="28"/>
        </w:rPr>
        <w:t>,</w:t>
      </w:r>
      <w:r w:rsidR="0032243D">
        <w:rPr>
          <w:sz w:val="28"/>
          <w:szCs w:val="28"/>
        </w:rPr>
        <w:t xml:space="preserve"> bigger than any in UK</w:t>
      </w:r>
      <w:r w:rsidR="002C11DA">
        <w:rPr>
          <w:sz w:val="28"/>
          <w:szCs w:val="28"/>
        </w:rPr>
        <w:t xml:space="preserve">. Melbourne reached 58,883 </w:t>
      </w:r>
      <w:r w:rsidR="0032243D">
        <w:rPr>
          <w:sz w:val="28"/>
          <w:szCs w:val="28"/>
        </w:rPr>
        <w:t xml:space="preserve">students </w:t>
      </w:r>
      <w:r w:rsidR="002C11DA">
        <w:rPr>
          <w:sz w:val="28"/>
          <w:szCs w:val="28"/>
        </w:rPr>
        <w:t>in 2015</w:t>
      </w:r>
      <w:r w:rsidR="00C035CA">
        <w:rPr>
          <w:sz w:val="28"/>
          <w:szCs w:val="28"/>
        </w:rPr>
        <w:t xml:space="preserve"> </w:t>
      </w:r>
      <w:r w:rsidR="0032243D">
        <w:rPr>
          <w:sz w:val="28"/>
          <w:szCs w:val="28"/>
        </w:rPr>
        <w:t xml:space="preserve">with </w:t>
      </w:r>
      <w:r w:rsidR="00F76CDA">
        <w:rPr>
          <w:sz w:val="28"/>
          <w:szCs w:val="28"/>
        </w:rPr>
        <w:t xml:space="preserve">an </w:t>
      </w:r>
      <w:r w:rsidR="00C035CA">
        <w:rPr>
          <w:sz w:val="28"/>
          <w:szCs w:val="28"/>
        </w:rPr>
        <w:t xml:space="preserve">international student load of </w:t>
      </w:r>
      <w:r w:rsidR="0032243D">
        <w:rPr>
          <w:sz w:val="28"/>
          <w:szCs w:val="28"/>
        </w:rPr>
        <w:t xml:space="preserve">15,211. </w:t>
      </w:r>
      <w:r w:rsidR="006A0365">
        <w:rPr>
          <w:sz w:val="28"/>
          <w:szCs w:val="28"/>
        </w:rPr>
        <w:t xml:space="preserve">Multi-campus </w:t>
      </w:r>
      <w:r w:rsidR="0032243D">
        <w:rPr>
          <w:sz w:val="28"/>
          <w:szCs w:val="28"/>
        </w:rPr>
        <w:t>Monash had 70,000 students</w:t>
      </w:r>
      <w:r w:rsidR="008526F9">
        <w:rPr>
          <w:sz w:val="28"/>
          <w:szCs w:val="28"/>
        </w:rPr>
        <w:t xml:space="preserve"> in 2015</w:t>
      </w:r>
      <w:r w:rsidR="006A0365">
        <w:rPr>
          <w:sz w:val="28"/>
          <w:szCs w:val="28"/>
        </w:rPr>
        <w:t xml:space="preserve">, </w:t>
      </w:r>
      <w:r w:rsidR="00671005">
        <w:rPr>
          <w:sz w:val="28"/>
          <w:szCs w:val="28"/>
        </w:rPr>
        <w:t>with</w:t>
      </w:r>
      <w:r w:rsidR="006A0365">
        <w:rPr>
          <w:sz w:val="28"/>
          <w:szCs w:val="28"/>
        </w:rPr>
        <w:t xml:space="preserve"> 21,700 </w:t>
      </w:r>
      <w:r w:rsidR="00671005">
        <w:rPr>
          <w:sz w:val="28"/>
          <w:szCs w:val="28"/>
        </w:rPr>
        <w:t xml:space="preserve">in </w:t>
      </w:r>
      <w:r w:rsidR="006A0365">
        <w:rPr>
          <w:sz w:val="28"/>
          <w:szCs w:val="28"/>
        </w:rPr>
        <w:t>international</w:t>
      </w:r>
      <w:r w:rsidR="00671005">
        <w:rPr>
          <w:sz w:val="28"/>
          <w:szCs w:val="28"/>
        </w:rPr>
        <w:t xml:space="preserve"> load</w:t>
      </w:r>
      <w:r w:rsidR="006A0365">
        <w:rPr>
          <w:sz w:val="28"/>
          <w:szCs w:val="28"/>
        </w:rPr>
        <w:t>.</w:t>
      </w:r>
      <w:r w:rsidR="00234587">
        <w:rPr>
          <w:sz w:val="28"/>
          <w:szCs w:val="28"/>
        </w:rPr>
        <w:t xml:space="preserve"> RMIT, S</w:t>
      </w:r>
      <w:r w:rsidR="008526F9">
        <w:rPr>
          <w:sz w:val="28"/>
          <w:szCs w:val="28"/>
        </w:rPr>
        <w:t>ydney, New South Wales, Deakin, Queensland and Curtin in WA exceeded 50,000 students. Another six had more than 40,000</w:t>
      </w:r>
      <w:r w:rsidR="00234587">
        <w:rPr>
          <w:sz w:val="28"/>
          <w:szCs w:val="28"/>
        </w:rPr>
        <w:t xml:space="preserve"> students</w:t>
      </w:r>
      <w:r w:rsidR="008526F9">
        <w:rPr>
          <w:sz w:val="28"/>
          <w:szCs w:val="28"/>
        </w:rPr>
        <w:t xml:space="preserve">. </w:t>
      </w:r>
    </w:p>
    <w:p w14:paraId="45CFBE2E" w14:textId="77777777" w:rsidR="00234587" w:rsidRDefault="00345EA1" w:rsidP="00BE2779">
      <w:pPr>
        <w:spacing w:line="288" w:lineRule="auto"/>
        <w:ind w:firstLine="454"/>
        <w:rPr>
          <w:rFonts w:cs="Times New Roman"/>
          <w:sz w:val="28"/>
          <w:szCs w:val="28"/>
        </w:rPr>
      </w:pPr>
      <w:r>
        <w:rPr>
          <w:sz w:val="28"/>
          <w:szCs w:val="28"/>
        </w:rPr>
        <w:t>Third,</w:t>
      </w:r>
      <w:r w:rsidR="003934CE">
        <w:rPr>
          <w:sz w:val="28"/>
          <w:szCs w:val="28"/>
        </w:rPr>
        <w:t xml:space="preserve"> as </w:t>
      </w:r>
      <w:r w:rsidR="00A32985">
        <w:rPr>
          <w:sz w:val="28"/>
          <w:szCs w:val="28"/>
        </w:rPr>
        <w:t>not</w:t>
      </w:r>
      <w:r w:rsidR="003934CE">
        <w:rPr>
          <w:sz w:val="28"/>
          <w:szCs w:val="28"/>
        </w:rPr>
        <w:t xml:space="preserve">ed, system design rests on uniformity </w:t>
      </w:r>
      <w:r w:rsidR="00FB3525">
        <w:rPr>
          <w:sz w:val="28"/>
          <w:szCs w:val="28"/>
        </w:rPr>
        <w:t>of</w:t>
      </w:r>
      <w:r w:rsidR="003934CE">
        <w:rPr>
          <w:sz w:val="28"/>
          <w:szCs w:val="28"/>
        </w:rPr>
        <w:t xml:space="preserve"> institutional design. </w:t>
      </w:r>
      <w:r w:rsidR="0026094D">
        <w:rPr>
          <w:sz w:val="28"/>
          <w:szCs w:val="28"/>
        </w:rPr>
        <w:t>Other</w:t>
      </w:r>
      <w:r w:rsidR="00FB3525">
        <w:rPr>
          <w:sz w:val="28"/>
          <w:szCs w:val="28"/>
        </w:rPr>
        <w:t xml:space="preserve"> countries have more variety in mission: </w:t>
      </w:r>
      <w:r w:rsidR="0026094D">
        <w:rPr>
          <w:sz w:val="28"/>
          <w:szCs w:val="28"/>
        </w:rPr>
        <w:t>liberal arts</w:t>
      </w:r>
      <w:r w:rsidR="00BB638E">
        <w:rPr>
          <w:sz w:val="28"/>
          <w:szCs w:val="28"/>
        </w:rPr>
        <w:t xml:space="preserve"> in the </w:t>
      </w:r>
      <w:r w:rsidR="00234587">
        <w:rPr>
          <w:sz w:val="28"/>
          <w:szCs w:val="28"/>
        </w:rPr>
        <w:t>US</w:t>
      </w:r>
      <w:r w:rsidR="0026094D">
        <w:rPr>
          <w:sz w:val="28"/>
          <w:szCs w:val="28"/>
        </w:rPr>
        <w:t>,</w:t>
      </w:r>
      <w:r w:rsidR="00FB3525">
        <w:rPr>
          <w:sz w:val="28"/>
          <w:szCs w:val="28"/>
        </w:rPr>
        <w:t xml:space="preserve"> </w:t>
      </w:r>
      <w:r w:rsidR="00BB638E">
        <w:rPr>
          <w:sz w:val="28"/>
          <w:szCs w:val="28"/>
        </w:rPr>
        <w:t xml:space="preserve">high quality </w:t>
      </w:r>
      <w:r w:rsidR="00FB3525">
        <w:rPr>
          <w:sz w:val="28"/>
          <w:szCs w:val="28"/>
        </w:rPr>
        <w:t xml:space="preserve">technical and vocational </w:t>
      </w:r>
      <w:r w:rsidR="00BB638E">
        <w:rPr>
          <w:sz w:val="28"/>
          <w:szCs w:val="28"/>
        </w:rPr>
        <w:t>in Germany</w:t>
      </w:r>
      <w:r w:rsidR="00FB3525">
        <w:rPr>
          <w:sz w:val="28"/>
          <w:szCs w:val="28"/>
        </w:rPr>
        <w:t xml:space="preserve">, </w:t>
      </w:r>
      <w:r w:rsidR="00BB638E">
        <w:rPr>
          <w:sz w:val="28"/>
          <w:szCs w:val="28"/>
        </w:rPr>
        <w:t xml:space="preserve">South Korea and Taiwan, </w:t>
      </w:r>
      <w:r w:rsidR="00FB3525">
        <w:rPr>
          <w:sz w:val="28"/>
          <w:szCs w:val="28"/>
        </w:rPr>
        <w:t>local colleges focused on teaching</w:t>
      </w:r>
      <w:r w:rsidR="00BB638E">
        <w:rPr>
          <w:sz w:val="28"/>
          <w:szCs w:val="28"/>
        </w:rPr>
        <w:t xml:space="preserve">, specialist </w:t>
      </w:r>
      <w:r w:rsidR="00BB638E" w:rsidRPr="00052447">
        <w:rPr>
          <w:sz w:val="28"/>
          <w:szCs w:val="28"/>
        </w:rPr>
        <w:t>institutions almost everywhere</w:t>
      </w:r>
      <w:r w:rsidR="00FB3525" w:rsidRPr="00052447">
        <w:rPr>
          <w:sz w:val="28"/>
          <w:szCs w:val="28"/>
        </w:rPr>
        <w:t xml:space="preserve">. </w:t>
      </w:r>
      <w:r w:rsidR="00C813CB">
        <w:rPr>
          <w:sz w:val="28"/>
          <w:szCs w:val="28"/>
        </w:rPr>
        <w:t>In</w:t>
      </w:r>
      <w:r w:rsidR="00052447">
        <w:rPr>
          <w:sz w:val="28"/>
          <w:szCs w:val="28"/>
        </w:rPr>
        <w:t xml:space="preserve">stead of competition generating </w:t>
      </w:r>
      <w:r w:rsidR="00052447" w:rsidRPr="00052447">
        <w:rPr>
          <w:rFonts w:cs="Times New Roman"/>
          <w:sz w:val="28"/>
          <w:szCs w:val="28"/>
        </w:rPr>
        <w:t xml:space="preserve">a diversity of submarkets and </w:t>
      </w:r>
      <w:r w:rsidR="00355B24">
        <w:rPr>
          <w:rFonts w:cs="Times New Roman"/>
          <w:sz w:val="28"/>
          <w:szCs w:val="28"/>
        </w:rPr>
        <w:t>de-bundled specialist products</w:t>
      </w:r>
      <w:r w:rsidR="00052447">
        <w:rPr>
          <w:rFonts w:cs="Times New Roman"/>
          <w:sz w:val="28"/>
          <w:szCs w:val="28"/>
        </w:rPr>
        <w:t>,</w:t>
      </w:r>
      <w:r w:rsidR="00052447" w:rsidRPr="00052447">
        <w:rPr>
          <w:rFonts w:cs="Times New Roman"/>
          <w:sz w:val="28"/>
          <w:szCs w:val="28"/>
        </w:rPr>
        <w:t xml:space="preserve"> </w:t>
      </w:r>
      <w:r w:rsidR="00355B24" w:rsidRPr="00052447">
        <w:rPr>
          <w:rFonts w:cs="Times New Roman"/>
          <w:sz w:val="28"/>
          <w:szCs w:val="28"/>
        </w:rPr>
        <w:t xml:space="preserve">as </w:t>
      </w:r>
      <w:r w:rsidR="00355B24">
        <w:rPr>
          <w:rFonts w:cs="Times New Roman"/>
          <w:sz w:val="28"/>
          <w:szCs w:val="28"/>
        </w:rPr>
        <w:t xml:space="preserve">in the market imaginary, </w:t>
      </w:r>
      <w:r w:rsidR="00052447" w:rsidRPr="00052447">
        <w:rPr>
          <w:rFonts w:cs="Times New Roman"/>
          <w:sz w:val="28"/>
          <w:szCs w:val="28"/>
        </w:rPr>
        <w:t xml:space="preserve">multipurpose </w:t>
      </w:r>
      <w:r w:rsidR="00052447">
        <w:rPr>
          <w:rFonts w:cs="Times New Roman"/>
          <w:sz w:val="28"/>
          <w:szCs w:val="28"/>
        </w:rPr>
        <w:t>u</w:t>
      </w:r>
      <w:bookmarkStart w:id="0" w:name="_GoBack"/>
      <w:bookmarkEnd w:id="0"/>
      <w:r w:rsidR="00052447">
        <w:rPr>
          <w:rFonts w:cs="Times New Roman"/>
          <w:sz w:val="28"/>
          <w:szCs w:val="28"/>
        </w:rPr>
        <w:t>n</w:t>
      </w:r>
      <w:r w:rsidR="00052447" w:rsidRPr="00052447">
        <w:rPr>
          <w:rFonts w:cs="Times New Roman"/>
          <w:sz w:val="28"/>
          <w:szCs w:val="28"/>
        </w:rPr>
        <w:t>iversities jostle for broad market coverage at the centre of large demand pools in each</w:t>
      </w:r>
      <w:r w:rsidR="00052447" w:rsidRPr="008216EC">
        <w:rPr>
          <w:rFonts w:cs="Times New Roman"/>
          <w:sz w:val="28"/>
          <w:szCs w:val="28"/>
        </w:rPr>
        <w:t xml:space="preserve"> state capital</w:t>
      </w:r>
      <w:r w:rsidR="0094568B">
        <w:rPr>
          <w:rFonts w:cs="Times New Roman"/>
          <w:sz w:val="28"/>
          <w:szCs w:val="28"/>
        </w:rPr>
        <w:t xml:space="preserve"> in the manner of </w:t>
      </w:r>
      <w:r w:rsidR="00052447" w:rsidRPr="008216EC">
        <w:rPr>
          <w:rFonts w:cs="Times New Roman"/>
          <w:sz w:val="28"/>
          <w:szCs w:val="28"/>
        </w:rPr>
        <w:t>free-to-air commercial television</w:t>
      </w:r>
      <w:r w:rsidR="00052447">
        <w:rPr>
          <w:rFonts w:cs="Times New Roman"/>
          <w:sz w:val="28"/>
          <w:szCs w:val="28"/>
        </w:rPr>
        <w:t xml:space="preserve">. </w:t>
      </w:r>
      <w:r w:rsidR="000F2B9C">
        <w:rPr>
          <w:rFonts w:cs="Times New Roman"/>
          <w:sz w:val="28"/>
          <w:szCs w:val="28"/>
        </w:rPr>
        <w:t>The old p</w:t>
      </w:r>
      <w:r w:rsidR="00052447" w:rsidRPr="00052447">
        <w:rPr>
          <w:sz w:val="28"/>
          <w:szCs w:val="28"/>
        </w:rPr>
        <w:t xml:space="preserve">ath-dependency and </w:t>
      </w:r>
      <w:r w:rsidR="000F2B9C">
        <w:rPr>
          <w:sz w:val="28"/>
          <w:szCs w:val="28"/>
        </w:rPr>
        <w:t xml:space="preserve">the </w:t>
      </w:r>
      <w:r w:rsidR="003C554E" w:rsidRPr="00052447">
        <w:rPr>
          <w:sz w:val="28"/>
          <w:szCs w:val="28"/>
        </w:rPr>
        <w:t xml:space="preserve">Dawkins </w:t>
      </w:r>
      <w:r w:rsidR="00073EB1" w:rsidRPr="00052447">
        <w:rPr>
          <w:sz w:val="28"/>
          <w:szCs w:val="28"/>
        </w:rPr>
        <w:t xml:space="preserve">size </w:t>
      </w:r>
      <w:r w:rsidR="003C554E" w:rsidRPr="00052447">
        <w:rPr>
          <w:sz w:val="28"/>
          <w:szCs w:val="28"/>
        </w:rPr>
        <w:t>formula</w:t>
      </w:r>
      <w:r w:rsidR="0094568B">
        <w:rPr>
          <w:sz w:val="28"/>
          <w:szCs w:val="28"/>
        </w:rPr>
        <w:t xml:space="preserve"> </w:t>
      </w:r>
      <w:r w:rsidR="00355B24">
        <w:rPr>
          <w:sz w:val="28"/>
          <w:szCs w:val="28"/>
        </w:rPr>
        <w:t>ar</w:t>
      </w:r>
      <w:r w:rsidR="0094568B">
        <w:rPr>
          <w:sz w:val="28"/>
          <w:szCs w:val="28"/>
        </w:rPr>
        <w:t xml:space="preserve">e </w:t>
      </w:r>
      <w:r w:rsidR="00355B24">
        <w:rPr>
          <w:sz w:val="28"/>
          <w:szCs w:val="28"/>
        </w:rPr>
        <w:t xml:space="preserve">now </w:t>
      </w:r>
      <w:r w:rsidR="00073EB1" w:rsidRPr="00052447">
        <w:rPr>
          <w:sz w:val="28"/>
          <w:szCs w:val="28"/>
        </w:rPr>
        <w:t xml:space="preserve">locked down by </w:t>
      </w:r>
      <w:r w:rsidR="0094568B">
        <w:rPr>
          <w:sz w:val="28"/>
          <w:szCs w:val="28"/>
        </w:rPr>
        <w:t>economies of size and scope and a</w:t>
      </w:r>
      <w:r w:rsidR="00073EB1" w:rsidRPr="00052447">
        <w:rPr>
          <w:sz w:val="28"/>
          <w:szCs w:val="28"/>
        </w:rPr>
        <w:t xml:space="preserve"> pattern of isomorphic imitation. </w:t>
      </w:r>
      <w:r w:rsidR="003F0CA1">
        <w:rPr>
          <w:sz w:val="28"/>
          <w:szCs w:val="28"/>
        </w:rPr>
        <w:t xml:space="preserve">Innovations in mission are too risky. The Melbourne </w:t>
      </w:r>
      <w:r w:rsidR="00234587">
        <w:rPr>
          <w:sz w:val="28"/>
          <w:szCs w:val="28"/>
        </w:rPr>
        <w:t>Model is a rare exception to</w:t>
      </w:r>
      <w:r w:rsidR="003F0CA1">
        <w:rPr>
          <w:sz w:val="28"/>
          <w:szCs w:val="28"/>
        </w:rPr>
        <w:t xml:space="preserve"> </w:t>
      </w:r>
      <w:r w:rsidR="00FA2FDC">
        <w:rPr>
          <w:sz w:val="28"/>
          <w:szCs w:val="28"/>
        </w:rPr>
        <w:t xml:space="preserve">government-imposed standardization and self-imposed standardization. </w:t>
      </w:r>
      <w:r w:rsidR="00FA2FDC">
        <w:rPr>
          <w:rFonts w:cs="Times New Roman"/>
          <w:sz w:val="28"/>
          <w:szCs w:val="28"/>
        </w:rPr>
        <w:t xml:space="preserve">It is a largely one-dimensional sector. </w:t>
      </w:r>
    </w:p>
    <w:p w14:paraId="1596086B" w14:textId="43F02CEF" w:rsidR="008216EC" w:rsidRPr="00FA2FDC" w:rsidRDefault="00234587" w:rsidP="00BE2779">
      <w:pPr>
        <w:spacing w:line="288" w:lineRule="auto"/>
        <w:ind w:firstLine="454"/>
        <w:rPr>
          <w:rFonts w:cs="Times New Roman"/>
          <w:sz w:val="28"/>
          <w:szCs w:val="28"/>
        </w:rPr>
      </w:pPr>
      <w:r>
        <w:rPr>
          <w:rFonts w:cs="Times New Roman"/>
          <w:sz w:val="28"/>
          <w:szCs w:val="28"/>
        </w:rPr>
        <w:t>The universities</w:t>
      </w:r>
      <w:r w:rsidR="005868B5">
        <w:rPr>
          <w:rFonts w:cs="Times New Roman"/>
          <w:sz w:val="28"/>
          <w:szCs w:val="28"/>
        </w:rPr>
        <w:t xml:space="preserve"> are strung out in a long vertical line in descending research-intensity, resources and status. Moving down the line, the marketing claims become </w:t>
      </w:r>
      <w:proofErr w:type="gramStart"/>
      <w:r w:rsidR="005868B5">
        <w:rPr>
          <w:rFonts w:cs="Times New Roman"/>
          <w:sz w:val="28"/>
          <w:szCs w:val="28"/>
        </w:rPr>
        <w:t>more hollow</w:t>
      </w:r>
      <w:proofErr w:type="gramEnd"/>
      <w:r w:rsidR="005868B5">
        <w:rPr>
          <w:rFonts w:cs="Times New Roman"/>
          <w:sz w:val="28"/>
          <w:szCs w:val="28"/>
        </w:rPr>
        <w:t xml:space="preserve"> as value </w:t>
      </w:r>
      <w:r w:rsidR="00E0011B">
        <w:rPr>
          <w:rFonts w:cs="Times New Roman"/>
          <w:sz w:val="28"/>
          <w:szCs w:val="28"/>
        </w:rPr>
        <w:t>declines</w:t>
      </w:r>
      <w:r w:rsidR="005868B5">
        <w:rPr>
          <w:rFonts w:cs="Times New Roman"/>
          <w:sz w:val="28"/>
          <w:szCs w:val="28"/>
        </w:rPr>
        <w:t xml:space="preserve">, though price stays the same. </w:t>
      </w:r>
    </w:p>
    <w:p w14:paraId="7144852B" w14:textId="44F24CE0" w:rsidR="00FA2FDC" w:rsidRDefault="00347EA4" w:rsidP="00BE2779">
      <w:pPr>
        <w:spacing w:line="288" w:lineRule="auto"/>
        <w:rPr>
          <w:sz w:val="28"/>
          <w:szCs w:val="28"/>
        </w:rPr>
      </w:pPr>
      <w:r>
        <w:rPr>
          <w:sz w:val="28"/>
          <w:szCs w:val="28"/>
        </w:rPr>
        <w:tab/>
        <w:t xml:space="preserve">Fourth, </w:t>
      </w:r>
      <w:r w:rsidR="002D02F1">
        <w:rPr>
          <w:sz w:val="28"/>
          <w:szCs w:val="28"/>
        </w:rPr>
        <w:t xml:space="preserve">whereas many </w:t>
      </w:r>
      <w:r w:rsidR="007919E2">
        <w:rPr>
          <w:sz w:val="28"/>
          <w:szCs w:val="28"/>
        </w:rPr>
        <w:t xml:space="preserve">other </w:t>
      </w:r>
      <w:r w:rsidR="002D02F1">
        <w:rPr>
          <w:sz w:val="28"/>
          <w:szCs w:val="28"/>
        </w:rPr>
        <w:t xml:space="preserve">nations </w:t>
      </w:r>
      <w:r w:rsidR="00E0011B">
        <w:rPr>
          <w:sz w:val="28"/>
          <w:szCs w:val="28"/>
        </w:rPr>
        <w:t xml:space="preserve">vigorously </w:t>
      </w:r>
      <w:r w:rsidR="002D02F1">
        <w:rPr>
          <w:sz w:val="28"/>
          <w:szCs w:val="28"/>
        </w:rPr>
        <w:t>foster a ‘World-Class’ university layer</w:t>
      </w:r>
      <w:r w:rsidR="007919E2">
        <w:rPr>
          <w:sz w:val="28"/>
          <w:szCs w:val="28"/>
        </w:rPr>
        <w:t>,</w:t>
      </w:r>
      <w:r w:rsidR="002D02F1">
        <w:rPr>
          <w:sz w:val="28"/>
          <w:szCs w:val="28"/>
        </w:rPr>
        <w:t xml:space="preserve"> </w:t>
      </w:r>
      <w:r w:rsidR="00611EE8">
        <w:rPr>
          <w:sz w:val="28"/>
          <w:szCs w:val="28"/>
        </w:rPr>
        <w:t>in Australia policy</w:t>
      </w:r>
      <w:r w:rsidR="00352973">
        <w:rPr>
          <w:sz w:val="28"/>
          <w:szCs w:val="28"/>
        </w:rPr>
        <w:t>,</w:t>
      </w:r>
      <w:r w:rsidR="00611EE8">
        <w:rPr>
          <w:sz w:val="28"/>
          <w:szCs w:val="28"/>
        </w:rPr>
        <w:t xml:space="preserve"> regulation </w:t>
      </w:r>
      <w:r w:rsidR="00352973">
        <w:rPr>
          <w:sz w:val="28"/>
          <w:szCs w:val="28"/>
        </w:rPr>
        <w:t>and funding flatten</w:t>
      </w:r>
      <w:r w:rsidR="00FA05F8">
        <w:rPr>
          <w:sz w:val="28"/>
          <w:szCs w:val="28"/>
        </w:rPr>
        <w:t xml:space="preserve"> the top universities</w:t>
      </w:r>
      <w:r w:rsidR="00611EE8">
        <w:rPr>
          <w:sz w:val="28"/>
          <w:szCs w:val="28"/>
        </w:rPr>
        <w:t xml:space="preserve">. </w:t>
      </w:r>
      <w:r w:rsidR="00352973">
        <w:rPr>
          <w:sz w:val="28"/>
          <w:szCs w:val="28"/>
        </w:rPr>
        <w:t xml:space="preserve">The Go8 have the first mover advantage, they are the oldest and strongest and they </w:t>
      </w:r>
      <w:r w:rsidR="007919E2">
        <w:rPr>
          <w:sz w:val="28"/>
          <w:szCs w:val="28"/>
        </w:rPr>
        <w:t xml:space="preserve">concentrate </w:t>
      </w:r>
      <w:r w:rsidR="00234587">
        <w:rPr>
          <w:sz w:val="28"/>
          <w:szCs w:val="28"/>
        </w:rPr>
        <w:t>much of</w:t>
      </w:r>
      <w:r w:rsidR="007919E2">
        <w:rPr>
          <w:sz w:val="28"/>
          <w:szCs w:val="28"/>
        </w:rPr>
        <w:t xml:space="preserve"> the</w:t>
      </w:r>
      <w:r w:rsidR="00352973">
        <w:rPr>
          <w:sz w:val="28"/>
          <w:szCs w:val="28"/>
        </w:rPr>
        <w:t xml:space="preserve"> research capacity. </w:t>
      </w:r>
      <w:r w:rsidR="00FA2FDC">
        <w:rPr>
          <w:sz w:val="28"/>
          <w:szCs w:val="28"/>
        </w:rPr>
        <w:t>They have</w:t>
      </w:r>
      <w:r w:rsidR="00352973">
        <w:rPr>
          <w:sz w:val="28"/>
          <w:szCs w:val="28"/>
        </w:rPr>
        <w:t xml:space="preserve"> a quarter of the student load</w:t>
      </w:r>
      <w:r w:rsidR="00FA2FDC">
        <w:rPr>
          <w:sz w:val="28"/>
          <w:szCs w:val="28"/>
        </w:rPr>
        <w:t xml:space="preserve"> but 70 per cent</w:t>
      </w:r>
      <w:r w:rsidR="00352973">
        <w:rPr>
          <w:sz w:val="28"/>
          <w:szCs w:val="28"/>
        </w:rPr>
        <w:t xml:space="preserve"> of </w:t>
      </w:r>
      <w:r w:rsidR="00FA2FDC">
        <w:rPr>
          <w:sz w:val="28"/>
          <w:szCs w:val="28"/>
        </w:rPr>
        <w:t xml:space="preserve">the </w:t>
      </w:r>
      <w:r w:rsidR="00352973">
        <w:rPr>
          <w:sz w:val="28"/>
          <w:szCs w:val="28"/>
        </w:rPr>
        <w:t xml:space="preserve">academically competitive </w:t>
      </w:r>
      <w:r w:rsidR="00352973">
        <w:rPr>
          <w:sz w:val="28"/>
          <w:szCs w:val="28"/>
        </w:rPr>
        <w:lastRenderedPageBreak/>
        <w:t>research funding</w:t>
      </w:r>
      <w:r w:rsidR="00FA2FDC">
        <w:rPr>
          <w:sz w:val="28"/>
          <w:szCs w:val="28"/>
        </w:rPr>
        <w:t xml:space="preserve"> and 51 per cent of </w:t>
      </w:r>
      <w:r w:rsidR="00352973">
        <w:rPr>
          <w:sz w:val="28"/>
          <w:szCs w:val="28"/>
        </w:rPr>
        <w:t>publications.</w:t>
      </w:r>
      <w:r w:rsidR="00352973">
        <w:rPr>
          <w:rStyle w:val="FootnoteReference"/>
          <w:sz w:val="28"/>
          <w:szCs w:val="28"/>
        </w:rPr>
        <w:footnoteReference w:id="24"/>
      </w:r>
      <w:r w:rsidR="00352973">
        <w:rPr>
          <w:sz w:val="28"/>
          <w:szCs w:val="28"/>
        </w:rPr>
        <w:t xml:space="preserve"> However, they have limited scope </w:t>
      </w:r>
      <w:r w:rsidR="00B571F3">
        <w:rPr>
          <w:sz w:val="28"/>
          <w:szCs w:val="28"/>
        </w:rPr>
        <w:t>to</w:t>
      </w:r>
      <w:r w:rsidR="00352973">
        <w:rPr>
          <w:sz w:val="28"/>
          <w:szCs w:val="28"/>
        </w:rPr>
        <w:t xml:space="preserve"> build </w:t>
      </w:r>
      <w:r w:rsidR="00B571F3">
        <w:rPr>
          <w:sz w:val="28"/>
          <w:szCs w:val="28"/>
        </w:rPr>
        <w:t xml:space="preserve">their position because of </w:t>
      </w:r>
      <w:r w:rsidR="00FA2FDC">
        <w:rPr>
          <w:sz w:val="28"/>
          <w:szCs w:val="28"/>
        </w:rPr>
        <w:t xml:space="preserve">the fixed price character of both fees and public subsidies. </w:t>
      </w:r>
      <w:r w:rsidR="00234587">
        <w:rPr>
          <w:sz w:val="28"/>
          <w:szCs w:val="28"/>
        </w:rPr>
        <w:t xml:space="preserve">They can charge </w:t>
      </w:r>
      <w:r w:rsidR="00FA2FDC">
        <w:rPr>
          <w:sz w:val="28"/>
          <w:szCs w:val="28"/>
        </w:rPr>
        <w:t xml:space="preserve">higher </w:t>
      </w:r>
      <w:r w:rsidR="00234587">
        <w:rPr>
          <w:sz w:val="28"/>
          <w:szCs w:val="28"/>
        </w:rPr>
        <w:t xml:space="preserve">international student </w:t>
      </w:r>
      <w:r w:rsidR="00FA2FDC">
        <w:rPr>
          <w:sz w:val="28"/>
          <w:szCs w:val="28"/>
        </w:rPr>
        <w:t xml:space="preserve">fees than other universities and </w:t>
      </w:r>
      <w:r w:rsidR="00234587">
        <w:rPr>
          <w:sz w:val="28"/>
          <w:szCs w:val="28"/>
        </w:rPr>
        <w:t>enrol</w:t>
      </w:r>
      <w:r w:rsidR="00FA2FDC">
        <w:rPr>
          <w:sz w:val="28"/>
          <w:szCs w:val="28"/>
        </w:rPr>
        <w:t xml:space="preserve"> huge volume. Elite educators at home, mass education abroad. But </w:t>
      </w:r>
      <w:r w:rsidR="00234587">
        <w:rPr>
          <w:sz w:val="28"/>
          <w:szCs w:val="28"/>
        </w:rPr>
        <w:t xml:space="preserve">this creates only a modest advantage overall, as second </w:t>
      </w:r>
      <w:r w:rsidR="00FA2FDC">
        <w:rPr>
          <w:sz w:val="28"/>
          <w:szCs w:val="28"/>
        </w:rPr>
        <w:t xml:space="preserve">tier universities can also enrol huge volume. </w:t>
      </w:r>
    </w:p>
    <w:p w14:paraId="79EC4271" w14:textId="4CB1B453" w:rsidR="00BE1ECC" w:rsidRDefault="00FA2FDC" w:rsidP="00BE2779">
      <w:pPr>
        <w:spacing w:line="288" w:lineRule="auto"/>
        <w:ind w:firstLine="454"/>
        <w:rPr>
          <w:sz w:val="28"/>
          <w:szCs w:val="28"/>
        </w:rPr>
      </w:pPr>
      <w:r>
        <w:rPr>
          <w:sz w:val="28"/>
          <w:szCs w:val="28"/>
        </w:rPr>
        <w:t>Melbourne’s international competitors have better income streams. T</w:t>
      </w:r>
      <w:r w:rsidR="00B571F3">
        <w:rPr>
          <w:sz w:val="28"/>
          <w:szCs w:val="28"/>
        </w:rPr>
        <w:t xml:space="preserve">he </w:t>
      </w:r>
      <w:r w:rsidR="00352973">
        <w:rPr>
          <w:sz w:val="28"/>
          <w:szCs w:val="28"/>
        </w:rPr>
        <w:t xml:space="preserve">top </w:t>
      </w:r>
      <w:r w:rsidR="00B571F3">
        <w:rPr>
          <w:sz w:val="28"/>
          <w:szCs w:val="28"/>
        </w:rPr>
        <w:t xml:space="preserve">British </w:t>
      </w:r>
      <w:r w:rsidR="00352973">
        <w:rPr>
          <w:sz w:val="28"/>
          <w:szCs w:val="28"/>
        </w:rPr>
        <w:t xml:space="preserve">research universities receive </w:t>
      </w:r>
      <w:r w:rsidR="00E728EE">
        <w:rPr>
          <w:sz w:val="28"/>
          <w:szCs w:val="28"/>
        </w:rPr>
        <w:t xml:space="preserve">large-scale </w:t>
      </w:r>
      <w:r w:rsidR="000A3CAD">
        <w:rPr>
          <w:sz w:val="28"/>
          <w:szCs w:val="28"/>
        </w:rPr>
        <w:t xml:space="preserve">grants </w:t>
      </w:r>
      <w:r>
        <w:rPr>
          <w:sz w:val="28"/>
          <w:szCs w:val="28"/>
        </w:rPr>
        <w:t xml:space="preserve">for research performance </w:t>
      </w:r>
      <w:r w:rsidR="000A3CAD">
        <w:rPr>
          <w:sz w:val="28"/>
          <w:szCs w:val="28"/>
        </w:rPr>
        <w:t>via</w:t>
      </w:r>
      <w:r w:rsidR="00B571F3">
        <w:rPr>
          <w:sz w:val="28"/>
          <w:szCs w:val="28"/>
        </w:rPr>
        <w:t xml:space="preserve"> the REF</w:t>
      </w:r>
      <w:r>
        <w:rPr>
          <w:sz w:val="28"/>
          <w:szCs w:val="28"/>
        </w:rPr>
        <w:t>. There is no extra funding attached to the ERA in Australia</w:t>
      </w:r>
      <w:r w:rsidR="00E0011B">
        <w:rPr>
          <w:sz w:val="28"/>
          <w:szCs w:val="28"/>
        </w:rPr>
        <w:t xml:space="preserve">. </w:t>
      </w:r>
      <w:r>
        <w:rPr>
          <w:sz w:val="28"/>
          <w:szCs w:val="28"/>
        </w:rPr>
        <w:t>L</w:t>
      </w:r>
      <w:r w:rsidR="00E0011B">
        <w:rPr>
          <w:sz w:val="28"/>
          <w:szCs w:val="28"/>
        </w:rPr>
        <w:t xml:space="preserve">eading American universities have philanthropic funding and </w:t>
      </w:r>
      <w:r>
        <w:rPr>
          <w:sz w:val="28"/>
          <w:szCs w:val="28"/>
        </w:rPr>
        <w:t>strong</w:t>
      </w:r>
      <w:r w:rsidR="00E0011B">
        <w:rPr>
          <w:sz w:val="28"/>
          <w:szCs w:val="28"/>
        </w:rPr>
        <w:t xml:space="preserve"> federal research support. In Japan, China, Singapore, Germany, and France there is selective distribution of discrete parcels of public funding </w:t>
      </w:r>
      <w:r w:rsidR="000A3CAD">
        <w:rPr>
          <w:sz w:val="28"/>
          <w:szCs w:val="28"/>
        </w:rPr>
        <w:t xml:space="preserve">to </w:t>
      </w:r>
      <w:r w:rsidR="00E0011B">
        <w:rPr>
          <w:sz w:val="28"/>
          <w:szCs w:val="28"/>
        </w:rPr>
        <w:t xml:space="preserve">augment research. </w:t>
      </w:r>
      <w:r w:rsidR="00234587">
        <w:rPr>
          <w:sz w:val="28"/>
          <w:szCs w:val="28"/>
        </w:rPr>
        <w:t>T</w:t>
      </w:r>
      <w:r w:rsidR="00B571F3">
        <w:rPr>
          <w:sz w:val="28"/>
          <w:szCs w:val="28"/>
        </w:rPr>
        <w:t>he</w:t>
      </w:r>
      <w:r w:rsidR="00B95B45">
        <w:rPr>
          <w:sz w:val="28"/>
          <w:szCs w:val="28"/>
        </w:rPr>
        <w:t xml:space="preserve"> Go8 maintains </w:t>
      </w:r>
      <w:r w:rsidR="00B571F3">
        <w:rPr>
          <w:sz w:val="28"/>
          <w:szCs w:val="28"/>
        </w:rPr>
        <w:t>the</w:t>
      </w:r>
      <w:r w:rsidR="0043769E">
        <w:rPr>
          <w:sz w:val="28"/>
          <w:szCs w:val="28"/>
        </w:rPr>
        <w:t xml:space="preserve"> distance </w:t>
      </w:r>
      <w:r>
        <w:rPr>
          <w:sz w:val="28"/>
          <w:szCs w:val="28"/>
        </w:rPr>
        <w:t>from</w:t>
      </w:r>
      <w:r w:rsidR="00B571F3">
        <w:rPr>
          <w:sz w:val="28"/>
          <w:szCs w:val="28"/>
        </w:rPr>
        <w:t xml:space="preserve"> </w:t>
      </w:r>
      <w:r w:rsidR="00234587">
        <w:rPr>
          <w:sz w:val="28"/>
          <w:szCs w:val="28"/>
        </w:rPr>
        <w:t xml:space="preserve">the next tier, like </w:t>
      </w:r>
      <w:r w:rsidR="0043769E">
        <w:rPr>
          <w:sz w:val="28"/>
          <w:szCs w:val="28"/>
        </w:rPr>
        <w:t xml:space="preserve">Wollongong, </w:t>
      </w:r>
      <w:r w:rsidR="00811654">
        <w:rPr>
          <w:sz w:val="28"/>
          <w:szCs w:val="28"/>
        </w:rPr>
        <w:t>Curtin</w:t>
      </w:r>
      <w:r w:rsidR="00FA05F8">
        <w:rPr>
          <w:sz w:val="28"/>
          <w:szCs w:val="28"/>
        </w:rPr>
        <w:t xml:space="preserve"> or</w:t>
      </w:r>
      <w:r w:rsidR="00811654">
        <w:rPr>
          <w:sz w:val="28"/>
          <w:szCs w:val="28"/>
        </w:rPr>
        <w:t xml:space="preserve"> QUT</w:t>
      </w:r>
      <w:r w:rsidR="00B571F3">
        <w:rPr>
          <w:sz w:val="28"/>
          <w:szCs w:val="28"/>
        </w:rPr>
        <w:t xml:space="preserve"> but has limited scope to bridge the gap with Imperial or Tokyo</w:t>
      </w:r>
      <w:r w:rsidR="00811654">
        <w:rPr>
          <w:sz w:val="28"/>
          <w:szCs w:val="28"/>
        </w:rPr>
        <w:t xml:space="preserve">. </w:t>
      </w:r>
    </w:p>
    <w:p w14:paraId="77BDD58B" w14:textId="2EC15833" w:rsidR="00BE1ECC" w:rsidRDefault="001F7043" w:rsidP="00BE2779">
      <w:pPr>
        <w:spacing w:line="288" w:lineRule="auto"/>
        <w:rPr>
          <w:sz w:val="28"/>
          <w:szCs w:val="28"/>
        </w:rPr>
      </w:pPr>
      <w:r>
        <w:rPr>
          <w:sz w:val="28"/>
          <w:szCs w:val="28"/>
        </w:rPr>
        <w:tab/>
        <w:t xml:space="preserve">Fifth, </w:t>
      </w:r>
      <w:r w:rsidR="00C351B9">
        <w:rPr>
          <w:sz w:val="28"/>
          <w:szCs w:val="28"/>
        </w:rPr>
        <w:t xml:space="preserve">on the other side of the coin, </w:t>
      </w:r>
      <w:r>
        <w:rPr>
          <w:sz w:val="28"/>
          <w:szCs w:val="28"/>
        </w:rPr>
        <w:t xml:space="preserve">Australia is notable among national </w:t>
      </w:r>
      <w:r w:rsidR="00BA0320">
        <w:rPr>
          <w:sz w:val="28"/>
          <w:szCs w:val="28"/>
        </w:rPr>
        <w:t xml:space="preserve">systems for the strength of its middle layer of universities. No less than 23 of </w:t>
      </w:r>
      <w:r w:rsidR="0030524C">
        <w:rPr>
          <w:sz w:val="28"/>
          <w:szCs w:val="28"/>
        </w:rPr>
        <w:t>the</w:t>
      </w:r>
      <w:r w:rsidR="00BA0320">
        <w:rPr>
          <w:sz w:val="28"/>
          <w:szCs w:val="28"/>
        </w:rPr>
        <w:t xml:space="preserve"> 40 </w:t>
      </w:r>
      <w:r w:rsidR="0030524C">
        <w:rPr>
          <w:sz w:val="28"/>
          <w:szCs w:val="28"/>
        </w:rPr>
        <w:t xml:space="preserve">Australian </w:t>
      </w:r>
      <w:r w:rsidR="00BA0320">
        <w:rPr>
          <w:sz w:val="28"/>
          <w:szCs w:val="28"/>
        </w:rPr>
        <w:t>universities are in the ARWU global top 500</w:t>
      </w:r>
      <w:r w:rsidR="0030524C">
        <w:rPr>
          <w:sz w:val="28"/>
          <w:szCs w:val="28"/>
        </w:rPr>
        <w:t>, the Go8 and f</w:t>
      </w:r>
      <w:r w:rsidR="00BA0320">
        <w:rPr>
          <w:sz w:val="28"/>
          <w:szCs w:val="28"/>
        </w:rPr>
        <w:t xml:space="preserve">ifteen </w:t>
      </w:r>
      <w:r w:rsidR="00C351B9">
        <w:rPr>
          <w:sz w:val="28"/>
          <w:szCs w:val="28"/>
        </w:rPr>
        <w:t>more</w:t>
      </w:r>
      <w:r w:rsidR="00BA0320">
        <w:rPr>
          <w:sz w:val="28"/>
          <w:szCs w:val="28"/>
        </w:rPr>
        <w:t xml:space="preserve">. </w:t>
      </w:r>
      <w:r w:rsidR="0030524C">
        <w:rPr>
          <w:sz w:val="28"/>
          <w:szCs w:val="28"/>
        </w:rPr>
        <w:t>Middle u</w:t>
      </w:r>
      <w:r w:rsidR="00BA0320">
        <w:rPr>
          <w:sz w:val="28"/>
          <w:szCs w:val="28"/>
        </w:rPr>
        <w:t>niversities are pulled between the conflicting goals of building volume and building research</w:t>
      </w:r>
      <w:r w:rsidR="00CF73F5">
        <w:rPr>
          <w:sz w:val="28"/>
          <w:szCs w:val="28"/>
        </w:rPr>
        <w:t>. Some have niche research profiles</w:t>
      </w:r>
      <w:r w:rsidR="00C06CEC">
        <w:rPr>
          <w:sz w:val="28"/>
          <w:szCs w:val="28"/>
        </w:rPr>
        <w:t>, like James Cook and UTS, while</w:t>
      </w:r>
      <w:r w:rsidR="00CF73F5">
        <w:rPr>
          <w:sz w:val="28"/>
          <w:szCs w:val="28"/>
        </w:rPr>
        <w:t xml:space="preserve"> others </w:t>
      </w:r>
      <w:r w:rsidR="00C06CEC">
        <w:rPr>
          <w:sz w:val="28"/>
          <w:szCs w:val="28"/>
        </w:rPr>
        <w:t xml:space="preserve">like Curtin </w:t>
      </w:r>
      <w:r w:rsidR="00CF73F5">
        <w:rPr>
          <w:sz w:val="28"/>
          <w:szCs w:val="28"/>
        </w:rPr>
        <w:t>are more comprehensive</w:t>
      </w:r>
      <w:r w:rsidR="00BA0320">
        <w:rPr>
          <w:sz w:val="28"/>
          <w:szCs w:val="28"/>
        </w:rPr>
        <w:t xml:space="preserve">. </w:t>
      </w:r>
      <w:r w:rsidR="00234587">
        <w:rPr>
          <w:sz w:val="28"/>
          <w:szCs w:val="28"/>
        </w:rPr>
        <w:t>But t</w:t>
      </w:r>
      <w:r w:rsidR="0030524C">
        <w:rPr>
          <w:sz w:val="28"/>
          <w:szCs w:val="28"/>
        </w:rPr>
        <w:t xml:space="preserve">hey </w:t>
      </w:r>
      <w:r w:rsidR="00C351B9">
        <w:rPr>
          <w:sz w:val="28"/>
          <w:szCs w:val="28"/>
        </w:rPr>
        <w:t xml:space="preserve">all </w:t>
      </w:r>
      <w:r w:rsidR="0030524C">
        <w:rPr>
          <w:sz w:val="28"/>
          <w:szCs w:val="28"/>
        </w:rPr>
        <w:t xml:space="preserve">benefit from </w:t>
      </w:r>
      <w:r w:rsidR="00FA2FDC">
        <w:rPr>
          <w:sz w:val="28"/>
          <w:szCs w:val="28"/>
        </w:rPr>
        <w:t>the regime</w:t>
      </w:r>
      <w:r w:rsidR="0030524C">
        <w:rPr>
          <w:sz w:val="28"/>
          <w:szCs w:val="28"/>
        </w:rPr>
        <w:t xml:space="preserve"> that hold down the Go8</w:t>
      </w:r>
      <w:r w:rsidR="00FA2FDC">
        <w:rPr>
          <w:sz w:val="28"/>
          <w:szCs w:val="28"/>
        </w:rPr>
        <w:t>, and are</w:t>
      </w:r>
      <w:r w:rsidR="0030524C">
        <w:rPr>
          <w:sz w:val="28"/>
          <w:szCs w:val="28"/>
        </w:rPr>
        <w:t xml:space="preserve"> </w:t>
      </w:r>
      <w:r w:rsidR="00234587">
        <w:rPr>
          <w:sz w:val="28"/>
          <w:szCs w:val="28"/>
        </w:rPr>
        <w:t xml:space="preserve">also </w:t>
      </w:r>
      <w:r w:rsidR="0030524C">
        <w:rPr>
          <w:sz w:val="28"/>
          <w:szCs w:val="28"/>
        </w:rPr>
        <w:t>allocated funding for research degrees and research infrastructure a little out of proportion to their share of research capacity</w:t>
      </w:r>
      <w:r w:rsidR="00C06CEC">
        <w:rPr>
          <w:sz w:val="28"/>
          <w:szCs w:val="28"/>
        </w:rPr>
        <w:t xml:space="preserve">. </w:t>
      </w:r>
      <w:r w:rsidR="00FA2FDC">
        <w:rPr>
          <w:sz w:val="28"/>
          <w:szCs w:val="28"/>
        </w:rPr>
        <w:t xml:space="preserve">The </w:t>
      </w:r>
      <w:r w:rsidR="00234587">
        <w:rPr>
          <w:sz w:val="28"/>
          <w:szCs w:val="28"/>
        </w:rPr>
        <w:t xml:space="preserve">overall </w:t>
      </w:r>
      <w:r w:rsidR="00FA2FDC">
        <w:rPr>
          <w:sz w:val="28"/>
          <w:szCs w:val="28"/>
        </w:rPr>
        <w:t xml:space="preserve">effect </w:t>
      </w:r>
      <w:r w:rsidR="008B5AED">
        <w:rPr>
          <w:sz w:val="28"/>
          <w:szCs w:val="28"/>
        </w:rPr>
        <w:t>is to maximise the</w:t>
      </w:r>
      <w:r w:rsidR="00FA2FDC">
        <w:rPr>
          <w:sz w:val="28"/>
          <w:szCs w:val="28"/>
        </w:rPr>
        <w:t xml:space="preserve"> </w:t>
      </w:r>
      <w:r w:rsidR="000A3CAD">
        <w:rPr>
          <w:sz w:val="28"/>
          <w:szCs w:val="28"/>
        </w:rPr>
        <w:t>number of strong branded income earn</w:t>
      </w:r>
      <w:r w:rsidR="00234587">
        <w:rPr>
          <w:sz w:val="28"/>
          <w:szCs w:val="28"/>
        </w:rPr>
        <w:t>ing universities</w:t>
      </w:r>
      <w:r w:rsidR="000A3CAD">
        <w:rPr>
          <w:sz w:val="28"/>
          <w:szCs w:val="28"/>
        </w:rPr>
        <w:t xml:space="preserve"> in the global market. </w:t>
      </w:r>
      <w:r w:rsidR="00C351B9">
        <w:rPr>
          <w:sz w:val="28"/>
          <w:szCs w:val="28"/>
        </w:rPr>
        <w:t xml:space="preserve">The downside is </w:t>
      </w:r>
      <w:r w:rsidR="008B5AED">
        <w:rPr>
          <w:sz w:val="28"/>
          <w:szCs w:val="28"/>
        </w:rPr>
        <w:t>reduced</w:t>
      </w:r>
      <w:r w:rsidR="00C351B9">
        <w:rPr>
          <w:sz w:val="28"/>
          <w:szCs w:val="28"/>
        </w:rPr>
        <w:t xml:space="preserve"> quality at the top.</w:t>
      </w:r>
    </w:p>
    <w:p w14:paraId="60A42461" w14:textId="77777777" w:rsidR="001F7043" w:rsidRDefault="001F7043" w:rsidP="00BE2779">
      <w:pPr>
        <w:spacing w:line="288" w:lineRule="auto"/>
        <w:rPr>
          <w:sz w:val="28"/>
          <w:szCs w:val="28"/>
        </w:rPr>
      </w:pPr>
    </w:p>
    <w:p w14:paraId="21F1E2C8" w14:textId="77777777" w:rsidR="00B04979" w:rsidRDefault="00B04979" w:rsidP="00BE2779">
      <w:pPr>
        <w:spacing w:line="288" w:lineRule="auto"/>
        <w:rPr>
          <w:sz w:val="28"/>
          <w:szCs w:val="28"/>
        </w:rPr>
      </w:pPr>
      <w:r>
        <w:rPr>
          <w:sz w:val="28"/>
          <w:szCs w:val="28"/>
        </w:rPr>
        <w:t>[INTERNATIONAL COMPARISONS]</w:t>
      </w:r>
    </w:p>
    <w:p w14:paraId="6537BFEC" w14:textId="01C08954" w:rsidR="00FE34FC" w:rsidRDefault="00BA033C" w:rsidP="00BE2779">
      <w:pPr>
        <w:spacing w:line="288" w:lineRule="auto"/>
        <w:rPr>
          <w:sz w:val="28"/>
          <w:szCs w:val="28"/>
        </w:rPr>
      </w:pPr>
      <w:r>
        <w:rPr>
          <w:sz w:val="28"/>
          <w:szCs w:val="28"/>
        </w:rPr>
        <w:t>I</w:t>
      </w:r>
      <w:r w:rsidR="000A48A4">
        <w:rPr>
          <w:sz w:val="28"/>
          <w:szCs w:val="28"/>
        </w:rPr>
        <w:t xml:space="preserve">nternational comparisons are </w:t>
      </w:r>
      <w:r w:rsidR="00E728EE">
        <w:rPr>
          <w:sz w:val="28"/>
          <w:szCs w:val="28"/>
        </w:rPr>
        <w:t>useful discipline. In</w:t>
      </w:r>
      <w:r w:rsidR="000A48A4">
        <w:rPr>
          <w:sz w:val="28"/>
          <w:szCs w:val="28"/>
        </w:rPr>
        <w:t xml:space="preserve"> corporate-minded </w:t>
      </w:r>
      <w:r w:rsidR="00E728EE">
        <w:rPr>
          <w:sz w:val="28"/>
          <w:szCs w:val="28"/>
        </w:rPr>
        <w:t xml:space="preserve">universities </w:t>
      </w:r>
      <w:r w:rsidR="000A48A4">
        <w:rPr>
          <w:sz w:val="28"/>
          <w:szCs w:val="28"/>
        </w:rPr>
        <w:t>there always the danger that you will st</w:t>
      </w:r>
      <w:r w:rsidR="00E728EE">
        <w:rPr>
          <w:sz w:val="28"/>
          <w:szCs w:val="28"/>
        </w:rPr>
        <w:t>art</w:t>
      </w:r>
      <w:r w:rsidR="000A48A4">
        <w:rPr>
          <w:sz w:val="28"/>
          <w:szCs w:val="28"/>
        </w:rPr>
        <w:t xml:space="preserve"> to believe your own marketing. The road to hubris is paved </w:t>
      </w:r>
      <w:r w:rsidR="00C815FA">
        <w:rPr>
          <w:sz w:val="28"/>
          <w:szCs w:val="28"/>
        </w:rPr>
        <w:t>by focus groups</w:t>
      </w:r>
      <w:r w:rsidR="000A48A4">
        <w:rPr>
          <w:sz w:val="28"/>
          <w:szCs w:val="28"/>
        </w:rPr>
        <w:t xml:space="preserve">. </w:t>
      </w:r>
      <w:r w:rsidR="00E728EE">
        <w:rPr>
          <w:sz w:val="28"/>
          <w:szCs w:val="28"/>
        </w:rPr>
        <w:t>Realistic comparisons foster humility,</w:t>
      </w:r>
      <w:r w:rsidR="000A48A4">
        <w:rPr>
          <w:sz w:val="28"/>
          <w:szCs w:val="28"/>
        </w:rPr>
        <w:t xml:space="preserve"> which is the beginning of wisdom.</w:t>
      </w:r>
      <w:r>
        <w:rPr>
          <w:sz w:val="28"/>
          <w:szCs w:val="28"/>
        </w:rPr>
        <w:t xml:space="preserve"> </w:t>
      </w:r>
    </w:p>
    <w:p w14:paraId="10FCFD50" w14:textId="01102D20" w:rsidR="00B84D0C" w:rsidRDefault="008B5AED" w:rsidP="00BE2779">
      <w:pPr>
        <w:spacing w:line="288" w:lineRule="auto"/>
        <w:ind w:firstLine="454"/>
        <w:rPr>
          <w:sz w:val="28"/>
          <w:szCs w:val="28"/>
        </w:rPr>
      </w:pPr>
      <w:r>
        <w:rPr>
          <w:sz w:val="28"/>
          <w:szCs w:val="28"/>
        </w:rPr>
        <w:lastRenderedPageBreak/>
        <w:t>C</w:t>
      </w:r>
      <w:r w:rsidR="00BA033C">
        <w:rPr>
          <w:sz w:val="28"/>
          <w:szCs w:val="28"/>
        </w:rPr>
        <w:t>omparison does not mean imitation. It merely helps us to know where we are located.</w:t>
      </w:r>
      <w:r w:rsidR="00FE34FC">
        <w:rPr>
          <w:sz w:val="28"/>
          <w:szCs w:val="28"/>
        </w:rPr>
        <w:t xml:space="preserve"> </w:t>
      </w:r>
    </w:p>
    <w:p w14:paraId="6326ABAC" w14:textId="7B62FFC3" w:rsidR="00C1706F" w:rsidRDefault="00A7672F" w:rsidP="00BE2779">
      <w:pPr>
        <w:spacing w:line="288" w:lineRule="auto"/>
        <w:ind w:firstLine="454"/>
        <w:rPr>
          <w:sz w:val="28"/>
          <w:szCs w:val="28"/>
        </w:rPr>
      </w:pPr>
      <w:r w:rsidRPr="00A7672F">
        <w:rPr>
          <w:i/>
          <w:sz w:val="28"/>
          <w:szCs w:val="28"/>
        </w:rPr>
        <w:t>S</w:t>
      </w:r>
      <w:r w:rsidR="00B84D0C" w:rsidRPr="00A7672F">
        <w:rPr>
          <w:i/>
          <w:sz w:val="28"/>
          <w:szCs w:val="28"/>
        </w:rPr>
        <w:t>ystem and structure.</w:t>
      </w:r>
      <w:r w:rsidR="00B84D0C">
        <w:rPr>
          <w:sz w:val="28"/>
          <w:szCs w:val="28"/>
        </w:rPr>
        <w:t xml:space="preserve"> </w:t>
      </w:r>
      <w:r w:rsidR="003C1B28">
        <w:rPr>
          <w:sz w:val="28"/>
          <w:szCs w:val="28"/>
        </w:rPr>
        <w:t xml:space="preserve">There is no other higher education </w:t>
      </w:r>
      <w:r w:rsidR="008B5AED">
        <w:rPr>
          <w:sz w:val="28"/>
          <w:szCs w:val="28"/>
        </w:rPr>
        <w:t>system in which there is only one basic mission and institutional shape</w:t>
      </w:r>
      <w:r w:rsidR="003C1B28">
        <w:rPr>
          <w:sz w:val="28"/>
          <w:szCs w:val="28"/>
        </w:rPr>
        <w:t xml:space="preserve">. </w:t>
      </w:r>
      <w:r w:rsidR="008B5AED">
        <w:rPr>
          <w:sz w:val="28"/>
          <w:szCs w:val="28"/>
        </w:rPr>
        <w:t>Australia avoids the extremes of quality in the market diverse American system. The top is weaker but the lower 98 per cent is considerably stronger in Australia. Two thirds</w:t>
      </w:r>
      <w:r w:rsidR="00571B63">
        <w:rPr>
          <w:sz w:val="28"/>
          <w:szCs w:val="28"/>
        </w:rPr>
        <w:t xml:space="preserve"> </w:t>
      </w:r>
      <w:r w:rsidR="008B5AED">
        <w:rPr>
          <w:sz w:val="28"/>
          <w:szCs w:val="28"/>
        </w:rPr>
        <w:t xml:space="preserve">of </w:t>
      </w:r>
      <w:r w:rsidR="00571B63">
        <w:rPr>
          <w:sz w:val="28"/>
          <w:szCs w:val="28"/>
        </w:rPr>
        <w:t>higher education enrolments in Australia are in world top 500</w:t>
      </w:r>
      <w:r w:rsidR="006A685D">
        <w:rPr>
          <w:sz w:val="28"/>
          <w:szCs w:val="28"/>
        </w:rPr>
        <w:t xml:space="preserve"> universities</w:t>
      </w:r>
      <w:r w:rsidR="00571B63">
        <w:rPr>
          <w:sz w:val="28"/>
          <w:szCs w:val="28"/>
        </w:rPr>
        <w:t xml:space="preserve">. </w:t>
      </w:r>
      <w:r w:rsidR="002D24E1">
        <w:rPr>
          <w:sz w:val="28"/>
          <w:szCs w:val="28"/>
        </w:rPr>
        <w:t>On the other hand, quality in Australia is less uniform</w:t>
      </w:r>
      <w:r w:rsidR="00E728EE">
        <w:rPr>
          <w:sz w:val="28"/>
          <w:szCs w:val="28"/>
        </w:rPr>
        <w:t>ly good</w:t>
      </w:r>
      <w:r w:rsidR="00872021">
        <w:rPr>
          <w:sz w:val="28"/>
          <w:szCs w:val="28"/>
        </w:rPr>
        <w:t xml:space="preserve"> than in the strong</w:t>
      </w:r>
      <w:r w:rsidR="002D24E1">
        <w:rPr>
          <w:sz w:val="28"/>
          <w:szCs w:val="28"/>
        </w:rPr>
        <w:t xml:space="preserve"> Western European systems such as Germany, Netherlands, Switzerland and the Nordics. In the Dutch system, every research university is good. There is no tail. </w:t>
      </w:r>
      <w:r w:rsidR="00B20196">
        <w:rPr>
          <w:sz w:val="28"/>
          <w:szCs w:val="28"/>
        </w:rPr>
        <w:t>T</w:t>
      </w:r>
      <w:r w:rsidR="002D24E1">
        <w:rPr>
          <w:sz w:val="28"/>
          <w:szCs w:val="28"/>
        </w:rPr>
        <w:t>here is no top 50 university</w:t>
      </w:r>
      <w:r w:rsidR="008B5AED">
        <w:rPr>
          <w:sz w:val="28"/>
          <w:szCs w:val="28"/>
        </w:rPr>
        <w:t xml:space="preserve"> in Holland</w:t>
      </w:r>
      <w:r w:rsidR="002D24E1">
        <w:rPr>
          <w:sz w:val="28"/>
          <w:szCs w:val="28"/>
        </w:rPr>
        <w:t>. Some might see th</w:t>
      </w:r>
      <w:r w:rsidR="00612850">
        <w:rPr>
          <w:sz w:val="28"/>
          <w:szCs w:val="28"/>
        </w:rPr>
        <w:t>at</w:t>
      </w:r>
      <w:r w:rsidR="002D24E1">
        <w:rPr>
          <w:sz w:val="28"/>
          <w:szCs w:val="28"/>
        </w:rPr>
        <w:t xml:space="preserve"> as a trade-off for the </w:t>
      </w:r>
      <w:r w:rsidR="00B20196">
        <w:rPr>
          <w:sz w:val="28"/>
          <w:szCs w:val="28"/>
        </w:rPr>
        <w:t xml:space="preserve">system </w:t>
      </w:r>
      <w:r w:rsidR="002D24E1">
        <w:rPr>
          <w:sz w:val="28"/>
          <w:szCs w:val="28"/>
        </w:rPr>
        <w:t xml:space="preserve">virtues. I don’t think so. The point is not that </w:t>
      </w:r>
      <w:r w:rsidR="00525D71">
        <w:rPr>
          <w:sz w:val="28"/>
          <w:szCs w:val="28"/>
        </w:rPr>
        <w:t xml:space="preserve">Dutch </w:t>
      </w:r>
      <w:r w:rsidR="002D24E1">
        <w:rPr>
          <w:sz w:val="28"/>
          <w:szCs w:val="28"/>
        </w:rPr>
        <w:t xml:space="preserve">quality is uniform, it isn’t, but </w:t>
      </w:r>
      <w:r w:rsidR="00E728EE">
        <w:rPr>
          <w:sz w:val="28"/>
          <w:szCs w:val="28"/>
        </w:rPr>
        <w:t xml:space="preserve">that </w:t>
      </w:r>
      <w:r w:rsidR="002D24E1">
        <w:rPr>
          <w:sz w:val="28"/>
          <w:szCs w:val="28"/>
        </w:rPr>
        <w:t xml:space="preserve">the floor is high. It is possible to </w:t>
      </w:r>
      <w:r w:rsidR="00E728EE">
        <w:rPr>
          <w:sz w:val="28"/>
          <w:szCs w:val="28"/>
        </w:rPr>
        <w:t xml:space="preserve">combine </w:t>
      </w:r>
      <w:r w:rsidR="00B20196">
        <w:rPr>
          <w:sz w:val="28"/>
          <w:szCs w:val="28"/>
        </w:rPr>
        <w:t>a high floor of quality</w:t>
      </w:r>
      <w:r w:rsidR="00E728EE">
        <w:rPr>
          <w:sz w:val="28"/>
          <w:szCs w:val="28"/>
        </w:rPr>
        <w:t xml:space="preserve"> with</w:t>
      </w:r>
      <w:r w:rsidR="002D24E1">
        <w:rPr>
          <w:sz w:val="28"/>
          <w:szCs w:val="28"/>
        </w:rPr>
        <w:t xml:space="preserve"> a top </w:t>
      </w:r>
      <w:r w:rsidR="00612850">
        <w:rPr>
          <w:sz w:val="28"/>
          <w:szCs w:val="28"/>
        </w:rPr>
        <w:t>20</w:t>
      </w:r>
      <w:r w:rsidR="002D24E1">
        <w:rPr>
          <w:sz w:val="28"/>
          <w:szCs w:val="28"/>
        </w:rPr>
        <w:t xml:space="preserve"> university. Germany’s Excellence Initiative </w:t>
      </w:r>
      <w:r w:rsidR="00B20196">
        <w:rPr>
          <w:sz w:val="28"/>
          <w:szCs w:val="28"/>
        </w:rPr>
        <w:t xml:space="preserve">signals the desire to </w:t>
      </w:r>
      <w:r w:rsidR="00612850">
        <w:rPr>
          <w:sz w:val="28"/>
          <w:szCs w:val="28"/>
        </w:rPr>
        <w:t>achieve such a combination</w:t>
      </w:r>
      <w:r w:rsidR="002D24E1">
        <w:rPr>
          <w:sz w:val="28"/>
          <w:szCs w:val="28"/>
        </w:rPr>
        <w:t xml:space="preserve">. </w:t>
      </w:r>
    </w:p>
    <w:p w14:paraId="33286F07" w14:textId="1FFADD8B" w:rsidR="00C1706F" w:rsidRDefault="00525D71" w:rsidP="00BE2779">
      <w:pPr>
        <w:spacing w:line="288" w:lineRule="auto"/>
        <w:rPr>
          <w:sz w:val="28"/>
          <w:szCs w:val="28"/>
        </w:rPr>
      </w:pPr>
      <w:r>
        <w:rPr>
          <w:sz w:val="28"/>
          <w:szCs w:val="28"/>
        </w:rPr>
        <w:tab/>
      </w:r>
      <w:r w:rsidR="00612850" w:rsidRPr="00A72F9A">
        <w:rPr>
          <w:i/>
          <w:sz w:val="28"/>
          <w:szCs w:val="28"/>
        </w:rPr>
        <w:t>Participation.</w:t>
      </w:r>
      <w:r w:rsidR="00612850">
        <w:rPr>
          <w:sz w:val="28"/>
          <w:szCs w:val="28"/>
        </w:rPr>
        <w:t xml:space="preserve"> </w:t>
      </w:r>
      <w:r w:rsidR="00BC07BE">
        <w:rPr>
          <w:sz w:val="28"/>
          <w:szCs w:val="28"/>
        </w:rPr>
        <w:t xml:space="preserve">In international terms Australia </w:t>
      </w:r>
      <w:r w:rsidR="003D4EEF">
        <w:rPr>
          <w:sz w:val="28"/>
          <w:szCs w:val="28"/>
        </w:rPr>
        <w:t>is</w:t>
      </w:r>
      <w:r w:rsidR="00BC07BE">
        <w:rPr>
          <w:sz w:val="28"/>
          <w:szCs w:val="28"/>
        </w:rPr>
        <w:t xml:space="preserve"> a high participation country. </w:t>
      </w:r>
      <w:r w:rsidR="001A7FE1">
        <w:rPr>
          <w:sz w:val="28"/>
          <w:szCs w:val="28"/>
        </w:rPr>
        <w:t xml:space="preserve">The participation rate of the </w:t>
      </w:r>
      <w:proofErr w:type="gramStart"/>
      <w:r w:rsidR="001A7FE1">
        <w:rPr>
          <w:sz w:val="28"/>
          <w:szCs w:val="28"/>
        </w:rPr>
        <w:t>20-24 year</w:t>
      </w:r>
      <w:proofErr w:type="gramEnd"/>
      <w:r w:rsidR="001A7FE1">
        <w:rPr>
          <w:sz w:val="28"/>
          <w:szCs w:val="28"/>
        </w:rPr>
        <w:t xml:space="preserve"> age group was 59 per cent in 201</w:t>
      </w:r>
      <w:r w:rsidR="00C953A9">
        <w:rPr>
          <w:sz w:val="28"/>
          <w:szCs w:val="28"/>
        </w:rPr>
        <w:t xml:space="preserve">5 compared to the OECD average of 42 per cent. </w:t>
      </w:r>
      <w:r w:rsidR="00612850">
        <w:rPr>
          <w:sz w:val="28"/>
          <w:szCs w:val="28"/>
        </w:rPr>
        <w:t>But the</w:t>
      </w:r>
      <w:r w:rsidR="00C953A9">
        <w:rPr>
          <w:sz w:val="28"/>
          <w:szCs w:val="28"/>
        </w:rPr>
        <w:t xml:space="preserve"> participation rate is boosted by Australia’s large international student population</w:t>
      </w:r>
      <w:r w:rsidR="003D4EEF">
        <w:rPr>
          <w:sz w:val="28"/>
          <w:szCs w:val="28"/>
        </w:rPr>
        <w:t>, which increases the rate of entry into first degrees by 16 per cent</w:t>
      </w:r>
      <w:r w:rsidR="00C953A9">
        <w:rPr>
          <w:sz w:val="28"/>
          <w:szCs w:val="28"/>
        </w:rPr>
        <w:t>.</w:t>
      </w:r>
      <w:r w:rsidR="008B5AED">
        <w:rPr>
          <w:sz w:val="28"/>
          <w:szCs w:val="28"/>
        </w:rPr>
        <w:t xml:space="preserve"> </w:t>
      </w:r>
    </w:p>
    <w:p w14:paraId="49F73DE0" w14:textId="7611E127" w:rsidR="00D37838" w:rsidRDefault="003D4EEF" w:rsidP="00BE2779">
      <w:pPr>
        <w:spacing w:line="288" w:lineRule="auto"/>
        <w:rPr>
          <w:sz w:val="28"/>
          <w:szCs w:val="28"/>
        </w:rPr>
      </w:pPr>
      <w:r>
        <w:rPr>
          <w:sz w:val="28"/>
          <w:szCs w:val="28"/>
        </w:rPr>
        <w:tab/>
      </w:r>
      <w:r w:rsidR="00612850" w:rsidRPr="00A72F9A">
        <w:rPr>
          <w:i/>
          <w:sz w:val="28"/>
          <w:szCs w:val="28"/>
        </w:rPr>
        <w:t>Funding</w:t>
      </w:r>
      <w:r w:rsidR="00612850">
        <w:rPr>
          <w:sz w:val="28"/>
          <w:szCs w:val="28"/>
        </w:rPr>
        <w:t xml:space="preserve">. </w:t>
      </w:r>
      <w:r w:rsidR="00D37838">
        <w:rPr>
          <w:sz w:val="28"/>
          <w:szCs w:val="28"/>
        </w:rPr>
        <w:t xml:space="preserve">Student tuition fees are </w:t>
      </w:r>
      <w:r w:rsidR="008B5AED">
        <w:rPr>
          <w:sz w:val="28"/>
          <w:szCs w:val="28"/>
        </w:rPr>
        <w:t>less than</w:t>
      </w:r>
      <w:r w:rsidR="00D37838">
        <w:rPr>
          <w:sz w:val="28"/>
          <w:szCs w:val="28"/>
        </w:rPr>
        <w:t xml:space="preserve"> those levied in the UK but higher than in the public sector in the US and China, and higher than the whole of Europe. Tuition is free in the Nordic countries and Germany and very low in France. Fortunately for Australians, as is also the case in the UK, there is no charge at the point of entry because fees are covered by income contingent loans, underwritten by the government, that are repaid through the tax system only when income reaches a threshold level. This protects access. </w:t>
      </w:r>
    </w:p>
    <w:p w14:paraId="2A34BD20" w14:textId="77777777" w:rsidR="00B04979" w:rsidRDefault="00B04979" w:rsidP="00BE2779">
      <w:pPr>
        <w:spacing w:line="288" w:lineRule="auto"/>
        <w:rPr>
          <w:sz w:val="28"/>
          <w:szCs w:val="28"/>
        </w:rPr>
      </w:pPr>
    </w:p>
    <w:p w14:paraId="2A123FCF" w14:textId="062890FB" w:rsidR="00B04979" w:rsidRPr="00B04979" w:rsidRDefault="00885046" w:rsidP="00BE2779">
      <w:pPr>
        <w:spacing w:line="288" w:lineRule="auto"/>
        <w:rPr>
          <w:sz w:val="28"/>
          <w:szCs w:val="28"/>
          <w:lang w:val="en-US"/>
        </w:rPr>
      </w:pPr>
      <w:r>
        <w:rPr>
          <w:sz w:val="28"/>
          <w:szCs w:val="28"/>
          <w:lang w:val="en-US"/>
        </w:rPr>
        <w:t>[</w:t>
      </w:r>
      <w:r w:rsidRPr="00B04979">
        <w:rPr>
          <w:sz w:val="28"/>
          <w:szCs w:val="28"/>
          <w:lang w:val="en-US"/>
        </w:rPr>
        <w:t>PROPORTION OF RESEARCH PAPERS THAT HAD INTERNATIONAL CO-AUTHORS, 2008-14</w:t>
      </w:r>
      <w:r>
        <w:rPr>
          <w:sz w:val="28"/>
          <w:szCs w:val="28"/>
          <w:lang w:val="en-US"/>
        </w:rPr>
        <w:t>]</w:t>
      </w:r>
    </w:p>
    <w:p w14:paraId="50F92492" w14:textId="054335DE" w:rsidR="00C1706F" w:rsidRDefault="00324268" w:rsidP="00BE2779">
      <w:pPr>
        <w:spacing w:line="288" w:lineRule="auto"/>
        <w:rPr>
          <w:sz w:val="28"/>
          <w:szCs w:val="28"/>
        </w:rPr>
      </w:pPr>
      <w:r w:rsidRPr="009E4210">
        <w:rPr>
          <w:i/>
          <w:sz w:val="28"/>
          <w:szCs w:val="28"/>
        </w:rPr>
        <w:t xml:space="preserve">Internationalization. </w:t>
      </w:r>
      <w:r w:rsidR="00EF5FD7">
        <w:rPr>
          <w:sz w:val="28"/>
          <w:szCs w:val="28"/>
        </w:rPr>
        <w:t xml:space="preserve">Australians </w:t>
      </w:r>
      <w:r>
        <w:rPr>
          <w:sz w:val="28"/>
          <w:szCs w:val="28"/>
        </w:rPr>
        <w:t>have high</w:t>
      </w:r>
      <w:r w:rsidR="00EF5FD7">
        <w:rPr>
          <w:sz w:val="28"/>
          <w:szCs w:val="28"/>
        </w:rPr>
        <w:t>er than average</w:t>
      </w:r>
      <w:r>
        <w:rPr>
          <w:sz w:val="28"/>
          <w:szCs w:val="28"/>
        </w:rPr>
        <w:t xml:space="preserve"> levels of international co-publication</w:t>
      </w:r>
      <w:r w:rsidR="00EF5FD7">
        <w:rPr>
          <w:sz w:val="28"/>
          <w:szCs w:val="28"/>
        </w:rPr>
        <w:t>, though not very high</w:t>
      </w:r>
      <w:r>
        <w:rPr>
          <w:sz w:val="28"/>
          <w:szCs w:val="28"/>
        </w:rPr>
        <w:t>. Australia</w:t>
      </w:r>
      <w:r w:rsidR="00EF5FD7">
        <w:rPr>
          <w:sz w:val="28"/>
          <w:szCs w:val="28"/>
        </w:rPr>
        <w:t>n research</w:t>
      </w:r>
      <w:r w:rsidR="00C752DA">
        <w:rPr>
          <w:sz w:val="28"/>
          <w:szCs w:val="28"/>
        </w:rPr>
        <w:t>er</w:t>
      </w:r>
      <w:r w:rsidR="001218A3">
        <w:rPr>
          <w:sz w:val="28"/>
          <w:szCs w:val="28"/>
        </w:rPr>
        <w:t>s</w:t>
      </w:r>
      <w:r>
        <w:rPr>
          <w:sz w:val="28"/>
          <w:szCs w:val="28"/>
        </w:rPr>
        <w:t xml:space="preserve"> ha</w:t>
      </w:r>
      <w:r w:rsidR="00C752DA">
        <w:rPr>
          <w:sz w:val="28"/>
          <w:szCs w:val="28"/>
        </w:rPr>
        <w:t>ve</w:t>
      </w:r>
      <w:r>
        <w:rPr>
          <w:sz w:val="28"/>
          <w:szCs w:val="28"/>
        </w:rPr>
        <w:t xml:space="preserve"> </w:t>
      </w:r>
      <w:r w:rsidR="001218A3">
        <w:rPr>
          <w:sz w:val="28"/>
          <w:szCs w:val="28"/>
        </w:rPr>
        <w:t>especially frequent</w:t>
      </w:r>
      <w:r>
        <w:rPr>
          <w:sz w:val="28"/>
          <w:szCs w:val="28"/>
        </w:rPr>
        <w:t xml:space="preserve"> partnership</w:t>
      </w:r>
      <w:r w:rsidR="001218A3">
        <w:rPr>
          <w:sz w:val="28"/>
          <w:szCs w:val="28"/>
        </w:rPr>
        <w:t>s</w:t>
      </w:r>
      <w:r>
        <w:rPr>
          <w:sz w:val="28"/>
          <w:szCs w:val="28"/>
        </w:rPr>
        <w:t xml:space="preserve"> with </w:t>
      </w:r>
      <w:r w:rsidR="00C752DA">
        <w:rPr>
          <w:sz w:val="28"/>
          <w:szCs w:val="28"/>
        </w:rPr>
        <w:t xml:space="preserve">researchers in </w:t>
      </w:r>
      <w:r w:rsidR="007043E8">
        <w:rPr>
          <w:sz w:val="28"/>
          <w:szCs w:val="28"/>
        </w:rPr>
        <w:t>New Ze</w:t>
      </w:r>
      <w:r w:rsidR="00667D4D">
        <w:rPr>
          <w:sz w:val="28"/>
          <w:szCs w:val="28"/>
        </w:rPr>
        <w:t>a</w:t>
      </w:r>
      <w:r w:rsidR="007043E8">
        <w:rPr>
          <w:sz w:val="28"/>
          <w:szCs w:val="28"/>
        </w:rPr>
        <w:t>land (</w:t>
      </w:r>
      <w:r w:rsidR="001218A3">
        <w:rPr>
          <w:sz w:val="28"/>
          <w:szCs w:val="28"/>
        </w:rPr>
        <w:t>most of all</w:t>
      </w:r>
      <w:r w:rsidR="007043E8">
        <w:rPr>
          <w:sz w:val="28"/>
          <w:szCs w:val="28"/>
        </w:rPr>
        <w:t>),</w:t>
      </w:r>
      <w:r w:rsidR="00667D4D">
        <w:rPr>
          <w:sz w:val="28"/>
          <w:szCs w:val="28"/>
        </w:rPr>
        <w:t xml:space="preserve"> </w:t>
      </w:r>
      <w:r w:rsidR="00667D4D">
        <w:rPr>
          <w:sz w:val="28"/>
          <w:szCs w:val="28"/>
        </w:rPr>
        <w:lastRenderedPageBreak/>
        <w:t xml:space="preserve">South Africa, Singapore, UK, China and Taiwan. </w:t>
      </w:r>
      <w:r w:rsidR="00C752DA">
        <w:rPr>
          <w:sz w:val="28"/>
          <w:szCs w:val="28"/>
        </w:rPr>
        <w:t xml:space="preserve">Science in Australia has a much stronger relationship with science in China than is the case </w:t>
      </w:r>
      <w:r w:rsidR="001218A3">
        <w:rPr>
          <w:sz w:val="28"/>
          <w:szCs w:val="28"/>
        </w:rPr>
        <w:t>for British science</w:t>
      </w:r>
      <w:r w:rsidR="00C752DA">
        <w:rPr>
          <w:sz w:val="28"/>
          <w:szCs w:val="28"/>
        </w:rPr>
        <w:t>.</w:t>
      </w:r>
      <w:r w:rsidR="009E4210">
        <w:rPr>
          <w:rStyle w:val="FootnoteReference"/>
          <w:sz w:val="28"/>
          <w:szCs w:val="28"/>
        </w:rPr>
        <w:footnoteReference w:id="25"/>
      </w:r>
      <w:r w:rsidR="001218A3">
        <w:rPr>
          <w:sz w:val="28"/>
          <w:szCs w:val="28"/>
        </w:rPr>
        <w:t xml:space="preserve"> </w:t>
      </w:r>
    </w:p>
    <w:p w14:paraId="1E707E5D" w14:textId="16C845D4" w:rsidR="001218A3" w:rsidRDefault="00BE5005" w:rsidP="00BE2779">
      <w:pPr>
        <w:spacing w:line="288" w:lineRule="auto"/>
        <w:rPr>
          <w:sz w:val="28"/>
          <w:szCs w:val="28"/>
        </w:rPr>
      </w:pPr>
      <w:r>
        <w:rPr>
          <w:sz w:val="28"/>
          <w:szCs w:val="28"/>
        </w:rPr>
        <w:tab/>
      </w:r>
      <w:r w:rsidR="0000008B">
        <w:rPr>
          <w:sz w:val="28"/>
          <w:szCs w:val="28"/>
        </w:rPr>
        <w:t>The i</w:t>
      </w:r>
      <w:r>
        <w:rPr>
          <w:sz w:val="28"/>
          <w:szCs w:val="28"/>
        </w:rPr>
        <w:t>nternationalization of students is</w:t>
      </w:r>
      <w:r w:rsidR="006207F1">
        <w:rPr>
          <w:sz w:val="28"/>
          <w:szCs w:val="28"/>
        </w:rPr>
        <w:t xml:space="preserve"> more</w:t>
      </w:r>
      <w:r>
        <w:rPr>
          <w:sz w:val="28"/>
          <w:szCs w:val="28"/>
        </w:rPr>
        <w:t xml:space="preserve"> lopsided. The OECD measures stays of one year</w:t>
      </w:r>
      <w:r w:rsidR="00075A17">
        <w:rPr>
          <w:sz w:val="28"/>
          <w:szCs w:val="28"/>
        </w:rPr>
        <w:t xml:space="preserve"> or more for study purposes. Australia’s</w:t>
      </w:r>
      <w:r>
        <w:rPr>
          <w:sz w:val="28"/>
          <w:szCs w:val="28"/>
        </w:rPr>
        <w:t xml:space="preserve"> number coming in is comparatively high, the number going out is </w:t>
      </w:r>
      <w:r w:rsidR="006730ED">
        <w:rPr>
          <w:sz w:val="28"/>
          <w:szCs w:val="28"/>
        </w:rPr>
        <w:t xml:space="preserve">exceptionally </w:t>
      </w:r>
      <w:r>
        <w:rPr>
          <w:sz w:val="28"/>
          <w:szCs w:val="28"/>
        </w:rPr>
        <w:t xml:space="preserve">low. </w:t>
      </w:r>
    </w:p>
    <w:p w14:paraId="7E36A057" w14:textId="3BD516C3" w:rsidR="00C351B9" w:rsidRDefault="001218A3" w:rsidP="00BE2779">
      <w:pPr>
        <w:spacing w:line="288" w:lineRule="auto"/>
        <w:ind w:firstLine="454"/>
        <w:rPr>
          <w:sz w:val="28"/>
          <w:szCs w:val="28"/>
        </w:rPr>
      </w:pPr>
      <w:r>
        <w:rPr>
          <w:sz w:val="28"/>
          <w:szCs w:val="28"/>
        </w:rPr>
        <w:t>In terms of incoming students</w:t>
      </w:r>
      <w:r w:rsidR="00570831">
        <w:rPr>
          <w:sz w:val="28"/>
          <w:szCs w:val="28"/>
        </w:rPr>
        <w:t xml:space="preserve"> in 2015, 14 per cent </w:t>
      </w:r>
      <w:r>
        <w:rPr>
          <w:sz w:val="28"/>
          <w:szCs w:val="28"/>
        </w:rPr>
        <w:t>at</w:t>
      </w:r>
      <w:r w:rsidR="00570831">
        <w:rPr>
          <w:sz w:val="28"/>
          <w:szCs w:val="28"/>
        </w:rPr>
        <w:t xml:space="preserve"> Bachelor level, 43 per cent </w:t>
      </w:r>
      <w:r w:rsidR="000961C3">
        <w:rPr>
          <w:sz w:val="28"/>
          <w:szCs w:val="28"/>
        </w:rPr>
        <w:t xml:space="preserve">Masters level and 34 per cent doctoral level were </w:t>
      </w:r>
      <w:r>
        <w:rPr>
          <w:sz w:val="28"/>
          <w:szCs w:val="28"/>
        </w:rPr>
        <w:t>international</w:t>
      </w:r>
      <w:r w:rsidR="0000008B">
        <w:rPr>
          <w:sz w:val="28"/>
          <w:szCs w:val="28"/>
        </w:rPr>
        <w:t>. I</w:t>
      </w:r>
      <w:r w:rsidR="00E8274E">
        <w:rPr>
          <w:sz w:val="28"/>
          <w:szCs w:val="28"/>
        </w:rPr>
        <w:t xml:space="preserve">nternational students were </w:t>
      </w:r>
      <w:r w:rsidR="0000008B">
        <w:rPr>
          <w:sz w:val="28"/>
          <w:szCs w:val="28"/>
        </w:rPr>
        <w:t xml:space="preserve">51 per cent </w:t>
      </w:r>
      <w:r w:rsidR="00E8274E">
        <w:rPr>
          <w:sz w:val="28"/>
          <w:szCs w:val="28"/>
        </w:rPr>
        <w:t xml:space="preserve">concentrated in business studies and law. </w:t>
      </w:r>
      <w:r>
        <w:rPr>
          <w:sz w:val="28"/>
          <w:szCs w:val="28"/>
        </w:rPr>
        <w:t>In terms of outgoing students, o</w:t>
      </w:r>
      <w:r w:rsidR="00A903D5">
        <w:rPr>
          <w:sz w:val="28"/>
          <w:szCs w:val="28"/>
        </w:rPr>
        <w:t xml:space="preserve">nly 0.7 per cent of Australian students were enrolled </w:t>
      </w:r>
      <w:r w:rsidR="00E41417">
        <w:rPr>
          <w:sz w:val="28"/>
          <w:szCs w:val="28"/>
        </w:rPr>
        <w:t>aboard in 2015. Australia’s ratio of incoming to outgoing students at 24.6 was even higher than 21.3 in the US.</w:t>
      </w:r>
      <w:r w:rsidR="00E41417">
        <w:rPr>
          <w:rStyle w:val="FootnoteReference"/>
          <w:sz w:val="28"/>
          <w:szCs w:val="28"/>
        </w:rPr>
        <w:footnoteReference w:id="26"/>
      </w:r>
      <w:r w:rsidR="00E41417">
        <w:rPr>
          <w:sz w:val="28"/>
          <w:szCs w:val="28"/>
        </w:rPr>
        <w:t xml:space="preserve"> </w:t>
      </w:r>
      <w:r>
        <w:rPr>
          <w:sz w:val="28"/>
          <w:szCs w:val="28"/>
        </w:rPr>
        <w:t>It</w:t>
      </w:r>
      <w:r w:rsidR="0018688E">
        <w:rPr>
          <w:sz w:val="28"/>
          <w:szCs w:val="28"/>
        </w:rPr>
        <w:t xml:space="preserve"> seems that </w:t>
      </w:r>
      <w:r>
        <w:rPr>
          <w:sz w:val="28"/>
          <w:szCs w:val="28"/>
        </w:rPr>
        <w:t xml:space="preserve">Australian </w:t>
      </w:r>
      <w:r w:rsidR="0018688E">
        <w:rPr>
          <w:sz w:val="28"/>
          <w:szCs w:val="28"/>
        </w:rPr>
        <w:t>u</w:t>
      </w:r>
      <w:r w:rsidR="00AD67C8">
        <w:rPr>
          <w:sz w:val="28"/>
          <w:szCs w:val="28"/>
        </w:rPr>
        <w:t xml:space="preserve">niversities need to travel but their students do not. </w:t>
      </w:r>
      <w:r>
        <w:rPr>
          <w:sz w:val="28"/>
          <w:szCs w:val="28"/>
        </w:rPr>
        <w:t>T</w:t>
      </w:r>
      <w:r w:rsidR="003C2BE2">
        <w:rPr>
          <w:sz w:val="28"/>
          <w:szCs w:val="28"/>
        </w:rPr>
        <w:t>he main opportunity</w:t>
      </w:r>
      <w:r w:rsidR="007E6400">
        <w:rPr>
          <w:sz w:val="28"/>
          <w:szCs w:val="28"/>
        </w:rPr>
        <w:t xml:space="preserve"> </w:t>
      </w:r>
      <w:r w:rsidR="003C2BE2">
        <w:rPr>
          <w:sz w:val="28"/>
          <w:szCs w:val="28"/>
        </w:rPr>
        <w:t xml:space="preserve">for </w:t>
      </w:r>
      <w:r w:rsidR="007E6400">
        <w:rPr>
          <w:sz w:val="28"/>
          <w:szCs w:val="28"/>
        </w:rPr>
        <w:t xml:space="preserve">internationalization </w:t>
      </w:r>
      <w:r w:rsidR="0000008B">
        <w:rPr>
          <w:sz w:val="28"/>
          <w:szCs w:val="28"/>
        </w:rPr>
        <w:t>is mixing</w:t>
      </w:r>
      <w:r w:rsidR="003C2BE2">
        <w:rPr>
          <w:sz w:val="28"/>
          <w:szCs w:val="28"/>
        </w:rPr>
        <w:t xml:space="preserve"> between the international students coming in</w:t>
      </w:r>
      <w:r>
        <w:rPr>
          <w:sz w:val="28"/>
          <w:szCs w:val="28"/>
        </w:rPr>
        <w:t>,</w:t>
      </w:r>
      <w:r w:rsidR="003C2BE2">
        <w:rPr>
          <w:sz w:val="28"/>
          <w:szCs w:val="28"/>
        </w:rPr>
        <w:t xml:space="preserve"> and the immobile locals</w:t>
      </w:r>
      <w:r w:rsidR="0000008B">
        <w:rPr>
          <w:sz w:val="28"/>
          <w:szCs w:val="28"/>
        </w:rPr>
        <w:t xml:space="preserve">, but unfortunately, </w:t>
      </w:r>
      <w:r w:rsidR="00042F2A">
        <w:rPr>
          <w:sz w:val="28"/>
          <w:szCs w:val="28"/>
        </w:rPr>
        <w:t xml:space="preserve">while local students are tolerant, </w:t>
      </w:r>
      <w:r w:rsidR="0000008B">
        <w:rPr>
          <w:sz w:val="28"/>
          <w:szCs w:val="28"/>
        </w:rPr>
        <w:t>th</w:t>
      </w:r>
      <w:r w:rsidR="00042F2A">
        <w:rPr>
          <w:sz w:val="28"/>
          <w:szCs w:val="28"/>
        </w:rPr>
        <w:t>ey</w:t>
      </w:r>
      <w:r w:rsidR="003C2BE2">
        <w:rPr>
          <w:sz w:val="28"/>
          <w:szCs w:val="28"/>
        </w:rPr>
        <w:t xml:space="preserve"> have no special need to </w:t>
      </w:r>
      <w:proofErr w:type="gramStart"/>
      <w:r w:rsidR="003C2BE2">
        <w:rPr>
          <w:sz w:val="28"/>
          <w:szCs w:val="28"/>
        </w:rPr>
        <w:t>open up</w:t>
      </w:r>
      <w:proofErr w:type="gramEnd"/>
      <w:r w:rsidR="003C2BE2">
        <w:rPr>
          <w:sz w:val="28"/>
          <w:szCs w:val="28"/>
        </w:rPr>
        <w:t xml:space="preserve"> to new cultures</w:t>
      </w:r>
      <w:r>
        <w:rPr>
          <w:sz w:val="28"/>
          <w:szCs w:val="28"/>
        </w:rPr>
        <w:t xml:space="preserve"> and languages</w:t>
      </w:r>
      <w:r w:rsidR="003C2BE2">
        <w:rPr>
          <w:sz w:val="28"/>
          <w:szCs w:val="28"/>
        </w:rPr>
        <w:t xml:space="preserve">. </w:t>
      </w:r>
    </w:p>
    <w:p w14:paraId="5D4E986A" w14:textId="77777777" w:rsidR="00885046" w:rsidRDefault="00885046" w:rsidP="00BE2779">
      <w:pPr>
        <w:spacing w:line="288" w:lineRule="auto"/>
        <w:rPr>
          <w:sz w:val="28"/>
          <w:szCs w:val="28"/>
        </w:rPr>
      </w:pPr>
    </w:p>
    <w:p w14:paraId="2B3A134B" w14:textId="356B88E2" w:rsidR="00885046" w:rsidRDefault="00885046" w:rsidP="00BE2779">
      <w:pPr>
        <w:spacing w:line="288" w:lineRule="auto"/>
        <w:rPr>
          <w:sz w:val="28"/>
          <w:szCs w:val="28"/>
        </w:rPr>
      </w:pPr>
      <w:r>
        <w:rPr>
          <w:sz w:val="28"/>
          <w:szCs w:val="28"/>
          <w:lang w:val="en-US"/>
        </w:rPr>
        <w:t>[</w:t>
      </w:r>
      <w:r w:rsidRPr="00885046">
        <w:rPr>
          <w:sz w:val="28"/>
          <w:szCs w:val="28"/>
          <w:lang w:val="en-US"/>
        </w:rPr>
        <w:t xml:space="preserve">AUSTRALIA IN THE SHANGHAI ARWU </w:t>
      </w:r>
      <w:r w:rsidRPr="00885046">
        <w:rPr>
          <w:sz w:val="28"/>
          <w:szCs w:val="28"/>
          <w:lang w:val="en-AU"/>
        </w:rPr>
        <w:t>TOP 500</w:t>
      </w:r>
      <w:r>
        <w:rPr>
          <w:sz w:val="28"/>
          <w:szCs w:val="28"/>
          <w:lang w:val="en-AU"/>
        </w:rPr>
        <w:t>]</w:t>
      </w:r>
    </w:p>
    <w:p w14:paraId="10B212E2" w14:textId="2500581F" w:rsidR="00C351B9" w:rsidRDefault="00C815FA" w:rsidP="00BE2779">
      <w:pPr>
        <w:spacing w:line="288" w:lineRule="auto"/>
        <w:rPr>
          <w:sz w:val="28"/>
          <w:szCs w:val="28"/>
        </w:rPr>
      </w:pPr>
      <w:r w:rsidRPr="001218A3">
        <w:rPr>
          <w:i/>
          <w:sz w:val="28"/>
          <w:szCs w:val="28"/>
        </w:rPr>
        <w:t>Research</w:t>
      </w:r>
      <w:r>
        <w:rPr>
          <w:sz w:val="28"/>
          <w:szCs w:val="28"/>
        </w:rPr>
        <w:t xml:space="preserve">. The ranking of Australian universities in the ARWU shows the country punching above its weight </w:t>
      </w:r>
      <w:r w:rsidR="0000008B">
        <w:rPr>
          <w:sz w:val="28"/>
          <w:szCs w:val="28"/>
        </w:rPr>
        <w:t>in</w:t>
      </w:r>
      <w:r>
        <w:rPr>
          <w:sz w:val="28"/>
          <w:szCs w:val="28"/>
        </w:rPr>
        <w:t xml:space="preserve"> the top 500 and top 100 but not the top 40. The Leiden University ranking provides data on papers published in 2012-15 in the top 10 per cent of their field by citation rate. </w:t>
      </w:r>
      <w:r w:rsidR="004D5AE1">
        <w:rPr>
          <w:sz w:val="28"/>
          <w:szCs w:val="28"/>
        </w:rPr>
        <w:t>Melbourne produced 1518 such papers</w:t>
      </w:r>
      <w:r w:rsidR="00C36A6D">
        <w:rPr>
          <w:sz w:val="28"/>
          <w:szCs w:val="28"/>
        </w:rPr>
        <w:t>,</w:t>
      </w:r>
      <w:r w:rsidR="004D5AE1">
        <w:rPr>
          <w:sz w:val="28"/>
          <w:szCs w:val="28"/>
        </w:rPr>
        <w:t xml:space="preserve"> 31</w:t>
      </w:r>
      <w:r w:rsidR="004D5AE1" w:rsidRPr="004D5AE1">
        <w:rPr>
          <w:sz w:val="28"/>
          <w:szCs w:val="28"/>
          <w:vertAlign w:val="superscript"/>
        </w:rPr>
        <w:t>st</w:t>
      </w:r>
      <w:r w:rsidR="0090770E">
        <w:rPr>
          <w:sz w:val="28"/>
          <w:szCs w:val="28"/>
        </w:rPr>
        <w:t xml:space="preserve"> in the world. A </w:t>
      </w:r>
      <w:proofErr w:type="gramStart"/>
      <w:r w:rsidR="0090770E">
        <w:rPr>
          <w:sz w:val="28"/>
          <w:szCs w:val="28"/>
        </w:rPr>
        <w:t>fast rising</w:t>
      </w:r>
      <w:proofErr w:type="gramEnd"/>
      <w:r w:rsidR="0090770E">
        <w:rPr>
          <w:sz w:val="28"/>
          <w:szCs w:val="28"/>
        </w:rPr>
        <w:t xml:space="preserve"> Q</w:t>
      </w:r>
      <w:r w:rsidR="004D5AE1">
        <w:rPr>
          <w:sz w:val="28"/>
          <w:szCs w:val="28"/>
        </w:rPr>
        <w:t xml:space="preserve">ueensland was 38, Sydney 41, Monash </w:t>
      </w:r>
      <w:r w:rsidR="0090770E">
        <w:rPr>
          <w:sz w:val="28"/>
          <w:szCs w:val="28"/>
        </w:rPr>
        <w:t>was at</w:t>
      </w:r>
      <w:r w:rsidR="004D5AE1">
        <w:rPr>
          <w:sz w:val="28"/>
          <w:szCs w:val="28"/>
        </w:rPr>
        <w:t xml:space="preserve"> 62 and New South at 65. </w:t>
      </w:r>
    </w:p>
    <w:p w14:paraId="15E82494" w14:textId="77777777" w:rsidR="00885046" w:rsidRDefault="00C36A6D" w:rsidP="00BE2779">
      <w:pPr>
        <w:spacing w:line="288" w:lineRule="auto"/>
        <w:rPr>
          <w:sz w:val="28"/>
          <w:szCs w:val="28"/>
        </w:rPr>
      </w:pPr>
      <w:r>
        <w:rPr>
          <w:sz w:val="28"/>
          <w:szCs w:val="28"/>
        </w:rPr>
        <w:tab/>
        <w:t>Given size and historical factors, useful public university comparators for an aspirant Melbour</w:t>
      </w:r>
      <w:r w:rsidR="001218A3">
        <w:rPr>
          <w:sz w:val="28"/>
          <w:szCs w:val="28"/>
        </w:rPr>
        <w:t>ne, with 1518, might be Toronto</w:t>
      </w:r>
      <w:r>
        <w:rPr>
          <w:sz w:val="28"/>
          <w:szCs w:val="28"/>
        </w:rPr>
        <w:t>, UCL</w:t>
      </w:r>
      <w:r w:rsidR="001218A3">
        <w:rPr>
          <w:sz w:val="28"/>
          <w:szCs w:val="28"/>
        </w:rPr>
        <w:t>,</w:t>
      </w:r>
      <w:r>
        <w:rPr>
          <w:sz w:val="28"/>
          <w:szCs w:val="28"/>
        </w:rPr>
        <w:t xml:space="preserve"> Wisconsin-Maddison, UBC in Canada, National University Singapore and UC Davis. </w:t>
      </w:r>
    </w:p>
    <w:p w14:paraId="1A3BCC71" w14:textId="77777777" w:rsidR="00885046" w:rsidRDefault="00885046" w:rsidP="00BE2779">
      <w:pPr>
        <w:spacing w:line="288" w:lineRule="auto"/>
        <w:rPr>
          <w:sz w:val="28"/>
          <w:szCs w:val="28"/>
        </w:rPr>
      </w:pPr>
    </w:p>
    <w:p w14:paraId="152BB151" w14:textId="563411EF" w:rsidR="00885046" w:rsidRDefault="00885046" w:rsidP="00BE2779">
      <w:pPr>
        <w:spacing w:line="288" w:lineRule="auto"/>
        <w:rPr>
          <w:sz w:val="28"/>
          <w:szCs w:val="28"/>
        </w:rPr>
      </w:pPr>
      <w:r>
        <w:rPr>
          <w:sz w:val="28"/>
          <w:szCs w:val="28"/>
          <w:lang w:val="en-US"/>
        </w:rPr>
        <w:t>[</w:t>
      </w:r>
      <w:r w:rsidRPr="00885046">
        <w:rPr>
          <w:sz w:val="28"/>
          <w:szCs w:val="28"/>
          <w:lang w:val="en-US"/>
        </w:rPr>
        <w:t xml:space="preserve">NUMBER OF PAPERS PUBLISHED 2012-2015 IN TOP 10% OF THEIR FIELD BY CITATION </w:t>
      </w:r>
      <w:proofErr w:type="gramStart"/>
      <w:r w:rsidRPr="00885046">
        <w:rPr>
          <w:sz w:val="28"/>
          <w:szCs w:val="28"/>
          <w:lang w:val="en-US"/>
        </w:rPr>
        <w:t>RATE</w:t>
      </w:r>
      <w:r w:rsidRPr="00885046">
        <w:rPr>
          <w:sz w:val="28"/>
          <w:szCs w:val="28"/>
        </w:rPr>
        <w:t xml:space="preserve"> </w:t>
      </w:r>
      <w:r>
        <w:rPr>
          <w:sz w:val="28"/>
          <w:szCs w:val="28"/>
        </w:rPr>
        <w:t>]</w:t>
      </w:r>
      <w:proofErr w:type="gramEnd"/>
    </w:p>
    <w:p w14:paraId="2C324F08" w14:textId="483E379C" w:rsidR="00C36A6D" w:rsidRDefault="00C36A6D" w:rsidP="00BE2779">
      <w:pPr>
        <w:spacing w:line="288" w:lineRule="auto"/>
        <w:rPr>
          <w:sz w:val="28"/>
          <w:szCs w:val="28"/>
        </w:rPr>
      </w:pPr>
      <w:r>
        <w:rPr>
          <w:sz w:val="28"/>
          <w:szCs w:val="28"/>
        </w:rPr>
        <w:t xml:space="preserve">Harvard’s 7134, more than double Stanford’s 3372 at number two, is mind-blowing. Any global university ranking that says Harvard is not the world’s </w:t>
      </w:r>
      <w:r>
        <w:rPr>
          <w:sz w:val="28"/>
          <w:szCs w:val="28"/>
        </w:rPr>
        <w:lastRenderedPageBreak/>
        <w:t xml:space="preserve">Everest is either tailored to limited criteria or, like Times Higher and QS, playing commercial games with the sector. But my main point is that the top Australian universities are not </w:t>
      </w:r>
      <w:proofErr w:type="spellStart"/>
      <w:r>
        <w:rPr>
          <w:sz w:val="28"/>
          <w:szCs w:val="28"/>
        </w:rPr>
        <w:t>Annapurnas</w:t>
      </w:r>
      <w:proofErr w:type="spellEnd"/>
      <w:r>
        <w:rPr>
          <w:sz w:val="28"/>
          <w:szCs w:val="28"/>
        </w:rPr>
        <w:t>.</w:t>
      </w:r>
    </w:p>
    <w:p w14:paraId="4A87D826" w14:textId="759C9339" w:rsidR="00453D81" w:rsidRPr="00D94710" w:rsidRDefault="00453D81" w:rsidP="00BE2779">
      <w:pPr>
        <w:spacing w:line="288" w:lineRule="auto"/>
        <w:rPr>
          <w:sz w:val="28"/>
          <w:szCs w:val="28"/>
        </w:rPr>
      </w:pPr>
      <w:r>
        <w:rPr>
          <w:sz w:val="28"/>
          <w:szCs w:val="28"/>
        </w:rPr>
        <w:tab/>
      </w:r>
      <w:r w:rsidR="0000008B">
        <w:rPr>
          <w:sz w:val="28"/>
          <w:szCs w:val="28"/>
        </w:rPr>
        <w:t>A</w:t>
      </w:r>
      <w:r>
        <w:rPr>
          <w:sz w:val="28"/>
          <w:szCs w:val="28"/>
        </w:rPr>
        <w:t>t discipline level</w:t>
      </w:r>
      <w:r w:rsidR="000424A7">
        <w:rPr>
          <w:sz w:val="28"/>
          <w:szCs w:val="28"/>
        </w:rPr>
        <w:t>, A</w:t>
      </w:r>
      <w:r w:rsidR="0000008B">
        <w:rPr>
          <w:sz w:val="28"/>
          <w:szCs w:val="28"/>
        </w:rPr>
        <w:t xml:space="preserve">ustralia’s strong meta-cluster </w:t>
      </w:r>
      <w:r w:rsidR="000424A7">
        <w:rPr>
          <w:sz w:val="28"/>
          <w:szCs w:val="28"/>
        </w:rPr>
        <w:t>is life and medical sciences. In biomedical and health Melbourne is at 22</w:t>
      </w:r>
      <w:r w:rsidR="000424A7" w:rsidRPr="000424A7">
        <w:rPr>
          <w:sz w:val="28"/>
          <w:szCs w:val="28"/>
          <w:vertAlign w:val="superscript"/>
        </w:rPr>
        <w:t>nd</w:t>
      </w:r>
      <w:r w:rsidR="000424A7">
        <w:rPr>
          <w:sz w:val="28"/>
          <w:szCs w:val="28"/>
        </w:rPr>
        <w:t xml:space="preserve"> in the world with 909 high citation papers, followed by Sydney at 27, Queensland at 46 and Monash at 62. </w:t>
      </w:r>
      <w:r w:rsidR="00D41345">
        <w:rPr>
          <w:sz w:val="28"/>
          <w:szCs w:val="28"/>
        </w:rPr>
        <w:t>S</w:t>
      </w:r>
      <w:r w:rsidR="0090770E">
        <w:rPr>
          <w:sz w:val="28"/>
          <w:szCs w:val="28"/>
        </w:rPr>
        <w:t xml:space="preserve">ince the first Leiden ranking six years ago </w:t>
      </w:r>
      <w:r w:rsidR="00D41345">
        <w:rPr>
          <w:sz w:val="28"/>
          <w:szCs w:val="28"/>
        </w:rPr>
        <w:t xml:space="preserve">Melbourne has risen </w:t>
      </w:r>
      <w:r w:rsidR="002B125C">
        <w:rPr>
          <w:sz w:val="28"/>
          <w:szCs w:val="28"/>
        </w:rPr>
        <w:t xml:space="preserve">from </w:t>
      </w:r>
      <w:r w:rsidR="0090770E">
        <w:rPr>
          <w:sz w:val="28"/>
          <w:szCs w:val="28"/>
        </w:rPr>
        <w:t>33</w:t>
      </w:r>
      <w:r w:rsidR="002B125C">
        <w:rPr>
          <w:sz w:val="28"/>
          <w:szCs w:val="28"/>
        </w:rPr>
        <w:t xml:space="preserve"> to 22</w:t>
      </w:r>
      <w:r w:rsidR="0090770E">
        <w:rPr>
          <w:sz w:val="28"/>
          <w:szCs w:val="28"/>
        </w:rPr>
        <w:t xml:space="preserve">. </w:t>
      </w:r>
      <w:r w:rsidR="000424A7">
        <w:rPr>
          <w:sz w:val="28"/>
          <w:szCs w:val="28"/>
        </w:rPr>
        <w:t>In Life and Earth sciences Queensland does even better, at 11</w:t>
      </w:r>
      <w:r w:rsidR="000424A7" w:rsidRPr="000424A7">
        <w:rPr>
          <w:sz w:val="28"/>
          <w:szCs w:val="28"/>
          <w:vertAlign w:val="superscript"/>
        </w:rPr>
        <w:t>th</w:t>
      </w:r>
      <w:r w:rsidR="00DA0D30">
        <w:rPr>
          <w:sz w:val="28"/>
          <w:szCs w:val="28"/>
        </w:rPr>
        <w:t xml:space="preserve">, </w:t>
      </w:r>
      <w:r w:rsidR="000424A7">
        <w:rPr>
          <w:sz w:val="28"/>
          <w:szCs w:val="28"/>
        </w:rPr>
        <w:t>followed by Melbourne 40, ANU 48, UWA 57 and James Cook, with its special</w:t>
      </w:r>
      <w:r w:rsidR="00DB50A0">
        <w:rPr>
          <w:sz w:val="28"/>
          <w:szCs w:val="28"/>
        </w:rPr>
        <w:t>ization in tropical and marine</w:t>
      </w:r>
      <w:r w:rsidR="000424A7">
        <w:rPr>
          <w:sz w:val="28"/>
          <w:szCs w:val="28"/>
        </w:rPr>
        <w:t xml:space="preserve">, at 58. Australia does less well in </w:t>
      </w:r>
      <w:r w:rsidR="00DA0D30">
        <w:rPr>
          <w:sz w:val="28"/>
          <w:szCs w:val="28"/>
        </w:rPr>
        <w:t>physical sciences STEM</w:t>
      </w:r>
      <w:r w:rsidR="000424A7">
        <w:rPr>
          <w:sz w:val="28"/>
          <w:szCs w:val="28"/>
        </w:rPr>
        <w:t xml:space="preserve"> </w:t>
      </w:r>
      <w:r w:rsidR="000424A7" w:rsidRPr="00C9521C">
        <w:rPr>
          <w:sz w:val="28"/>
          <w:szCs w:val="28"/>
        </w:rPr>
        <w:t>and mathematics and computing</w:t>
      </w:r>
      <w:r w:rsidR="00D41345">
        <w:rPr>
          <w:sz w:val="28"/>
          <w:szCs w:val="28"/>
        </w:rPr>
        <w:t>, where UNSW is the strongest</w:t>
      </w:r>
      <w:r w:rsidR="000424A7" w:rsidRPr="00C9521C">
        <w:rPr>
          <w:sz w:val="28"/>
          <w:szCs w:val="28"/>
        </w:rPr>
        <w:t>.</w:t>
      </w:r>
      <w:r w:rsidR="009C386E">
        <w:rPr>
          <w:rStyle w:val="FootnoteReference"/>
          <w:sz w:val="28"/>
          <w:szCs w:val="28"/>
        </w:rPr>
        <w:footnoteReference w:id="27"/>
      </w:r>
      <w:r w:rsidR="000424A7" w:rsidRPr="00C9521C">
        <w:rPr>
          <w:sz w:val="28"/>
          <w:szCs w:val="28"/>
        </w:rPr>
        <w:t xml:space="preserve"> </w:t>
      </w:r>
    </w:p>
    <w:p w14:paraId="1A8B2386" w14:textId="400BCCA9" w:rsidR="00C351B9" w:rsidRDefault="006207F1" w:rsidP="00BE2779">
      <w:pPr>
        <w:spacing w:line="288" w:lineRule="auto"/>
        <w:ind w:firstLine="360"/>
        <w:rPr>
          <w:sz w:val="28"/>
          <w:szCs w:val="28"/>
          <w:lang w:val="en-US"/>
        </w:rPr>
      </w:pPr>
      <w:r>
        <w:rPr>
          <w:sz w:val="28"/>
          <w:szCs w:val="28"/>
          <w:lang w:val="en-US"/>
        </w:rPr>
        <w:t>In 2014, t</w:t>
      </w:r>
      <w:r w:rsidR="009F0592">
        <w:rPr>
          <w:sz w:val="28"/>
          <w:szCs w:val="28"/>
          <w:lang w:val="en-US"/>
        </w:rPr>
        <w:t xml:space="preserve">owards the end of his </w:t>
      </w:r>
      <w:r>
        <w:rPr>
          <w:sz w:val="28"/>
          <w:szCs w:val="28"/>
          <w:lang w:val="en-US"/>
        </w:rPr>
        <w:t>time</w:t>
      </w:r>
      <w:r w:rsidR="009F0592">
        <w:rPr>
          <w:sz w:val="28"/>
          <w:szCs w:val="28"/>
          <w:lang w:val="en-US"/>
        </w:rPr>
        <w:t xml:space="preserve"> as Chief Scient</w:t>
      </w:r>
      <w:r w:rsidR="009B1BAE">
        <w:rPr>
          <w:sz w:val="28"/>
          <w:szCs w:val="28"/>
          <w:lang w:val="en-US"/>
        </w:rPr>
        <w:t xml:space="preserve">ist, Ian Chubb—whose </w:t>
      </w:r>
      <w:r>
        <w:rPr>
          <w:sz w:val="28"/>
          <w:szCs w:val="28"/>
          <w:lang w:val="en-US"/>
        </w:rPr>
        <w:t>informal</w:t>
      </w:r>
      <w:r w:rsidR="006906A4">
        <w:rPr>
          <w:sz w:val="28"/>
          <w:szCs w:val="28"/>
          <w:lang w:val="en-US"/>
        </w:rPr>
        <w:t>ity</w:t>
      </w:r>
      <w:r>
        <w:rPr>
          <w:sz w:val="28"/>
          <w:szCs w:val="28"/>
          <w:lang w:val="en-US"/>
        </w:rPr>
        <w:t xml:space="preserve">, </w:t>
      </w:r>
      <w:r w:rsidR="00D41345">
        <w:rPr>
          <w:sz w:val="28"/>
          <w:szCs w:val="28"/>
          <w:lang w:val="en-US"/>
        </w:rPr>
        <w:t xml:space="preserve">prolific </w:t>
      </w:r>
      <w:r w:rsidR="00D94710">
        <w:rPr>
          <w:sz w:val="28"/>
          <w:szCs w:val="28"/>
          <w:lang w:val="en-US"/>
        </w:rPr>
        <w:t>swearing</w:t>
      </w:r>
      <w:r>
        <w:rPr>
          <w:sz w:val="28"/>
          <w:szCs w:val="28"/>
          <w:lang w:val="en-US"/>
        </w:rPr>
        <w:t xml:space="preserve"> </w:t>
      </w:r>
      <w:r w:rsidR="009B1BAE">
        <w:rPr>
          <w:sz w:val="28"/>
          <w:szCs w:val="28"/>
          <w:lang w:val="en-US"/>
        </w:rPr>
        <w:t xml:space="preserve">and </w:t>
      </w:r>
      <w:r w:rsidR="006906A4">
        <w:rPr>
          <w:sz w:val="28"/>
          <w:szCs w:val="28"/>
          <w:lang w:val="en-US"/>
        </w:rPr>
        <w:t xml:space="preserve">highly </w:t>
      </w:r>
      <w:r w:rsidR="009B1BAE">
        <w:rPr>
          <w:sz w:val="28"/>
          <w:szCs w:val="28"/>
          <w:lang w:val="en-US"/>
        </w:rPr>
        <w:t>succes</w:t>
      </w:r>
      <w:r w:rsidR="00D41345">
        <w:rPr>
          <w:sz w:val="28"/>
          <w:szCs w:val="28"/>
          <w:lang w:val="en-US"/>
        </w:rPr>
        <w:t>sful crash-through style recalled</w:t>
      </w:r>
      <w:r w:rsidR="009B1BAE">
        <w:rPr>
          <w:sz w:val="28"/>
          <w:szCs w:val="28"/>
          <w:lang w:val="en-US"/>
        </w:rPr>
        <w:t xml:space="preserve"> R</w:t>
      </w:r>
      <w:r>
        <w:rPr>
          <w:sz w:val="28"/>
          <w:szCs w:val="28"/>
          <w:lang w:val="en-US"/>
        </w:rPr>
        <w:t xml:space="preserve"> </w:t>
      </w:r>
      <w:r w:rsidR="009B1BAE">
        <w:rPr>
          <w:sz w:val="28"/>
          <w:szCs w:val="28"/>
          <w:lang w:val="en-US"/>
        </w:rPr>
        <w:t>D</w:t>
      </w:r>
      <w:r>
        <w:rPr>
          <w:sz w:val="28"/>
          <w:szCs w:val="28"/>
          <w:lang w:val="en-US"/>
        </w:rPr>
        <w:t>ouglas</w:t>
      </w:r>
      <w:r w:rsidR="009B1BAE">
        <w:rPr>
          <w:sz w:val="28"/>
          <w:szCs w:val="28"/>
          <w:lang w:val="en-US"/>
        </w:rPr>
        <w:t xml:space="preserve"> Wright—published a report that benchmarked Australian science and engineering, including life and medical, on citation performance. </w:t>
      </w:r>
      <w:r w:rsidR="00896205">
        <w:rPr>
          <w:sz w:val="28"/>
          <w:szCs w:val="28"/>
          <w:lang w:val="en-US"/>
        </w:rPr>
        <w:t xml:space="preserve">This </w:t>
      </w:r>
      <w:r w:rsidR="00D41345">
        <w:rPr>
          <w:sz w:val="28"/>
          <w:szCs w:val="28"/>
          <w:lang w:val="en-US"/>
        </w:rPr>
        <w:t>included</w:t>
      </w:r>
      <w:r w:rsidR="00896205">
        <w:rPr>
          <w:sz w:val="28"/>
          <w:szCs w:val="28"/>
          <w:lang w:val="en-US"/>
        </w:rPr>
        <w:t xml:space="preserve"> CSIRO. </w:t>
      </w:r>
      <w:r w:rsidR="00D64829">
        <w:rPr>
          <w:sz w:val="28"/>
          <w:szCs w:val="28"/>
          <w:lang w:val="en-US"/>
        </w:rPr>
        <w:t xml:space="preserve">Between 2002 and 2012 Australia produced 3.1 per cent </w:t>
      </w:r>
      <w:r w:rsidR="00D41345">
        <w:rPr>
          <w:sz w:val="28"/>
          <w:szCs w:val="28"/>
          <w:lang w:val="en-US"/>
        </w:rPr>
        <w:t xml:space="preserve">of </w:t>
      </w:r>
      <w:r w:rsidR="00D64829">
        <w:rPr>
          <w:sz w:val="28"/>
          <w:szCs w:val="28"/>
          <w:lang w:val="en-US"/>
        </w:rPr>
        <w:t xml:space="preserve">the world’s publications in </w:t>
      </w:r>
      <w:r w:rsidR="00FD5CB2">
        <w:rPr>
          <w:sz w:val="28"/>
          <w:szCs w:val="28"/>
          <w:lang w:val="en-US"/>
        </w:rPr>
        <w:t xml:space="preserve">all </w:t>
      </w:r>
      <w:r w:rsidR="00D64829">
        <w:rPr>
          <w:sz w:val="28"/>
          <w:szCs w:val="28"/>
          <w:lang w:val="en-US"/>
        </w:rPr>
        <w:t>fields of science</w:t>
      </w:r>
      <w:r w:rsidR="002B125C">
        <w:rPr>
          <w:sz w:val="28"/>
          <w:szCs w:val="28"/>
          <w:lang w:val="en-US"/>
        </w:rPr>
        <w:t xml:space="preserve">. </w:t>
      </w:r>
      <w:r w:rsidR="003E4B45">
        <w:rPr>
          <w:sz w:val="28"/>
          <w:szCs w:val="28"/>
          <w:lang w:val="en-US"/>
        </w:rPr>
        <w:t xml:space="preserve">Looking at top 1 per cent publications by citation rate, </w:t>
      </w:r>
      <w:r w:rsidR="002B125C">
        <w:rPr>
          <w:sz w:val="28"/>
          <w:szCs w:val="28"/>
          <w:lang w:val="en-US"/>
        </w:rPr>
        <w:t xml:space="preserve">the most important papers, </w:t>
      </w:r>
      <w:r w:rsidR="007A5ECA">
        <w:rPr>
          <w:sz w:val="28"/>
          <w:szCs w:val="28"/>
          <w:lang w:val="en-US"/>
        </w:rPr>
        <w:t>Australia produced</w:t>
      </w:r>
      <w:r w:rsidR="00BA3AB0">
        <w:rPr>
          <w:sz w:val="28"/>
          <w:szCs w:val="28"/>
          <w:lang w:val="en-US"/>
        </w:rPr>
        <w:t xml:space="preserve"> </w:t>
      </w:r>
      <w:r w:rsidR="002B125C">
        <w:rPr>
          <w:sz w:val="28"/>
          <w:szCs w:val="28"/>
          <w:lang w:val="en-US"/>
        </w:rPr>
        <w:t>9</w:t>
      </w:r>
      <w:r w:rsidR="00BA3AB0">
        <w:rPr>
          <w:sz w:val="28"/>
          <w:szCs w:val="28"/>
          <w:lang w:val="en-US"/>
        </w:rPr>
        <w:t xml:space="preserve"> per cent in earth and planetary sciences, </w:t>
      </w:r>
      <w:r w:rsidR="002B125C">
        <w:rPr>
          <w:sz w:val="28"/>
          <w:szCs w:val="28"/>
          <w:lang w:val="en-US"/>
        </w:rPr>
        <w:t>8</w:t>
      </w:r>
      <w:r w:rsidR="00BA3AB0">
        <w:rPr>
          <w:sz w:val="28"/>
          <w:szCs w:val="28"/>
          <w:lang w:val="en-US"/>
        </w:rPr>
        <w:t xml:space="preserve"> per cent in agricultural and biological sciences, </w:t>
      </w:r>
      <w:r w:rsidR="002B125C">
        <w:rPr>
          <w:sz w:val="28"/>
          <w:szCs w:val="28"/>
          <w:lang w:val="en-US"/>
        </w:rPr>
        <w:t>7</w:t>
      </w:r>
      <w:r w:rsidR="00BA3AB0">
        <w:rPr>
          <w:sz w:val="28"/>
          <w:szCs w:val="28"/>
          <w:lang w:val="en-US"/>
        </w:rPr>
        <w:t xml:space="preserve"> per cent in environmental sciences, </w:t>
      </w:r>
      <w:r w:rsidR="002B125C">
        <w:rPr>
          <w:sz w:val="28"/>
          <w:szCs w:val="28"/>
          <w:lang w:val="en-US"/>
        </w:rPr>
        <w:t>7</w:t>
      </w:r>
      <w:r w:rsidR="00BA3AB0">
        <w:rPr>
          <w:sz w:val="28"/>
          <w:szCs w:val="28"/>
          <w:lang w:val="en-US"/>
        </w:rPr>
        <w:t xml:space="preserve"> per cent in veterinary, </w:t>
      </w:r>
      <w:r w:rsidR="002B125C">
        <w:rPr>
          <w:sz w:val="28"/>
          <w:szCs w:val="28"/>
          <w:lang w:val="en-US"/>
        </w:rPr>
        <w:t>6</w:t>
      </w:r>
      <w:r w:rsidR="00BA3AB0">
        <w:rPr>
          <w:sz w:val="28"/>
          <w:szCs w:val="28"/>
          <w:lang w:val="en-US"/>
        </w:rPr>
        <w:t xml:space="preserve"> per cent in medicine and 5 per cent in immunology and microbiology.</w:t>
      </w:r>
      <w:r w:rsidR="00B9631D">
        <w:rPr>
          <w:rStyle w:val="FootnoteReference"/>
          <w:sz w:val="28"/>
          <w:szCs w:val="28"/>
          <w:lang w:val="en-US"/>
        </w:rPr>
        <w:footnoteReference w:id="28"/>
      </w:r>
      <w:r w:rsidR="00BA3AB0">
        <w:rPr>
          <w:sz w:val="28"/>
          <w:szCs w:val="28"/>
          <w:lang w:val="en-US"/>
        </w:rPr>
        <w:t xml:space="preserve"> </w:t>
      </w:r>
      <w:r w:rsidR="007A5ECA">
        <w:rPr>
          <w:sz w:val="28"/>
          <w:szCs w:val="28"/>
          <w:lang w:val="en-US"/>
        </w:rPr>
        <w:t>Australia</w:t>
      </w:r>
      <w:r w:rsidR="002B125C">
        <w:rPr>
          <w:sz w:val="28"/>
          <w:szCs w:val="28"/>
          <w:lang w:val="en-US"/>
        </w:rPr>
        <w:t>’s citation rate</w:t>
      </w:r>
      <w:r w:rsidR="007A5ECA">
        <w:rPr>
          <w:sz w:val="28"/>
          <w:szCs w:val="28"/>
          <w:lang w:val="en-US"/>
        </w:rPr>
        <w:t xml:space="preserve"> was higher than the average for </w:t>
      </w:r>
      <w:r w:rsidR="002B125C">
        <w:rPr>
          <w:sz w:val="28"/>
          <w:szCs w:val="28"/>
          <w:lang w:val="en-US"/>
        </w:rPr>
        <w:t>15 strong EU research countries</w:t>
      </w:r>
      <w:r w:rsidR="007A5ECA">
        <w:rPr>
          <w:sz w:val="28"/>
          <w:szCs w:val="28"/>
          <w:lang w:val="en-US"/>
        </w:rPr>
        <w:t>, in four fields: earth sciences, physical sciences, mathematical sciences and the biomedical and clinical health sciences. In six other fields the Australian citation rate was above the world average rate but below the EU</w:t>
      </w:r>
      <w:r w:rsidR="00C25AD4">
        <w:rPr>
          <w:sz w:val="28"/>
          <w:szCs w:val="28"/>
          <w:lang w:val="en-US"/>
        </w:rPr>
        <w:t>-15</w:t>
      </w:r>
      <w:r w:rsidR="007A5ECA">
        <w:rPr>
          <w:sz w:val="28"/>
          <w:szCs w:val="28"/>
          <w:lang w:val="en-US"/>
        </w:rPr>
        <w:t xml:space="preserve"> average. This is not a stellar </w:t>
      </w:r>
      <w:r w:rsidR="00C25AD4">
        <w:rPr>
          <w:sz w:val="28"/>
          <w:szCs w:val="28"/>
          <w:lang w:val="en-US"/>
        </w:rPr>
        <w:t>outcome</w:t>
      </w:r>
      <w:r w:rsidR="007A5ECA">
        <w:rPr>
          <w:sz w:val="28"/>
          <w:szCs w:val="28"/>
          <w:lang w:val="en-US"/>
        </w:rPr>
        <w:t>. Sweden and the UK were abo</w:t>
      </w:r>
      <w:r w:rsidR="00C25AD4">
        <w:rPr>
          <w:sz w:val="28"/>
          <w:szCs w:val="28"/>
          <w:lang w:val="en-US"/>
        </w:rPr>
        <w:t xml:space="preserve">ve the EU-15 average in all fields, </w:t>
      </w:r>
      <w:r w:rsidR="007A5ECA">
        <w:rPr>
          <w:sz w:val="28"/>
          <w:szCs w:val="28"/>
          <w:lang w:val="en-US"/>
        </w:rPr>
        <w:t>the United States in almost all fields</w:t>
      </w:r>
      <w:r w:rsidR="00C25AD4">
        <w:rPr>
          <w:sz w:val="28"/>
          <w:szCs w:val="28"/>
          <w:lang w:val="en-US"/>
        </w:rPr>
        <w:t xml:space="preserve">, and Canada did </w:t>
      </w:r>
      <w:r w:rsidR="002B125C">
        <w:rPr>
          <w:sz w:val="28"/>
          <w:szCs w:val="28"/>
          <w:lang w:val="en-US"/>
        </w:rPr>
        <w:t xml:space="preserve">rather </w:t>
      </w:r>
      <w:r w:rsidR="00C25AD4">
        <w:rPr>
          <w:sz w:val="28"/>
          <w:szCs w:val="28"/>
          <w:lang w:val="en-US"/>
        </w:rPr>
        <w:t>better than Australia</w:t>
      </w:r>
      <w:r w:rsidR="007A5ECA">
        <w:rPr>
          <w:sz w:val="28"/>
          <w:szCs w:val="28"/>
          <w:lang w:val="en-US"/>
        </w:rPr>
        <w:t xml:space="preserve">. </w:t>
      </w:r>
    </w:p>
    <w:p w14:paraId="5B0F7A66" w14:textId="77777777" w:rsidR="007A5ECA" w:rsidRPr="007A5ECA" w:rsidRDefault="007A5ECA" w:rsidP="00BE2779">
      <w:pPr>
        <w:spacing w:line="288" w:lineRule="auto"/>
        <w:rPr>
          <w:sz w:val="28"/>
          <w:szCs w:val="28"/>
          <w:lang w:val="en-US"/>
        </w:rPr>
      </w:pPr>
    </w:p>
    <w:p w14:paraId="6DAE3C8A" w14:textId="4D9F7602" w:rsidR="004F7BFD" w:rsidRDefault="004F7BFD" w:rsidP="00BE2779">
      <w:pPr>
        <w:spacing w:line="288" w:lineRule="auto"/>
        <w:rPr>
          <w:sz w:val="28"/>
          <w:szCs w:val="28"/>
        </w:rPr>
      </w:pPr>
      <w:r>
        <w:rPr>
          <w:sz w:val="28"/>
          <w:szCs w:val="28"/>
        </w:rPr>
        <w:t>[THE INNER UNIVERSITY]</w:t>
      </w:r>
    </w:p>
    <w:p w14:paraId="6FDEEE55" w14:textId="505565F4" w:rsidR="001F67BC" w:rsidRDefault="00BA033C" w:rsidP="00BE2779">
      <w:pPr>
        <w:spacing w:line="288" w:lineRule="auto"/>
        <w:rPr>
          <w:sz w:val="28"/>
          <w:szCs w:val="28"/>
        </w:rPr>
      </w:pPr>
      <w:r>
        <w:rPr>
          <w:sz w:val="28"/>
          <w:szCs w:val="28"/>
        </w:rPr>
        <w:lastRenderedPageBreak/>
        <w:t xml:space="preserve">International comparisons are not the only standard of value. The thing must be </w:t>
      </w:r>
      <w:proofErr w:type="gramStart"/>
      <w:r>
        <w:rPr>
          <w:sz w:val="28"/>
          <w:szCs w:val="28"/>
        </w:rPr>
        <w:t>good in itself</w:t>
      </w:r>
      <w:proofErr w:type="gramEnd"/>
      <w:r>
        <w:rPr>
          <w:sz w:val="28"/>
          <w:szCs w:val="28"/>
        </w:rPr>
        <w:t>. How good is</w:t>
      </w:r>
      <w:r w:rsidR="001F67BC">
        <w:rPr>
          <w:sz w:val="28"/>
          <w:szCs w:val="28"/>
        </w:rPr>
        <w:t xml:space="preserve"> the </w:t>
      </w:r>
      <w:r>
        <w:rPr>
          <w:sz w:val="28"/>
          <w:szCs w:val="28"/>
        </w:rPr>
        <w:t xml:space="preserve">Australian </w:t>
      </w:r>
      <w:r w:rsidR="001F67BC">
        <w:rPr>
          <w:sz w:val="28"/>
          <w:szCs w:val="28"/>
        </w:rPr>
        <w:t xml:space="preserve">university </w:t>
      </w:r>
      <w:proofErr w:type="gramStart"/>
      <w:r w:rsidR="001F67BC">
        <w:rPr>
          <w:sz w:val="28"/>
          <w:szCs w:val="28"/>
        </w:rPr>
        <w:t>in itself</w:t>
      </w:r>
      <w:r w:rsidR="00BF012F">
        <w:rPr>
          <w:sz w:val="28"/>
          <w:szCs w:val="28"/>
        </w:rPr>
        <w:t>, what</w:t>
      </w:r>
      <w:proofErr w:type="gramEnd"/>
      <w:r w:rsidR="00BF012F">
        <w:rPr>
          <w:sz w:val="28"/>
          <w:szCs w:val="28"/>
        </w:rPr>
        <w:t xml:space="preserve"> we can call the inner university</w:t>
      </w:r>
      <w:r>
        <w:rPr>
          <w:sz w:val="28"/>
          <w:szCs w:val="28"/>
        </w:rPr>
        <w:t>?</w:t>
      </w:r>
      <w:r w:rsidR="001F67BC">
        <w:rPr>
          <w:sz w:val="28"/>
          <w:szCs w:val="28"/>
        </w:rPr>
        <w:t xml:space="preserve"> </w:t>
      </w:r>
      <w:r>
        <w:rPr>
          <w:sz w:val="28"/>
          <w:szCs w:val="28"/>
        </w:rPr>
        <w:t>And</w:t>
      </w:r>
      <w:r w:rsidR="001F67BC">
        <w:rPr>
          <w:sz w:val="28"/>
          <w:szCs w:val="28"/>
        </w:rPr>
        <w:t xml:space="preserve"> how good is the </w:t>
      </w:r>
      <w:r>
        <w:rPr>
          <w:sz w:val="28"/>
          <w:szCs w:val="28"/>
        </w:rPr>
        <w:t xml:space="preserve">Australian </w:t>
      </w:r>
      <w:r w:rsidR="001F67BC">
        <w:rPr>
          <w:sz w:val="28"/>
          <w:szCs w:val="28"/>
        </w:rPr>
        <w:t xml:space="preserve">university for </w:t>
      </w:r>
      <w:r>
        <w:rPr>
          <w:sz w:val="28"/>
          <w:szCs w:val="28"/>
        </w:rPr>
        <w:t>the society in which it sits</w:t>
      </w:r>
      <w:r w:rsidR="00BF012F">
        <w:rPr>
          <w:sz w:val="28"/>
          <w:szCs w:val="28"/>
        </w:rPr>
        <w:t xml:space="preserve">, </w:t>
      </w:r>
      <w:r w:rsidR="002B125C">
        <w:rPr>
          <w:sz w:val="28"/>
          <w:szCs w:val="28"/>
        </w:rPr>
        <w:t>the outer university?</w:t>
      </w:r>
    </w:p>
    <w:p w14:paraId="0DABB198" w14:textId="33AEF02B" w:rsidR="00E445C3" w:rsidRDefault="00BF012F" w:rsidP="00BE2779">
      <w:pPr>
        <w:spacing w:line="288" w:lineRule="auto"/>
        <w:ind w:firstLine="360"/>
        <w:rPr>
          <w:sz w:val="28"/>
          <w:szCs w:val="28"/>
        </w:rPr>
      </w:pPr>
      <w:r>
        <w:rPr>
          <w:sz w:val="28"/>
          <w:szCs w:val="28"/>
        </w:rPr>
        <w:t>T</w:t>
      </w:r>
      <w:r w:rsidR="003B5E34">
        <w:rPr>
          <w:sz w:val="28"/>
          <w:szCs w:val="28"/>
        </w:rPr>
        <w:t xml:space="preserve">he inner </w:t>
      </w:r>
      <w:r>
        <w:rPr>
          <w:sz w:val="28"/>
          <w:szCs w:val="28"/>
        </w:rPr>
        <w:t xml:space="preserve">and outer university are not wholly separate. The inner </w:t>
      </w:r>
      <w:r w:rsidR="003B5E34">
        <w:rPr>
          <w:sz w:val="28"/>
          <w:szCs w:val="28"/>
        </w:rPr>
        <w:t xml:space="preserve">Australian university is partly shaped by </w:t>
      </w:r>
      <w:r>
        <w:rPr>
          <w:sz w:val="28"/>
          <w:szCs w:val="28"/>
        </w:rPr>
        <w:t xml:space="preserve">its </w:t>
      </w:r>
      <w:r w:rsidR="003B5E34">
        <w:rPr>
          <w:sz w:val="28"/>
          <w:szCs w:val="28"/>
        </w:rPr>
        <w:t>management</w:t>
      </w:r>
      <w:r>
        <w:rPr>
          <w:sz w:val="28"/>
          <w:szCs w:val="28"/>
        </w:rPr>
        <w:t>. I</w:t>
      </w:r>
      <w:r w:rsidR="003B5E34">
        <w:rPr>
          <w:sz w:val="28"/>
          <w:szCs w:val="28"/>
        </w:rPr>
        <w:t xml:space="preserve">n </w:t>
      </w:r>
      <w:r>
        <w:rPr>
          <w:sz w:val="28"/>
          <w:szCs w:val="28"/>
        </w:rPr>
        <w:t xml:space="preserve">turn </w:t>
      </w:r>
      <w:r w:rsidR="003B5E34">
        <w:rPr>
          <w:sz w:val="28"/>
          <w:szCs w:val="28"/>
        </w:rPr>
        <w:t xml:space="preserve">management is </w:t>
      </w:r>
      <w:r>
        <w:rPr>
          <w:sz w:val="28"/>
          <w:szCs w:val="28"/>
        </w:rPr>
        <w:t>much affected</w:t>
      </w:r>
      <w:r w:rsidR="003B5E34">
        <w:rPr>
          <w:sz w:val="28"/>
          <w:szCs w:val="28"/>
        </w:rPr>
        <w:t xml:space="preserve"> by </w:t>
      </w:r>
      <w:r w:rsidR="002B125C">
        <w:rPr>
          <w:sz w:val="28"/>
          <w:szCs w:val="28"/>
        </w:rPr>
        <w:t>government</w:t>
      </w:r>
      <w:r w:rsidR="003B5E34">
        <w:rPr>
          <w:sz w:val="28"/>
          <w:szCs w:val="28"/>
        </w:rPr>
        <w:t>, by the lattice of laws, rules, capital flows, distributional formulae, parcels of money, visa decisions and all the rest of the dense lattice in which the university is embedded. Government is a more comple</w:t>
      </w:r>
      <w:r>
        <w:rPr>
          <w:sz w:val="28"/>
          <w:szCs w:val="28"/>
        </w:rPr>
        <w:t>te</w:t>
      </w:r>
      <w:r w:rsidR="003B5E34">
        <w:rPr>
          <w:sz w:val="28"/>
          <w:szCs w:val="28"/>
        </w:rPr>
        <w:t xml:space="preserve"> presence in the Australian university than it is in, say, the American university. Australia is more British than American here. </w:t>
      </w:r>
    </w:p>
    <w:p w14:paraId="33840FCD" w14:textId="70027CDB" w:rsidR="00810F36" w:rsidRDefault="00E445C3" w:rsidP="00BE2779">
      <w:pPr>
        <w:spacing w:line="288" w:lineRule="auto"/>
        <w:ind w:firstLine="360"/>
        <w:rPr>
          <w:sz w:val="28"/>
          <w:szCs w:val="28"/>
        </w:rPr>
      </w:pPr>
      <w:r>
        <w:rPr>
          <w:sz w:val="28"/>
          <w:szCs w:val="28"/>
        </w:rPr>
        <w:t>The state-manager nexus</w:t>
      </w:r>
      <w:r w:rsidR="00EA28B5">
        <w:rPr>
          <w:sz w:val="28"/>
          <w:szCs w:val="28"/>
        </w:rPr>
        <w:t xml:space="preserve"> </w:t>
      </w:r>
      <w:r w:rsidR="00A61F6F">
        <w:rPr>
          <w:sz w:val="28"/>
          <w:szCs w:val="28"/>
        </w:rPr>
        <w:t xml:space="preserve">was fundamental to the </w:t>
      </w:r>
      <w:r w:rsidR="002B125C">
        <w:rPr>
          <w:sz w:val="28"/>
          <w:szCs w:val="28"/>
        </w:rPr>
        <w:t xml:space="preserve">development </w:t>
      </w:r>
      <w:r w:rsidR="00A61F6F">
        <w:rPr>
          <w:sz w:val="28"/>
          <w:szCs w:val="28"/>
        </w:rPr>
        <w:t xml:space="preserve">of </w:t>
      </w:r>
      <w:r w:rsidR="00EA28B5">
        <w:rPr>
          <w:sz w:val="28"/>
          <w:szCs w:val="28"/>
        </w:rPr>
        <w:t xml:space="preserve">a more </w:t>
      </w:r>
      <w:r w:rsidR="00A61F6F">
        <w:rPr>
          <w:sz w:val="28"/>
          <w:szCs w:val="28"/>
        </w:rPr>
        <w:t>professional academic management</w:t>
      </w:r>
      <w:r>
        <w:rPr>
          <w:sz w:val="28"/>
          <w:szCs w:val="28"/>
        </w:rPr>
        <w:t xml:space="preserve"> </w:t>
      </w:r>
      <w:r w:rsidR="002B125C">
        <w:rPr>
          <w:sz w:val="28"/>
          <w:szCs w:val="28"/>
        </w:rPr>
        <w:t>during the</w:t>
      </w:r>
      <w:r w:rsidR="004253E0">
        <w:rPr>
          <w:sz w:val="28"/>
          <w:szCs w:val="28"/>
        </w:rPr>
        <w:t xml:space="preserve"> new public management reforms</w:t>
      </w:r>
      <w:r w:rsidR="002B125C">
        <w:rPr>
          <w:sz w:val="28"/>
          <w:szCs w:val="28"/>
        </w:rPr>
        <w:t xml:space="preserve"> of the 1990s. </w:t>
      </w:r>
      <w:r w:rsidR="00B11CA4">
        <w:rPr>
          <w:sz w:val="28"/>
          <w:szCs w:val="28"/>
        </w:rPr>
        <w:t xml:space="preserve">In the outcome, </w:t>
      </w:r>
      <w:r w:rsidR="005B2D7F">
        <w:rPr>
          <w:sz w:val="28"/>
          <w:szCs w:val="28"/>
        </w:rPr>
        <w:t>Austr</w:t>
      </w:r>
      <w:r w:rsidR="008F770B">
        <w:rPr>
          <w:sz w:val="28"/>
          <w:szCs w:val="28"/>
        </w:rPr>
        <w:t>ali</w:t>
      </w:r>
      <w:r w:rsidR="005B2D7F">
        <w:rPr>
          <w:sz w:val="28"/>
          <w:szCs w:val="28"/>
        </w:rPr>
        <w:t xml:space="preserve">an </w:t>
      </w:r>
      <w:r w:rsidR="008F770B">
        <w:rPr>
          <w:sz w:val="28"/>
          <w:szCs w:val="28"/>
        </w:rPr>
        <w:t xml:space="preserve">universities </w:t>
      </w:r>
      <w:r w:rsidR="00B11CA4">
        <w:rPr>
          <w:sz w:val="28"/>
          <w:szCs w:val="28"/>
        </w:rPr>
        <w:t>have become</w:t>
      </w:r>
      <w:r w:rsidR="008F770B">
        <w:rPr>
          <w:sz w:val="28"/>
          <w:szCs w:val="28"/>
        </w:rPr>
        <w:t xml:space="preserve"> </w:t>
      </w:r>
      <w:r w:rsidR="002B125C">
        <w:rPr>
          <w:sz w:val="28"/>
          <w:szCs w:val="28"/>
        </w:rPr>
        <w:t xml:space="preserve">very well </w:t>
      </w:r>
      <w:r w:rsidR="00B11CA4">
        <w:rPr>
          <w:sz w:val="28"/>
          <w:szCs w:val="28"/>
        </w:rPr>
        <w:t xml:space="preserve">run </w:t>
      </w:r>
      <w:r w:rsidR="002B125C">
        <w:rPr>
          <w:sz w:val="28"/>
          <w:szCs w:val="28"/>
        </w:rPr>
        <w:t xml:space="preserve">or </w:t>
      </w:r>
      <w:r w:rsidR="008F770B">
        <w:rPr>
          <w:sz w:val="28"/>
          <w:szCs w:val="28"/>
        </w:rPr>
        <w:t xml:space="preserve">well run. </w:t>
      </w:r>
      <w:r w:rsidR="002B125C">
        <w:rPr>
          <w:sz w:val="28"/>
          <w:szCs w:val="28"/>
        </w:rPr>
        <w:t>M</w:t>
      </w:r>
      <w:r w:rsidR="004253E0">
        <w:rPr>
          <w:sz w:val="28"/>
          <w:szCs w:val="28"/>
        </w:rPr>
        <w:t>anagement reform</w:t>
      </w:r>
      <w:r w:rsidR="00810F36">
        <w:rPr>
          <w:sz w:val="28"/>
          <w:szCs w:val="28"/>
        </w:rPr>
        <w:t xml:space="preserve"> </w:t>
      </w:r>
      <w:r w:rsidR="002B125C">
        <w:rPr>
          <w:sz w:val="28"/>
          <w:szCs w:val="28"/>
        </w:rPr>
        <w:t>has underpinned</w:t>
      </w:r>
      <w:r w:rsidR="004253E0">
        <w:rPr>
          <w:sz w:val="28"/>
          <w:szCs w:val="28"/>
        </w:rPr>
        <w:t xml:space="preserve"> the </w:t>
      </w:r>
      <w:r w:rsidR="00810F36">
        <w:rPr>
          <w:sz w:val="28"/>
          <w:szCs w:val="28"/>
        </w:rPr>
        <w:t xml:space="preserve">remarkable </w:t>
      </w:r>
      <w:r w:rsidR="004253E0">
        <w:rPr>
          <w:sz w:val="28"/>
          <w:szCs w:val="28"/>
        </w:rPr>
        <w:t xml:space="preserve">business success </w:t>
      </w:r>
      <w:r w:rsidR="00810F36">
        <w:rPr>
          <w:sz w:val="28"/>
          <w:szCs w:val="28"/>
        </w:rPr>
        <w:t>of international education</w:t>
      </w:r>
      <w:r w:rsidR="00AA195F">
        <w:rPr>
          <w:sz w:val="28"/>
          <w:szCs w:val="28"/>
        </w:rPr>
        <w:t>, and</w:t>
      </w:r>
      <w:r w:rsidR="00810F36">
        <w:rPr>
          <w:sz w:val="28"/>
          <w:szCs w:val="28"/>
        </w:rPr>
        <w:t xml:space="preserve"> </w:t>
      </w:r>
      <w:r w:rsidR="002B125C">
        <w:rPr>
          <w:sz w:val="28"/>
          <w:szCs w:val="28"/>
        </w:rPr>
        <w:t xml:space="preserve">enabled </w:t>
      </w:r>
      <w:r w:rsidR="00810F36">
        <w:rPr>
          <w:sz w:val="28"/>
          <w:szCs w:val="28"/>
        </w:rPr>
        <w:t xml:space="preserve">universities to </w:t>
      </w:r>
      <w:r w:rsidR="002B125C">
        <w:rPr>
          <w:sz w:val="28"/>
          <w:szCs w:val="28"/>
        </w:rPr>
        <w:t xml:space="preserve">be efficient at </w:t>
      </w:r>
      <w:r w:rsidR="002F07F0">
        <w:rPr>
          <w:sz w:val="28"/>
          <w:szCs w:val="28"/>
        </w:rPr>
        <w:t>a higher</w:t>
      </w:r>
      <w:r w:rsidR="00810F36">
        <w:rPr>
          <w:sz w:val="28"/>
          <w:szCs w:val="28"/>
        </w:rPr>
        <w:t xml:space="preserve"> level of scale, </w:t>
      </w:r>
      <w:r w:rsidR="002F07F0">
        <w:rPr>
          <w:sz w:val="28"/>
          <w:szCs w:val="28"/>
        </w:rPr>
        <w:t xml:space="preserve">while maintaining </w:t>
      </w:r>
      <w:r w:rsidR="00AA195F">
        <w:rPr>
          <w:sz w:val="28"/>
          <w:szCs w:val="28"/>
        </w:rPr>
        <w:t xml:space="preserve">continuing </w:t>
      </w:r>
      <w:r w:rsidR="00810F36">
        <w:rPr>
          <w:sz w:val="28"/>
          <w:szCs w:val="28"/>
        </w:rPr>
        <w:t>structural changes and a plethora of organizational initiatives and outreach</w:t>
      </w:r>
      <w:r w:rsidR="00AA195F">
        <w:rPr>
          <w:sz w:val="28"/>
          <w:szCs w:val="28"/>
        </w:rPr>
        <w:t>, with</w:t>
      </w:r>
      <w:r w:rsidR="00810F36">
        <w:rPr>
          <w:sz w:val="28"/>
          <w:szCs w:val="28"/>
        </w:rPr>
        <w:t xml:space="preserve"> less public money per capita. </w:t>
      </w:r>
    </w:p>
    <w:p w14:paraId="00AB9D75" w14:textId="77777777" w:rsidR="00373768" w:rsidRDefault="00AB6939" w:rsidP="00BE2779">
      <w:pPr>
        <w:spacing w:line="288" w:lineRule="auto"/>
        <w:ind w:firstLine="360"/>
        <w:rPr>
          <w:sz w:val="28"/>
          <w:szCs w:val="28"/>
        </w:rPr>
      </w:pPr>
      <w:r>
        <w:rPr>
          <w:sz w:val="28"/>
          <w:szCs w:val="28"/>
        </w:rPr>
        <w:t>B</w:t>
      </w:r>
      <w:r w:rsidR="00AA195F">
        <w:rPr>
          <w:sz w:val="28"/>
          <w:szCs w:val="28"/>
        </w:rPr>
        <w:t>e careful what you wish for</w:t>
      </w:r>
      <w:r>
        <w:rPr>
          <w:sz w:val="28"/>
          <w:szCs w:val="28"/>
        </w:rPr>
        <w:t>. I think that</w:t>
      </w:r>
      <w:r w:rsidR="008F770B">
        <w:rPr>
          <w:sz w:val="28"/>
          <w:szCs w:val="28"/>
        </w:rPr>
        <w:t xml:space="preserve"> </w:t>
      </w:r>
      <w:r w:rsidR="00810F36">
        <w:rPr>
          <w:sz w:val="28"/>
          <w:szCs w:val="28"/>
        </w:rPr>
        <w:t>Australian</w:t>
      </w:r>
      <w:r w:rsidR="008F770B">
        <w:rPr>
          <w:sz w:val="28"/>
          <w:szCs w:val="28"/>
        </w:rPr>
        <w:t xml:space="preserve"> </w:t>
      </w:r>
      <w:r w:rsidR="00810F36">
        <w:rPr>
          <w:sz w:val="28"/>
          <w:szCs w:val="28"/>
        </w:rPr>
        <w:t xml:space="preserve">universities </w:t>
      </w:r>
      <w:r w:rsidR="00AA195F">
        <w:rPr>
          <w:sz w:val="28"/>
          <w:szCs w:val="28"/>
        </w:rPr>
        <w:t>have become</w:t>
      </w:r>
      <w:r w:rsidR="008F770B">
        <w:rPr>
          <w:sz w:val="28"/>
          <w:szCs w:val="28"/>
        </w:rPr>
        <w:t xml:space="preserve"> stronger in management and professional services than </w:t>
      </w:r>
      <w:r w:rsidR="002F07F0">
        <w:rPr>
          <w:sz w:val="28"/>
          <w:szCs w:val="28"/>
        </w:rPr>
        <w:t>in</w:t>
      </w:r>
      <w:r w:rsidR="00810F36">
        <w:rPr>
          <w:sz w:val="28"/>
          <w:szCs w:val="28"/>
        </w:rPr>
        <w:t xml:space="preserve"> </w:t>
      </w:r>
      <w:r w:rsidR="008F770B">
        <w:rPr>
          <w:sz w:val="28"/>
          <w:szCs w:val="28"/>
        </w:rPr>
        <w:t xml:space="preserve">academic </w:t>
      </w:r>
      <w:r w:rsidR="00810F36">
        <w:rPr>
          <w:sz w:val="28"/>
          <w:szCs w:val="28"/>
        </w:rPr>
        <w:t>cultures</w:t>
      </w:r>
      <w:r w:rsidR="008F770B">
        <w:rPr>
          <w:sz w:val="28"/>
          <w:szCs w:val="28"/>
        </w:rPr>
        <w:t xml:space="preserve">. </w:t>
      </w:r>
      <w:r w:rsidR="00373768">
        <w:rPr>
          <w:sz w:val="28"/>
          <w:szCs w:val="28"/>
        </w:rPr>
        <w:t xml:space="preserve">I think we see here traces of what Horne talked about—the </w:t>
      </w:r>
      <w:proofErr w:type="spellStart"/>
      <w:r w:rsidR="00373768">
        <w:rPr>
          <w:sz w:val="28"/>
          <w:szCs w:val="28"/>
        </w:rPr>
        <w:t>practivist</w:t>
      </w:r>
      <w:proofErr w:type="spellEnd"/>
      <w:r w:rsidR="00373768">
        <w:rPr>
          <w:sz w:val="28"/>
          <w:szCs w:val="28"/>
        </w:rPr>
        <w:t xml:space="preserve"> bias, the instinctive side-lining (or hiding) of the intellectual, that Horne discussed. </w:t>
      </w:r>
    </w:p>
    <w:p w14:paraId="0685C008" w14:textId="52C43505" w:rsidR="008F770B" w:rsidRDefault="008F770B" w:rsidP="00BE2779">
      <w:pPr>
        <w:spacing w:line="288" w:lineRule="auto"/>
        <w:ind w:firstLine="360"/>
        <w:rPr>
          <w:sz w:val="28"/>
          <w:szCs w:val="28"/>
        </w:rPr>
      </w:pPr>
      <w:r>
        <w:rPr>
          <w:sz w:val="28"/>
          <w:szCs w:val="28"/>
        </w:rPr>
        <w:t xml:space="preserve">To justify this </w:t>
      </w:r>
      <w:r w:rsidR="00E177F4">
        <w:rPr>
          <w:sz w:val="28"/>
          <w:szCs w:val="28"/>
        </w:rPr>
        <w:t>judgement,</w:t>
      </w:r>
      <w:r>
        <w:rPr>
          <w:sz w:val="28"/>
          <w:szCs w:val="28"/>
        </w:rPr>
        <w:t xml:space="preserve"> I will switch back </w:t>
      </w:r>
      <w:r w:rsidR="00810F36">
        <w:rPr>
          <w:sz w:val="28"/>
          <w:szCs w:val="28"/>
        </w:rPr>
        <w:t>to where I am comfortable, t</w:t>
      </w:r>
      <w:r>
        <w:rPr>
          <w:sz w:val="28"/>
          <w:szCs w:val="28"/>
        </w:rPr>
        <w:t xml:space="preserve">he comparative. </w:t>
      </w:r>
      <w:r w:rsidR="002F07F0">
        <w:rPr>
          <w:sz w:val="28"/>
          <w:szCs w:val="28"/>
        </w:rPr>
        <w:t>As I see it—and there are notable exceptions to this—A</w:t>
      </w:r>
      <w:r>
        <w:rPr>
          <w:sz w:val="28"/>
          <w:szCs w:val="28"/>
        </w:rPr>
        <w:t xml:space="preserve">ustralian academic cultures are not as </w:t>
      </w:r>
      <w:r w:rsidR="00AA195F">
        <w:rPr>
          <w:sz w:val="28"/>
          <w:szCs w:val="28"/>
        </w:rPr>
        <w:t xml:space="preserve">resilient and reproductive, or as </w:t>
      </w:r>
      <w:r w:rsidR="00FB3C9D">
        <w:rPr>
          <w:sz w:val="28"/>
          <w:szCs w:val="28"/>
        </w:rPr>
        <w:t xml:space="preserve">intellectually </w:t>
      </w:r>
      <w:r w:rsidR="00E177F4">
        <w:rPr>
          <w:sz w:val="28"/>
          <w:szCs w:val="28"/>
        </w:rPr>
        <w:t xml:space="preserve">energetic and </w:t>
      </w:r>
      <w:r w:rsidR="00FB3C9D">
        <w:rPr>
          <w:sz w:val="28"/>
          <w:szCs w:val="28"/>
        </w:rPr>
        <w:t>exciting</w:t>
      </w:r>
      <w:r w:rsidR="00E177F4">
        <w:rPr>
          <w:sz w:val="28"/>
          <w:szCs w:val="28"/>
        </w:rPr>
        <w:t xml:space="preserve">, </w:t>
      </w:r>
      <w:r w:rsidR="00FB3C9D">
        <w:rPr>
          <w:sz w:val="28"/>
          <w:szCs w:val="28"/>
        </w:rPr>
        <w:t xml:space="preserve">as </w:t>
      </w:r>
      <w:r w:rsidR="00AA195F">
        <w:rPr>
          <w:sz w:val="28"/>
          <w:szCs w:val="28"/>
        </w:rPr>
        <w:t>academic cultures in</w:t>
      </w:r>
      <w:r>
        <w:rPr>
          <w:sz w:val="28"/>
          <w:szCs w:val="28"/>
        </w:rPr>
        <w:t xml:space="preserve"> the UK, the </w:t>
      </w:r>
      <w:r w:rsidR="00FB3C9D">
        <w:rPr>
          <w:sz w:val="28"/>
          <w:szCs w:val="28"/>
        </w:rPr>
        <w:t xml:space="preserve">American </w:t>
      </w:r>
      <w:r w:rsidR="00810F36">
        <w:rPr>
          <w:sz w:val="28"/>
          <w:szCs w:val="28"/>
        </w:rPr>
        <w:t>doctoral</w:t>
      </w:r>
      <w:r>
        <w:rPr>
          <w:sz w:val="28"/>
          <w:szCs w:val="28"/>
        </w:rPr>
        <w:t xml:space="preserve"> universities</w:t>
      </w:r>
      <w:r w:rsidR="00810F36">
        <w:rPr>
          <w:sz w:val="28"/>
          <w:szCs w:val="28"/>
        </w:rPr>
        <w:t xml:space="preserve">, </w:t>
      </w:r>
      <w:r w:rsidR="00FB3C9D">
        <w:rPr>
          <w:sz w:val="28"/>
          <w:szCs w:val="28"/>
        </w:rPr>
        <w:t xml:space="preserve">the leading </w:t>
      </w:r>
      <w:r w:rsidR="00E177F4">
        <w:rPr>
          <w:sz w:val="28"/>
          <w:szCs w:val="28"/>
        </w:rPr>
        <w:t xml:space="preserve">Dutch </w:t>
      </w:r>
      <w:r w:rsidR="00FB3C9D">
        <w:rPr>
          <w:sz w:val="28"/>
          <w:szCs w:val="28"/>
        </w:rPr>
        <w:t>universities</w:t>
      </w:r>
      <w:r w:rsidR="00810F36">
        <w:rPr>
          <w:sz w:val="28"/>
          <w:szCs w:val="28"/>
        </w:rPr>
        <w:t xml:space="preserve">, </w:t>
      </w:r>
      <w:r w:rsidR="00FB3C9D">
        <w:rPr>
          <w:sz w:val="28"/>
          <w:szCs w:val="28"/>
        </w:rPr>
        <w:t>or</w:t>
      </w:r>
      <w:r w:rsidR="00810F36">
        <w:rPr>
          <w:sz w:val="28"/>
          <w:szCs w:val="28"/>
        </w:rPr>
        <w:t xml:space="preserve"> perhaps Singapore</w:t>
      </w:r>
      <w:r>
        <w:rPr>
          <w:sz w:val="28"/>
          <w:szCs w:val="28"/>
        </w:rPr>
        <w:t>. I</w:t>
      </w:r>
      <w:r w:rsidR="00810F36">
        <w:rPr>
          <w:sz w:val="28"/>
          <w:szCs w:val="28"/>
        </w:rPr>
        <w:t xml:space="preserve"> am sure of this in </w:t>
      </w:r>
      <w:r>
        <w:rPr>
          <w:sz w:val="28"/>
          <w:szCs w:val="28"/>
        </w:rPr>
        <w:t>social sciences</w:t>
      </w:r>
      <w:r w:rsidR="00E177F4">
        <w:rPr>
          <w:sz w:val="28"/>
          <w:szCs w:val="28"/>
        </w:rPr>
        <w:t>, and humanities</w:t>
      </w:r>
      <w:r>
        <w:rPr>
          <w:sz w:val="28"/>
          <w:szCs w:val="28"/>
        </w:rPr>
        <w:t xml:space="preserve">. </w:t>
      </w:r>
      <w:r w:rsidR="00FB3C9D">
        <w:rPr>
          <w:sz w:val="28"/>
          <w:szCs w:val="28"/>
        </w:rPr>
        <w:t xml:space="preserve">It is </w:t>
      </w:r>
      <w:r w:rsidR="002F07F0">
        <w:rPr>
          <w:sz w:val="28"/>
          <w:szCs w:val="28"/>
        </w:rPr>
        <w:t>suggested</w:t>
      </w:r>
      <w:r w:rsidR="00FB3C9D">
        <w:rPr>
          <w:sz w:val="28"/>
          <w:szCs w:val="28"/>
        </w:rPr>
        <w:t xml:space="preserve"> in the research </w:t>
      </w:r>
      <w:r w:rsidR="00E177F4">
        <w:rPr>
          <w:sz w:val="28"/>
          <w:szCs w:val="28"/>
        </w:rPr>
        <w:t>citation</w:t>
      </w:r>
      <w:r w:rsidR="00FB3C9D">
        <w:rPr>
          <w:sz w:val="28"/>
          <w:szCs w:val="28"/>
        </w:rPr>
        <w:t xml:space="preserve"> data in some </w:t>
      </w:r>
      <w:r w:rsidR="00E177F4">
        <w:rPr>
          <w:sz w:val="28"/>
          <w:szCs w:val="28"/>
        </w:rPr>
        <w:t xml:space="preserve">disciplines as we have seen. It may not be true of </w:t>
      </w:r>
      <w:r>
        <w:rPr>
          <w:sz w:val="28"/>
          <w:szCs w:val="28"/>
        </w:rPr>
        <w:t>Medicine</w:t>
      </w:r>
      <w:r w:rsidR="00E177F4">
        <w:rPr>
          <w:sz w:val="28"/>
          <w:szCs w:val="28"/>
        </w:rPr>
        <w:t xml:space="preserve">, the </w:t>
      </w:r>
      <w:r>
        <w:rPr>
          <w:sz w:val="28"/>
          <w:szCs w:val="28"/>
        </w:rPr>
        <w:t>strongest fi</w:t>
      </w:r>
      <w:r w:rsidR="00FB3C9D">
        <w:rPr>
          <w:sz w:val="28"/>
          <w:szCs w:val="28"/>
        </w:rPr>
        <w:t>el</w:t>
      </w:r>
      <w:r>
        <w:rPr>
          <w:sz w:val="28"/>
          <w:szCs w:val="28"/>
        </w:rPr>
        <w:t>d in the country</w:t>
      </w:r>
      <w:r w:rsidR="00FB3C9D">
        <w:rPr>
          <w:sz w:val="28"/>
          <w:szCs w:val="28"/>
        </w:rPr>
        <w:t xml:space="preserve"> in world terms</w:t>
      </w:r>
      <w:r w:rsidR="00E177F4">
        <w:rPr>
          <w:sz w:val="28"/>
          <w:szCs w:val="28"/>
        </w:rPr>
        <w:t>.</w:t>
      </w:r>
      <w:r>
        <w:rPr>
          <w:sz w:val="28"/>
          <w:szCs w:val="28"/>
        </w:rPr>
        <w:t xml:space="preserve"> </w:t>
      </w:r>
    </w:p>
    <w:p w14:paraId="261217B5" w14:textId="4C32DE67" w:rsidR="00A61F6F" w:rsidRDefault="006F4923" w:rsidP="00BE2779">
      <w:pPr>
        <w:spacing w:line="288" w:lineRule="auto"/>
        <w:ind w:firstLine="454"/>
        <w:rPr>
          <w:sz w:val="28"/>
          <w:szCs w:val="28"/>
        </w:rPr>
      </w:pPr>
      <w:r>
        <w:rPr>
          <w:sz w:val="28"/>
          <w:szCs w:val="28"/>
        </w:rPr>
        <w:t xml:space="preserve">In </w:t>
      </w:r>
      <w:proofErr w:type="gramStart"/>
      <w:r>
        <w:rPr>
          <w:sz w:val="28"/>
          <w:szCs w:val="28"/>
        </w:rPr>
        <w:t>Australia</w:t>
      </w:r>
      <w:proofErr w:type="gramEnd"/>
      <w:r>
        <w:rPr>
          <w:sz w:val="28"/>
          <w:szCs w:val="28"/>
        </w:rPr>
        <w:t xml:space="preserve"> disciplinary cultures are </w:t>
      </w:r>
      <w:r w:rsidR="006A5EAE">
        <w:rPr>
          <w:sz w:val="28"/>
          <w:szCs w:val="28"/>
        </w:rPr>
        <w:t>strong</w:t>
      </w:r>
      <w:r w:rsidR="00F90FB2">
        <w:rPr>
          <w:sz w:val="28"/>
          <w:szCs w:val="28"/>
        </w:rPr>
        <w:t>est</w:t>
      </w:r>
      <w:r w:rsidR="006A5EAE">
        <w:rPr>
          <w:sz w:val="28"/>
          <w:szCs w:val="28"/>
        </w:rPr>
        <w:t xml:space="preserve"> in the </w:t>
      </w:r>
      <w:r w:rsidR="00F90FB2">
        <w:rPr>
          <w:sz w:val="28"/>
          <w:szCs w:val="28"/>
        </w:rPr>
        <w:t xml:space="preserve">top </w:t>
      </w:r>
      <w:r w:rsidR="006A5EAE">
        <w:rPr>
          <w:sz w:val="28"/>
          <w:szCs w:val="28"/>
        </w:rPr>
        <w:t xml:space="preserve">research universities. </w:t>
      </w:r>
      <w:r>
        <w:rPr>
          <w:sz w:val="28"/>
          <w:szCs w:val="28"/>
        </w:rPr>
        <w:t>There m</w:t>
      </w:r>
      <w:r w:rsidR="006A5EAE">
        <w:rPr>
          <w:sz w:val="28"/>
          <w:szCs w:val="28"/>
        </w:rPr>
        <w:t xml:space="preserve">anagement is </w:t>
      </w:r>
      <w:r>
        <w:rPr>
          <w:sz w:val="28"/>
          <w:szCs w:val="28"/>
        </w:rPr>
        <w:t xml:space="preserve">often </w:t>
      </w:r>
      <w:r w:rsidR="006A5EAE">
        <w:rPr>
          <w:sz w:val="28"/>
          <w:szCs w:val="28"/>
        </w:rPr>
        <w:t>more circumspect</w:t>
      </w:r>
      <w:r>
        <w:rPr>
          <w:sz w:val="28"/>
          <w:szCs w:val="28"/>
        </w:rPr>
        <w:t>, p</w:t>
      </w:r>
      <w:r w:rsidR="006A5EAE">
        <w:rPr>
          <w:sz w:val="28"/>
          <w:szCs w:val="28"/>
        </w:rPr>
        <w:t xml:space="preserve">rofessors who </w:t>
      </w:r>
      <w:r w:rsidR="006A5EAE">
        <w:rPr>
          <w:sz w:val="28"/>
          <w:szCs w:val="28"/>
        </w:rPr>
        <w:lastRenderedPageBreak/>
        <w:t xml:space="preserve">raise serious money and win major academic prizes are valued, and some almost write their own rules. </w:t>
      </w:r>
      <w:r w:rsidR="00AB6939">
        <w:rPr>
          <w:sz w:val="28"/>
          <w:szCs w:val="28"/>
        </w:rPr>
        <w:t>T</w:t>
      </w:r>
      <w:r w:rsidR="006A5EAE">
        <w:rPr>
          <w:sz w:val="28"/>
          <w:szCs w:val="28"/>
        </w:rPr>
        <w:t>his is the triumph o</w:t>
      </w:r>
      <w:r w:rsidR="00FC3B2F">
        <w:rPr>
          <w:sz w:val="28"/>
          <w:szCs w:val="28"/>
        </w:rPr>
        <w:t>f the academic entrepreneur</w:t>
      </w:r>
      <w:r w:rsidR="006A5EAE">
        <w:rPr>
          <w:sz w:val="28"/>
          <w:szCs w:val="28"/>
        </w:rPr>
        <w:t xml:space="preserve"> </w:t>
      </w:r>
      <w:r w:rsidR="00AB6939">
        <w:rPr>
          <w:sz w:val="28"/>
          <w:szCs w:val="28"/>
        </w:rPr>
        <w:t>not</w:t>
      </w:r>
      <w:r w:rsidR="006A5EAE">
        <w:rPr>
          <w:sz w:val="28"/>
          <w:szCs w:val="28"/>
        </w:rPr>
        <w:t xml:space="preserve"> the college. The collective professoriate and </w:t>
      </w:r>
      <w:r w:rsidR="00FC3B2F">
        <w:rPr>
          <w:sz w:val="28"/>
          <w:szCs w:val="28"/>
        </w:rPr>
        <w:t xml:space="preserve">the scholarly </w:t>
      </w:r>
      <w:r w:rsidR="006A5EAE">
        <w:rPr>
          <w:sz w:val="28"/>
          <w:szCs w:val="28"/>
        </w:rPr>
        <w:t xml:space="preserve">meeting </w:t>
      </w:r>
      <w:r w:rsidR="00FC3B2F">
        <w:rPr>
          <w:sz w:val="28"/>
          <w:szCs w:val="28"/>
        </w:rPr>
        <w:t>have</w:t>
      </w:r>
      <w:r w:rsidR="006A5EAE">
        <w:rPr>
          <w:sz w:val="28"/>
          <w:szCs w:val="28"/>
        </w:rPr>
        <w:t xml:space="preserve"> more power in Cambridge, Oxford, the Ivy League and the University of California than in Australia. </w:t>
      </w:r>
    </w:p>
    <w:p w14:paraId="0A547158" w14:textId="3373B44B" w:rsidR="003D0F6B" w:rsidRDefault="00D026A6" w:rsidP="00BE2779">
      <w:pPr>
        <w:spacing w:line="288" w:lineRule="auto"/>
        <w:ind w:firstLine="360"/>
        <w:rPr>
          <w:sz w:val="28"/>
          <w:szCs w:val="28"/>
        </w:rPr>
      </w:pPr>
      <w:r>
        <w:rPr>
          <w:sz w:val="28"/>
          <w:szCs w:val="28"/>
        </w:rPr>
        <w:t>W</w:t>
      </w:r>
      <w:r w:rsidR="00D041CE">
        <w:rPr>
          <w:sz w:val="28"/>
          <w:szCs w:val="28"/>
        </w:rPr>
        <w:t>hat of teaching and learning? Australia, like other English-speaking countries</w:t>
      </w:r>
      <w:r w:rsidR="003D0F6B">
        <w:rPr>
          <w:sz w:val="28"/>
          <w:szCs w:val="28"/>
        </w:rPr>
        <w:t>,</w:t>
      </w:r>
      <w:r w:rsidR="00D041CE">
        <w:rPr>
          <w:sz w:val="28"/>
          <w:szCs w:val="28"/>
        </w:rPr>
        <w:t xml:space="preserve"> has expanded quality assurance, student assessment of staff, nomination-based rewards for best teaching, certification of university teachers, research in classrooms</w:t>
      </w:r>
      <w:r w:rsidR="000C3768">
        <w:rPr>
          <w:sz w:val="28"/>
          <w:szCs w:val="28"/>
        </w:rPr>
        <w:t>, technology-based applications</w:t>
      </w:r>
      <w:r w:rsidR="00D041CE">
        <w:rPr>
          <w:sz w:val="28"/>
          <w:szCs w:val="28"/>
        </w:rPr>
        <w:t xml:space="preserve">. </w:t>
      </w:r>
      <w:r w:rsidR="000C3768">
        <w:rPr>
          <w:sz w:val="28"/>
          <w:szCs w:val="28"/>
        </w:rPr>
        <w:t>T</w:t>
      </w:r>
      <w:r w:rsidR="003D0F6B">
        <w:rPr>
          <w:sz w:val="28"/>
          <w:szCs w:val="28"/>
        </w:rPr>
        <w:t>his</w:t>
      </w:r>
      <w:r w:rsidR="003E5A5E">
        <w:rPr>
          <w:sz w:val="28"/>
          <w:szCs w:val="28"/>
        </w:rPr>
        <w:t xml:space="preserve"> </w:t>
      </w:r>
      <w:r w:rsidR="000C3768">
        <w:rPr>
          <w:sz w:val="28"/>
          <w:szCs w:val="28"/>
        </w:rPr>
        <w:t xml:space="preserve">has </w:t>
      </w:r>
      <w:r w:rsidR="003E5A5E">
        <w:rPr>
          <w:sz w:val="28"/>
          <w:szCs w:val="28"/>
        </w:rPr>
        <w:t>install</w:t>
      </w:r>
      <w:r w:rsidR="000C3768">
        <w:rPr>
          <w:sz w:val="28"/>
          <w:szCs w:val="28"/>
        </w:rPr>
        <w:t>ed</w:t>
      </w:r>
      <w:r w:rsidR="003E5A5E">
        <w:rPr>
          <w:sz w:val="28"/>
          <w:szCs w:val="28"/>
        </w:rPr>
        <w:t xml:space="preserve"> a reflexive culture in which improvement in learning </w:t>
      </w:r>
      <w:r w:rsidR="003D0F6B">
        <w:rPr>
          <w:sz w:val="28"/>
          <w:szCs w:val="28"/>
        </w:rPr>
        <w:t>i</w:t>
      </w:r>
      <w:r w:rsidR="003E5A5E">
        <w:rPr>
          <w:sz w:val="28"/>
          <w:szCs w:val="28"/>
        </w:rPr>
        <w:t>s embedded</w:t>
      </w:r>
      <w:r w:rsidR="000C3768">
        <w:rPr>
          <w:sz w:val="28"/>
          <w:szCs w:val="28"/>
        </w:rPr>
        <w:t xml:space="preserve">, enabling substantial gains </w:t>
      </w:r>
      <w:r w:rsidR="009B2862">
        <w:rPr>
          <w:sz w:val="28"/>
          <w:szCs w:val="28"/>
        </w:rPr>
        <w:t xml:space="preserve">in </w:t>
      </w:r>
      <w:r w:rsidR="000C3768">
        <w:rPr>
          <w:sz w:val="28"/>
          <w:szCs w:val="28"/>
        </w:rPr>
        <w:t xml:space="preserve">medical education and </w:t>
      </w:r>
      <w:r w:rsidR="009B2862">
        <w:rPr>
          <w:sz w:val="28"/>
          <w:szCs w:val="28"/>
        </w:rPr>
        <w:t>elsewhere</w:t>
      </w:r>
      <w:r w:rsidR="000C3768">
        <w:rPr>
          <w:sz w:val="28"/>
          <w:szCs w:val="28"/>
        </w:rPr>
        <w:t>.</w:t>
      </w:r>
      <w:r w:rsidR="003E5A5E">
        <w:rPr>
          <w:sz w:val="28"/>
          <w:szCs w:val="28"/>
        </w:rPr>
        <w:t xml:space="preserve"> </w:t>
      </w:r>
      <w:r w:rsidR="00373768">
        <w:rPr>
          <w:sz w:val="28"/>
          <w:szCs w:val="28"/>
        </w:rPr>
        <w:t>T</w:t>
      </w:r>
      <w:r w:rsidR="003E5A5E">
        <w:rPr>
          <w:sz w:val="28"/>
          <w:szCs w:val="28"/>
        </w:rPr>
        <w:t xml:space="preserve">he ubiquitous awards are questionable, </w:t>
      </w:r>
      <w:r w:rsidR="00D041CE">
        <w:rPr>
          <w:sz w:val="28"/>
          <w:szCs w:val="28"/>
        </w:rPr>
        <w:t>and there are downsides</w:t>
      </w:r>
      <w:r w:rsidR="003E5A5E">
        <w:rPr>
          <w:sz w:val="28"/>
          <w:szCs w:val="28"/>
        </w:rPr>
        <w:t xml:space="preserve">—like </w:t>
      </w:r>
      <w:r w:rsidR="000C3768">
        <w:rPr>
          <w:sz w:val="28"/>
          <w:szCs w:val="28"/>
        </w:rPr>
        <w:t xml:space="preserve">grade inflation and </w:t>
      </w:r>
      <w:r w:rsidR="00D041CE">
        <w:rPr>
          <w:sz w:val="28"/>
          <w:szCs w:val="28"/>
        </w:rPr>
        <w:t xml:space="preserve">the reluctance some </w:t>
      </w:r>
      <w:r w:rsidR="003E5A5E">
        <w:rPr>
          <w:sz w:val="28"/>
          <w:szCs w:val="28"/>
        </w:rPr>
        <w:t xml:space="preserve">academics </w:t>
      </w:r>
      <w:r w:rsidR="00D041CE">
        <w:rPr>
          <w:sz w:val="28"/>
          <w:szCs w:val="28"/>
        </w:rPr>
        <w:t xml:space="preserve">feel to challenge their students intellectually in case their ratings fall. </w:t>
      </w:r>
      <w:r w:rsidR="009B2862">
        <w:rPr>
          <w:sz w:val="28"/>
          <w:szCs w:val="28"/>
        </w:rPr>
        <w:t xml:space="preserve">But bad teaching is now more likely to be spotted and ironed out. </w:t>
      </w:r>
    </w:p>
    <w:p w14:paraId="6A797B22" w14:textId="77777777" w:rsidR="00671005" w:rsidRDefault="00671005" w:rsidP="00BE2779">
      <w:pPr>
        <w:spacing w:line="288" w:lineRule="auto"/>
        <w:rPr>
          <w:sz w:val="28"/>
          <w:szCs w:val="28"/>
        </w:rPr>
      </w:pPr>
    </w:p>
    <w:p w14:paraId="10CD15D4" w14:textId="2F7BC7FC" w:rsidR="00671005" w:rsidRDefault="004F7BFD" w:rsidP="00BE2779">
      <w:pPr>
        <w:spacing w:line="288" w:lineRule="auto"/>
        <w:rPr>
          <w:sz w:val="28"/>
          <w:szCs w:val="28"/>
        </w:rPr>
      </w:pPr>
      <w:r>
        <w:rPr>
          <w:sz w:val="28"/>
          <w:szCs w:val="28"/>
        </w:rPr>
        <w:t>[THE OUTER UNIVERSITY]</w:t>
      </w:r>
    </w:p>
    <w:p w14:paraId="05A8E19E" w14:textId="77C79F46" w:rsidR="00671005" w:rsidRDefault="007732EB" w:rsidP="00BE2779">
      <w:pPr>
        <w:spacing w:line="288" w:lineRule="auto"/>
        <w:rPr>
          <w:sz w:val="28"/>
          <w:szCs w:val="28"/>
        </w:rPr>
      </w:pPr>
      <w:r>
        <w:rPr>
          <w:sz w:val="28"/>
          <w:szCs w:val="28"/>
        </w:rPr>
        <w:t>The outer university</w:t>
      </w:r>
      <w:r w:rsidR="001C7E72">
        <w:rPr>
          <w:sz w:val="28"/>
          <w:szCs w:val="28"/>
        </w:rPr>
        <w:t xml:space="preserve">. </w:t>
      </w:r>
      <w:r w:rsidR="00546E45">
        <w:rPr>
          <w:sz w:val="28"/>
          <w:szCs w:val="28"/>
        </w:rPr>
        <w:t>In Wright</w:t>
      </w:r>
      <w:r w:rsidR="00373768">
        <w:rPr>
          <w:sz w:val="28"/>
          <w:szCs w:val="28"/>
        </w:rPr>
        <w:t xml:space="preserve">’s </w:t>
      </w:r>
      <w:proofErr w:type="gramStart"/>
      <w:r w:rsidR="00373768">
        <w:rPr>
          <w:sz w:val="28"/>
          <w:szCs w:val="28"/>
        </w:rPr>
        <w:t>time</w:t>
      </w:r>
      <w:proofErr w:type="gramEnd"/>
      <w:r w:rsidR="00546E45">
        <w:rPr>
          <w:sz w:val="28"/>
          <w:szCs w:val="28"/>
        </w:rPr>
        <w:t xml:space="preserve"> it was </w:t>
      </w:r>
      <w:r w:rsidR="00B20F79">
        <w:rPr>
          <w:sz w:val="28"/>
          <w:szCs w:val="28"/>
        </w:rPr>
        <w:t>hop</w:t>
      </w:r>
      <w:r w:rsidR="00546E45">
        <w:rPr>
          <w:sz w:val="28"/>
          <w:szCs w:val="28"/>
        </w:rPr>
        <w:t>ed th</w:t>
      </w:r>
      <w:r w:rsidR="0005104C">
        <w:rPr>
          <w:sz w:val="28"/>
          <w:szCs w:val="28"/>
        </w:rPr>
        <w:t>at th</w:t>
      </w:r>
      <w:r w:rsidR="00546E45">
        <w:rPr>
          <w:sz w:val="28"/>
          <w:szCs w:val="28"/>
        </w:rPr>
        <w:t xml:space="preserve">e growth of </w:t>
      </w:r>
      <w:r w:rsidR="00B20F79">
        <w:rPr>
          <w:sz w:val="28"/>
          <w:szCs w:val="28"/>
        </w:rPr>
        <w:t>universities</w:t>
      </w:r>
      <w:r w:rsidR="00546E45">
        <w:rPr>
          <w:sz w:val="28"/>
          <w:szCs w:val="28"/>
        </w:rPr>
        <w:t xml:space="preserve"> would enable the expansion of equality of </w:t>
      </w:r>
      <w:r w:rsidR="00B20F79">
        <w:rPr>
          <w:sz w:val="28"/>
          <w:szCs w:val="28"/>
        </w:rPr>
        <w:t xml:space="preserve">educational </w:t>
      </w:r>
      <w:r w:rsidR="00546E45">
        <w:rPr>
          <w:sz w:val="28"/>
          <w:szCs w:val="28"/>
        </w:rPr>
        <w:t xml:space="preserve">opportunity </w:t>
      </w:r>
      <w:r w:rsidR="00B20F79">
        <w:rPr>
          <w:sz w:val="28"/>
          <w:szCs w:val="28"/>
        </w:rPr>
        <w:t xml:space="preserve">across the society, implanting a more meritocratic order in which social mobility </w:t>
      </w:r>
      <w:r w:rsidR="0034741E">
        <w:rPr>
          <w:sz w:val="28"/>
          <w:szCs w:val="28"/>
        </w:rPr>
        <w:t xml:space="preserve">would flourish. </w:t>
      </w:r>
      <w:r w:rsidR="00B20F79">
        <w:rPr>
          <w:sz w:val="28"/>
          <w:szCs w:val="28"/>
        </w:rPr>
        <w:t>We now know that despite</w:t>
      </w:r>
      <w:r w:rsidR="00671005">
        <w:rPr>
          <w:sz w:val="28"/>
          <w:szCs w:val="28"/>
        </w:rPr>
        <w:t xml:space="preserve"> the inclusive potential of growth it </w:t>
      </w:r>
      <w:r w:rsidR="00B20F79">
        <w:rPr>
          <w:sz w:val="28"/>
          <w:szCs w:val="28"/>
        </w:rPr>
        <w:t>is</w:t>
      </w:r>
      <w:r w:rsidR="00671005">
        <w:rPr>
          <w:sz w:val="28"/>
          <w:szCs w:val="28"/>
        </w:rPr>
        <w:t xml:space="preserve"> difficult to change the social balance of the enrolment</w:t>
      </w:r>
      <w:r w:rsidR="0034741E">
        <w:rPr>
          <w:sz w:val="28"/>
          <w:szCs w:val="28"/>
        </w:rPr>
        <w:t>, not just in Australia but in all large participation higher education systems</w:t>
      </w:r>
      <w:r w:rsidR="00671005">
        <w:rPr>
          <w:sz w:val="28"/>
          <w:szCs w:val="28"/>
        </w:rPr>
        <w:t xml:space="preserve">. In each phase of </w:t>
      </w:r>
      <w:proofErr w:type="gramStart"/>
      <w:r w:rsidR="00671005">
        <w:rPr>
          <w:sz w:val="28"/>
          <w:szCs w:val="28"/>
        </w:rPr>
        <w:t>expansion</w:t>
      </w:r>
      <w:proofErr w:type="gramEnd"/>
      <w:r w:rsidR="00671005">
        <w:rPr>
          <w:sz w:val="28"/>
          <w:szCs w:val="28"/>
        </w:rPr>
        <w:t xml:space="preserve"> </w:t>
      </w:r>
      <w:r w:rsidR="00F229F2">
        <w:rPr>
          <w:sz w:val="28"/>
          <w:szCs w:val="28"/>
        </w:rPr>
        <w:t xml:space="preserve">the </w:t>
      </w:r>
      <w:r w:rsidR="00671005">
        <w:rPr>
          <w:sz w:val="28"/>
          <w:szCs w:val="28"/>
        </w:rPr>
        <w:t xml:space="preserve">middle class families </w:t>
      </w:r>
      <w:r w:rsidR="00F229F2">
        <w:rPr>
          <w:sz w:val="28"/>
          <w:szCs w:val="28"/>
        </w:rPr>
        <w:t>make</w:t>
      </w:r>
      <w:r w:rsidR="00671005">
        <w:rPr>
          <w:sz w:val="28"/>
          <w:szCs w:val="28"/>
        </w:rPr>
        <w:t xml:space="preserve"> best use of the new opportunities. </w:t>
      </w:r>
      <w:r w:rsidR="00373768">
        <w:rPr>
          <w:sz w:val="28"/>
          <w:szCs w:val="28"/>
        </w:rPr>
        <w:t>I</w:t>
      </w:r>
      <w:r w:rsidR="00F229F2">
        <w:rPr>
          <w:sz w:val="28"/>
          <w:szCs w:val="28"/>
        </w:rPr>
        <w:t>n the last decade</w:t>
      </w:r>
      <w:r w:rsidR="00671005">
        <w:rPr>
          <w:sz w:val="28"/>
          <w:szCs w:val="28"/>
        </w:rPr>
        <w:t>, despite rapid growth before and after the open demand-driven enrolment system began in 2012,</w:t>
      </w:r>
      <w:r w:rsidR="00671005">
        <w:rPr>
          <w:rStyle w:val="FootnoteReference"/>
          <w:sz w:val="28"/>
          <w:szCs w:val="28"/>
        </w:rPr>
        <w:footnoteReference w:id="29"/>
      </w:r>
      <w:r w:rsidR="00671005">
        <w:rPr>
          <w:sz w:val="28"/>
          <w:szCs w:val="28"/>
        </w:rPr>
        <w:t xml:space="preserve"> the share of students from the bottom socioeconomic status quartile has moved modestly from 16 to 18 per cent. </w:t>
      </w:r>
      <w:r w:rsidR="001F0246">
        <w:rPr>
          <w:sz w:val="28"/>
          <w:szCs w:val="28"/>
        </w:rPr>
        <w:t>The rate of inclusion of indigenous students was half their share of the Australian population</w:t>
      </w:r>
      <w:r w:rsidR="0005104C">
        <w:rPr>
          <w:sz w:val="28"/>
          <w:szCs w:val="28"/>
        </w:rPr>
        <w:t>.</w:t>
      </w:r>
      <w:r w:rsidR="001F0246">
        <w:rPr>
          <w:sz w:val="28"/>
          <w:szCs w:val="28"/>
        </w:rPr>
        <w:t xml:space="preserve"> I</w:t>
      </w:r>
      <w:r w:rsidR="00F229F2">
        <w:rPr>
          <w:sz w:val="28"/>
          <w:szCs w:val="28"/>
        </w:rPr>
        <w:t>n</w:t>
      </w:r>
      <w:r w:rsidR="00671005">
        <w:rPr>
          <w:sz w:val="28"/>
          <w:szCs w:val="28"/>
        </w:rPr>
        <w:t xml:space="preserve"> the Go8 in 2014 </w:t>
      </w:r>
      <w:r w:rsidR="00F229F2">
        <w:rPr>
          <w:sz w:val="28"/>
          <w:szCs w:val="28"/>
        </w:rPr>
        <w:t>only</w:t>
      </w:r>
      <w:r w:rsidR="00671005">
        <w:rPr>
          <w:sz w:val="28"/>
          <w:szCs w:val="28"/>
        </w:rPr>
        <w:t xml:space="preserve"> 11 per cent</w:t>
      </w:r>
      <w:r w:rsidR="00F229F2">
        <w:rPr>
          <w:sz w:val="28"/>
          <w:szCs w:val="28"/>
        </w:rPr>
        <w:t xml:space="preserve"> of students were from the bottom quartile</w:t>
      </w:r>
      <w:r w:rsidR="0005104C">
        <w:rPr>
          <w:sz w:val="28"/>
          <w:szCs w:val="28"/>
        </w:rPr>
        <w:t>. The</w:t>
      </w:r>
      <w:r w:rsidR="00671005">
        <w:rPr>
          <w:sz w:val="28"/>
          <w:szCs w:val="28"/>
        </w:rPr>
        <w:t xml:space="preserve"> </w:t>
      </w:r>
      <w:r w:rsidR="00E41FFE">
        <w:rPr>
          <w:sz w:val="28"/>
          <w:szCs w:val="28"/>
        </w:rPr>
        <w:t xml:space="preserve">high fee </w:t>
      </w:r>
      <w:r w:rsidR="00671005">
        <w:rPr>
          <w:sz w:val="28"/>
          <w:szCs w:val="28"/>
        </w:rPr>
        <w:t xml:space="preserve">independent </w:t>
      </w:r>
      <w:r w:rsidR="0005104C">
        <w:rPr>
          <w:sz w:val="28"/>
          <w:szCs w:val="28"/>
        </w:rPr>
        <w:t>school</w:t>
      </w:r>
      <w:r w:rsidR="00E41FFE">
        <w:rPr>
          <w:sz w:val="28"/>
          <w:szCs w:val="28"/>
        </w:rPr>
        <w:t>s</w:t>
      </w:r>
      <w:r w:rsidR="0005104C">
        <w:rPr>
          <w:sz w:val="28"/>
          <w:szCs w:val="28"/>
        </w:rPr>
        <w:t xml:space="preserve"> </w:t>
      </w:r>
      <w:r w:rsidR="00E41FFE">
        <w:rPr>
          <w:sz w:val="28"/>
          <w:szCs w:val="28"/>
        </w:rPr>
        <w:t>remained</w:t>
      </w:r>
      <w:r w:rsidR="00F229F2">
        <w:rPr>
          <w:sz w:val="28"/>
          <w:szCs w:val="28"/>
        </w:rPr>
        <w:t xml:space="preserve"> the royal road to academic success</w:t>
      </w:r>
      <w:r w:rsidR="001F0246">
        <w:rPr>
          <w:sz w:val="28"/>
          <w:szCs w:val="28"/>
        </w:rPr>
        <w:t>, blocking broader social mobility</w:t>
      </w:r>
      <w:r w:rsidR="00671005">
        <w:rPr>
          <w:sz w:val="28"/>
          <w:szCs w:val="28"/>
        </w:rPr>
        <w:t xml:space="preserve">. </w:t>
      </w:r>
    </w:p>
    <w:p w14:paraId="76EA775C" w14:textId="33FF07D0" w:rsidR="00671005" w:rsidRDefault="0041550F" w:rsidP="00BE2779">
      <w:pPr>
        <w:spacing w:line="288" w:lineRule="auto"/>
        <w:rPr>
          <w:sz w:val="28"/>
          <w:szCs w:val="28"/>
        </w:rPr>
      </w:pPr>
      <w:r>
        <w:rPr>
          <w:sz w:val="28"/>
          <w:szCs w:val="28"/>
        </w:rPr>
        <w:lastRenderedPageBreak/>
        <w:tab/>
      </w:r>
      <w:r w:rsidR="00E41FFE">
        <w:rPr>
          <w:sz w:val="28"/>
          <w:szCs w:val="28"/>
        </w:rPr>
        <w:t xml:space="preserve">Equity is important but hard to progress. However, it is not the only broader public good produced by universities. </w:t>
      </w:r>
      <w:r w:rsidR="00D76A7C">
        <w:rPr>
          <w:sz w:val="28"/>
          <w:szCs w:val="28"/>
        </w:rPr>
        <w:t>Much of th</w:t>
      </w:r>
      <w:r w:rsidR="00E41FFE">
        <w:rPr>
          <w:sz w:val="28"/>
          <w:szCs w:val="28"/>
        </w:rPr>
        <w:t>e</w:t>
      </w:r>
      <w:r w:rsidR="00D76A7C">
        <w:rPr>
          <w:sz w:val="28"/>
          <w:szCs w:val="28"/>
        </w:rPr>
        <w:t xml:space="preserve"> larger contribution </w:t>
      </w:r>
      <w:r w:rsidR="00E41FFE">
        <w:rPr>
          <w:sz w:val="28"/>
          <w:szCs w:val="28"/>
        </w:rPr>
        <w:t xml:space="preserve">to society </w:t>
      </w:r>
      <w:r w:rsidR="00D76A7C">
        <w:rPr>
          <w:sz w:val="28"/>
          <w:szCs w:val="28"/>
        </w:rPr>
        <w:t>is expressed through</w:t>
      </w:r>
      <w:r w:rsidR="00E41FFE">
        <w:rPr>
          <w:sz w:val="28"/>
          <w:szCs w:val="28"/>
        </w:rPr>
        <w:t xml:space="preserve"> </w:t>
      </w:r>
      <w:r w:rsidR="00373768">
        <w:rPr>
          <w:sz w:val="28"/>
          <w:szCs w:val="28"/>
        </w:rPr>
        <w:t>the</w:t>
      </w:r>
      <w:r w:rsidR="00D76A7C">
        <w:rPr>
          <w:sz w:val="28"/>
          <w:szCs w:val="28"/>
        </w:rPr>
        <w:t xml:space="preserve"> disciplines. </w:t>
      </w:r>
      <w:r w:rsidR="00B16D44">
        <w:rPr>
          <w:sz w:val="28"/>
          <w:szCs w:val="28"/>
        </w:rPr>
        <w:t xml:space="preserve">Horne might </w:t>
      </w:r>
      <w:r w:rsidR="00E41FFE">
        <w:rPr>
          <w:sz w:val="28"/>
          <w:szCs w:val="28"/>
        </w:rPr>
        <w:t>have been</w:t>
      </w:r>
      <w:r w:rsidR="00B16D44">
        <w:rPr>
          <w:sz w:val="28"/>
          <w:szCs w:val="28"/>
        </w:rPr>
        <w:t xml:space="preserve"> </w:t>
      </w:r>
      <w:r w:rsidR="00E41FFE">
        <w:rPr>
          <w:sz w:val="28"/>
          <w:szCs w:val="28"/>
        </w:rPr>
        <w:t>pleased</w:t>
      </w:r>
      <w:r w:rsidR="00B16D44">
        <w:rPr>
          <w:sz w:val="28"/>
          <w:szCs w:val="28"/>
        </w:rPr>
        <w:t xml:space="preserve"> with the growth of </w:t>
      </w:r>
      <w:r w:rsidR="00E41FFE">
        <w:rPr>
          <w:sz w:val="28"/>
          <w:szCs w:val="28"/>
        </w:rPr>
        <w:t xml:space="preserve">enrolments in </w:t>
      </w:r>
      <w:r w:rsidR="00B16D44">
        <w:rPr>
          <w:sz w:val="28"/>
          <w:szCs w:val="28"/>
        </w:rPr>
        <w:t>the S</w:t>
      </w:r>
      <w:r w:rsidR="00D76A7C">
        <w:rPr>
          <w:sz w:val="28"/>
          <w:szCs w:val="28"/>
        </w:rPr>
        <w:t>TEM disciplines</w:t>
      </w:r>
      <w:r w:rsidR="00E41FFE">
        <w:rPr>
          <w:sz w:val="28"/>
          <w:szCs w:val="28"/>
        </w:rPr>
        <w:t>. T</w:t>
      </w:r>
      <w:r w:rsidR="00BF01AE">
        <w:rPr>
          <w:sz w:val="28"/>
          <w:szCs w:val="28"/>
        </w:rPr>
        <w:t xml:space="preserve">he </w:t>
      </w:r>
      <w:r w:rsidR="00E41FFE">
        <w:rPr>
          <w:sz w:val="28"/>
          <w:szCs w:val="28"/>
        </w:rPr>
        <w:t>universities’</w:t>
      </w:r>
      <w:r w:rsidR="00D026A6">
        <w:rPr>
          <w:sz w:val="28"/>
          <w:szCs w:val="28"/>
        </w:rPr>
        <w:t xml:space="preserve"> larger </w:t>
      </w:r>
      <w:r w:rsidR="00BF01AE">
        <w:rPr>
          <w:sz w:val="28"/>
          <w:szCs w:val="28"/>
        </w:rPr>
        <w:t>contribution to scientific literacy is crucial.</w:t>
      </w:r>
      <w:r w:rsidR="00F522A2">
        <w:rPr>
          <w:rStyle w:val="FootnoteReference"/>
          <w:sz w:val="28"/>
          <w:szCs w:val="28"/>
        </w:rPr>
        <w:footnoteReference w:id="30"/>
      </w:r>
      <w:r w:rsidR="00BF01AE">
        <w:rPr>
          <w:sz w:val="28"/>
          <w:szCs w:val="28"/>
        </w:rPr>
        <w:t xml:space="preserve"> </w:t>
      </w:r>
      <w:r w:rsidR="0099280F">
        <w:rPr>
          <w:sz w:val="28"/>
          <w:szCs w:val="28"/>
        </w:rPr>
        <w:t xml:space="preserve">The RAND Corporation’s </w:t>
      </w:r>
      <w:proofErr w:type="gramStart"/>
      <w:r w:rsidR="0099280F" w:rsidRPr="0099280F">
        <w:rPr>
          <w:i/>
          <w:sz w:val="28"/>
          <w:szCs w:val="28"/>
        </w:rPr>
        <w:t>The</w:t>
      </w:r>
      <w:proofErr w:type="gramEnd"/>
      <w:r w:rsidR="0099280F" w:rsidRPr="0099280F">
        <w:rPr>
          <w:i/>
          <w:sz w:val="28"/>
          <w:szCs w:val="28"/>
        </w:rPr>
        <w:t xml:space="preserve"> Global Technology Revolution 2020</w:t>
      </w:r>
      <w:r w:rsidR="0099280F">
        <w:rPr>
          <w:sz w:val="28"/>
          <w:szCs w:val="28"/>
        </w:rPr>
        <w:t xml:space="preserve"> found that Australia had an excellent capacity to acquire all 16 of the report’s chosen technologies.</w:t>
      </w:r>
      <w:r w:rsidR="0099280F">
        <w:rPr>
          <w:rStyle w:val="FootnoteReference"/>
          <w:sz w:val="28"/>
          <w:szCs w:val="28"/>
        </w:rPr>
        <w:footnoteReference w:id="31"/>
      </w:r>
      <w:r w:rsidR="0099280F">
        <w:rPr>
          <w:sz w:val="28"/>
          <w:szCs w:val="28"/>
        </w:rPr>
        <w:t xml:space="preserve"> </w:t>
      </w:r>
      <w:r w:rsidR="00B14639">
        <w:rPr>
          <w:sz w:val="28"/>
          <w:szCs w:val="28"/>
        </w:rPr>
        <w:t>Earnings to science degrees are not as high as for the science-based professions but unemployment rates across STEM are low.</w:t>
      </w:r>
      <w:r w:rsidR="00076FD9">
        <w:rPr>
          <w:rStyle w:val="FootnoteReference"/>
          <w:sz w:val="28"/>
          <w:szCs w:val="28"/>
        </w:rPr>
        <w:footnoteReference w:id="32"/>
      </w:r>
    </w:p>
    <w:p w14:paraId="403A9F63" w14:textId="13B4877A" w:rsidR="00D026A6" w:rsidRDefault="005F122B" w:rsidP="00BE2779">
      <w:pPr>
        <w:spacing w:line="288" w:lineRule="auto"/>
        <w:rPr>
          <w:sz w:val="28"/>
          <w:szCs w:val="28"/>
        </w:rPr>
      </w:pPr>
      <w:r>
        <w:rPr>
          <w:sz w:val="28"/>
          <w:szCs w:val="28"/>
        </w:rPr>
        <w:tab/>
      </w:r>
      <w:r w:rsidR="00F14263">
        <w:rPr>
          <w:sz w:val="28"/>
          <w:szCs w:val="28"/>
        </w:rPr>
        <w:t xml:space="preserve">The social sciences are </w:t>
      </w:r>
      <w:r w:rsidR="00E41FFE">
        <w:rPr>
          <w:sz w:val="28"/>
          <w:szCs w:val="28"/>
        </w:rPr>
        <w:t xml:space="preserve">more </w:t>
      </w:r>
      <w:r w:rsidR="00373768">
        <w:rPr>
          <w:sz w:val="28"/>
          <w:szCs w:val="28"/>
        </w:rPr>
        <w:t>heterogeneous</w:t>
      </w:r>
      <w:r w:rsidR="00D026A6">
        <w:rPr>
          <w:sz w:val="28"/>
          <w:szCs w:val="28"/>
        </w:rPr>
        <w:t xml:space="preserve">. </w:t>
      </w:r>
      <w:r w:rsidR="00F14263">
        <w:rPr>
          <w:sz w:val="28"/>
          <w:szCs w:val="28"/>
        </w:rPr>
        <w:t>The</w:t>
      </w:r>
      <w:r w:rsidR="00373768">
        <w:rPr>
          <w:sz w:val="28"/>
          <w:szCs w:val="28"/>
        </w:rPr>
        <w:t xml:space="preserve">y </w:t>
      </w:r>
      <w:r w:rsidR="00786986">
        <w:rPr>
          <w:sz w:val="28"/>
          <w:szCs w:val="28"/>
        </w:rPr>
        <w:t xml:space="preserve">mostly </w:t>
      </w:r>
      <w:r w:rsidR="006F5105">
        <w:rPr>
          <w:sz w:val="28"/>
          <w:szCs w:val="28"/>
        </w:rPr>
        <w:t>developed to provide data and advice for government</w:t>
      </w:r>
      <w:r w:rsidR="00F14263">
        <w:rPr>
          <w:sz w:val="28"/>
          <w:szCs w:val="28"/>
        </w:rPr>
        <w:t>,</w:t>
      </w:r>
      <w:r w:rsidR="00A40287">
        <w:rPr>
          <w:rStyle w:val="FootnoteReference"/>
          <w:sz w:val="28"/>
          <w:szCs w:val="28"/>
        </w:rPr>
        <w:footnoteReference w:id="33"/>
      </w:r>
      <w:r w:rsidR="00A40287">
        <w:rPr>
          <w:sz w:val="28"/>
          <w:szCs w:val="28"/>
        </w:rPr>
        <w:t xml:space="preserve"> </w:t>
      </w:r>
      <w:r w:rsidR="00F14263">
        <w:rPr>
          <w:sz w:val="28"/>
          <w:szCs w:val="28"/>
        </w:rPr>
        <w:t xml:space="preserve">and their </w:t>
      </w:r>
      <w:r w:rsidR="00E41FFE">
        <w:rPr>
          <w:sz w:val="28"/>
          <w:szCs w:val="28"/>
        </w:rPr>
        <w:t xml:space="preserve">largest </w:t>
      </w:r>
      <w:r w:rsidR="00F14263">
        <w:rPr>
          <w:sz w:val="28"/>
          <w:szCs w:val="28"/>
        </w:rPr>
        <w:t>potential</w:t>
      </w:r>
      <w:r w:rsidR="006F5105">
        <w:rPr>
          <w:sz w:val="28"/>
          <w:szCs w:val="28"/>
        </w:rPr>
        <w:t xml:space="preserve"> </w:t>
      </w:r>
      <w:r w:rsidR="00E41FFE">
        <w:rPr>
          <w:sz w:val="28"/>
          <w:szCs w:val="28"/>
        </w:rPr>
        <w:t>contribution is when an activist government is in power. Then they</w:t>
      </w:r>
      <w:r w:rsidR="00EA7C1A">
        <w:rPr>
          <w:sz w:val="28"/>
          <w:szCs w:val="28"/>
        </w:rPr>
        <w:t xml:space="preserve"> </w:t>
      </w:r>
      <w:r w:rsidR="009F715B">
        <w:rPr>
          <w:sz w:val="28"/>
          <w:szCs w:val="28"/>
        </w:rPr>
        <w:t>ar</w:t>
      </w:r>
      <w:r w:rsidR="00EA7C1A">
        <w:rPr>
          <w:sz w:val="28"/>
          <w:szCs w:val="28"/>
        </w:rPr>
        <w:t>e asked to work on larger projects such as inequality and poverty</w:t>
      </w:r>
      <w:r w:rsidR="009F715B">
        <w:rPr>
          <w:sz w:val="28"/>
          <w:szCs w:val="28"/>
        </w:rPr>
        <w:t>,</w:t>
      </w:r>
      <w:r w:rsidR="00A40287">
        <w:rPr>
          <w:rStyle w:val="FootnoteReference"/>
          <w:sz w:val="28"/>
          <w:szCs w:val="28"/>
        </w:rPr>
        <w:footnoteReference w:id="34"/>
      </w:r>
      <w:r w:rsidR="009F715B">
        <w:rPr>
          <w:sz w:val="28"/>
          <w:szCs w:val="28"/>
        </w:rPr>
        <w:t xml:space="preserve"> or black deaths in custody</w:t>
      </w:r>
      <w:r w:rsidR="00802AC6">
        <w:rPr>
          <w:sz w:val="28"/>
          <w:szCs w:val="28"/>
        </w:rPr>
        <w:t>,</w:t>
      </w:r>
      <w:r w:rsidR="009F715B">
        <w:rPr>
          <w:sz w:val="28"/>
          <w:szCs w:val="28"/>
        </w:rPr>
        <w:t xml:space="preserve"> or the stolen generation</w:t>
      </w:r>
      <w:r w:rsidR="00EA7C1A">
        <w:rPr>
          <w:sz w:val="28"/>
          <w:szCs w:val="28"/>
        </w:rPr>
        <w:t xml:space="preserve">. When </w:t>
      </w:r>
      <w:r w:rsidR="00802AC6">
        <w:rPr>
          <w:sz w:val="28"/>
          <w:szCs w:val="28"/>
        </w:rPr>
        <w:t xml:space="preserve">governmental </w:t>
      </w:r>
      <w:r w:rsidR="00EA7C1A">
        <w:rPr>
          <w:sz w:val="28"/>
          <w:szCs w:val="28"/>
        </w:rPr>
        <w:t>torpor set</w:t>
      </w:r>
      <w:r w:rsidR="009F715B">
        <w:rPr>
          <w:sz w:val="28"/>
          <w:szCs w:val="28"/>
        </w:rPr>
        <w:t>s</w:t>
      </w:r>
      <w:r w:rsidR="00EA7C1A">
        <w:rPr>
          <w:sz w:val="28"/>
          <w:szCs w:val="28"/>
        </w:rPr>
        <w:t xml:space="preserve"> in, as at present, the social sciences </w:t>
      </w:r>
      <w:r w:rsidR="009F715B">
        <w:rPr>
          <w:sz w:val="28"/>
          <w:szCs w:val="28"/>
        </w:rPr>
        <w:t xml:space="preserve">look more </w:t>
      </w:r>
      <w:r w:rsidR="009C4778">
        <w:rPr>
          <w:sz w:val="28"/>
          <w:szCs w:val="28"/>
        </w:rPr>
        <w:t xml:space="preserve">fragmented, even </w:t>
      </w:r>
      <w:r w:rsidR="009F715B">
        <w:rPr>
          <w:sz w:val="28"/>
          <w:szCs w:val="28"/>
        </w:rPr>
        <w:t>trivial</w:t>
      </w:r>
      <w:r w:rsidR="009C4778">
        <w:rPr>
          <w:sz w:val="28"/>
          <w:szCs w:val="28"/>
        </w:rPr>
        <w:t>.</w:t>
      </w:r>
      <w:r w:rsidR="00EA7C1A">
        <w:rPr>
          <w:sz w:val="28"/>
          <w:szCs w:val="28"/>
        </w:rPr>
        <w:t xml:space="preserve"> </w:t>
      </w:r>
    </w:p>
    <w:p w14:paraId="11E62587" w14:textId="31224284" w:rsidR="007B1106" w:rsidRDefault="00E41FFE" w:rsidP="00BE2779">
      <w:pPr>
        <w:spacing w:line="288" w:lineRule="auto"/>
        <w:ind w:firstLine="454"/>
        <w:rPr>
          <w:sz w:val="28"/>
          <w:szCs w:val="28"/>
        </w:rPr>
      </w:pPr>
      <w:proofErr w:type="gramStart"/>
      <w:r>
        <w:rPr>
          <w:sz w:val="28"/>
          <w:szCs w:val="28"/>
        </w:rPr>
        <w:t>However</w:t>
      </w:r>
      <w:proofErr w:type="gramEnd"/>
      <w:r>
        <w:rPr>
          <w:sz w:val="28"/>
          <w:szCs w:val="28"/>
        </w:rPr>
        <w:t xml:space="preserve"> t</w:t>
      </w:r>
      <w:r w:rsidR="00F14263">
        <w:rPr>
          <w:sz w:val="28"/>
          <w:szCs w:val="28"/>
        </w:rPr>
        <w:t xml:space="preserve">here is little the social sciences </w:t>
      </w:r>
      <w:r w:rsidR="00A76A8E">
        <w:rPr>
          <w:sz w:val="28"/>
          <w:szCs w:val="28"/>
        </w:rPr>
        <w:t>can do</w:t>
      </w:r>
      <w:r w:rsidR="00F14263">
        <w:rPr>
          <w:sz w:val="28"/>
          <w:szCs w:val="28"/>
        </w:rPr>
        <w:t>, or the universities</w:t>
      </w:r>
      <w:r w:rsidR="00A76A8E">
        <w:rPr>
          <w:sz w:val="28"/>
          <w:szCs w:val="28"/>
        </w:rPr>
        <w:t xml:space="preserve"> </w:t>
      </w:r>
      <w:r w:rsidR="00F14263">
        <w:rPr>
          <w:sz w:val="28"/>
          <w:szCs w:val="28"/>
        </w:rPr>
        <w:t>can do</w:t>
      </w:r>
      <w:r w:rsidR="000B5B16">
        <w:rPr>
          <w:sz w:val="28"/>
          <w:szCs w:val="28"/>
        </w:rPr>
        <w:t>,</w:t>
      </w:r>
      <w:r w:rsidR="00F14263">
        <w:rPr>
          <w:sz w:val="28"/>
          <w:szCs w:val="28"/>
        </w:rPr>
        <w:t xml:space="preserve"> to wake a sleeping government. </w:t>
      </w:r>
      <w:r w:rsidR="00D026A6">
        <w:rPr>
          <w:sz w:val="28"/>
          <w:szCs w:val="28"/>
        </w:rPr>
        <w:t>T</w:t>
      </w:r>
      <w:r w:rsidR="00F14263">
        <w:rPr>
          <w:sz w:val="28"/>
          <w:szCs w:val="28"/>
        </w:rPr>
        <w:t xml:space="preserve">he problem apparent </w:t>
      </w:r>
      <w:r w:rsidR="00D026A6">
        <w:rPr>
          <w:sz w:val="28"/>
          <w:szCs w:val="28"/>
        </w:rPr>
        <w:t>in</w:t>
      </w:r>
      <w:r w:rsidR="00F14263">
        <w:rPr>
          <w:sz w:val="28"/>
          <w:szCs w:val="28"/>
        </w:rPr>
        <w:t xml:space="preserve"> Horne</w:t>
      </w:r>
      <w:r w:rsidR="00D026A6">
        <w:rPr>
          <w:sz w:val="28"/>
          <w:szCs w:val="28"/>
        </w:rPr>
        <w:t>’s time</w:t>
      </w:r>
      <w:r w:rsidR="00F14263">
        <w:rPr>
          <w:sz w:val="28"/>
          <w:szCs w:val="28"/>
        </w:rPr>
        <w:t xml:space="preserve">, the </w:t>
      </w:r>
      <w:r w:rsidR="000B5B16">
        <w:rPr>
          <w:sz w:val="28"/>
          <w:szCs w:val="28"/>
        </w:rPr>
        <w:t>absence</w:t>
      </w:r>
      <w:r w:rsidR="00F14263">
        <w:rPr>
          <w:sz w:val="28"/>
          <w:szCs w:val="28"/>
        </w:rPr>
        <w:t xml:space="preserve"> of a larger public sphere around government, which might </w:t>
      </w:r>
      <w:r w:rsidR="000B5B16">
        <w:rPr>
          <w:sz w:val="28"/>
          <w:szCs w:val="28"/>
        </w:rPr>
        <w:t xml:space="preserve">debate, </w:t>
      </w:r>
      <w:r w:rsidR="00B33853">
        <w:rPr>
          <w:sz w:val="28"/>
          <w:szCs w:val="28"/>
        </w:rPr>
        <w:t>rework</w:t>
      </w:r>
      <w:r w:rsidR="00F14263">
        <w:rPr>
          <w:sz w:val="28"/>
          <w:szCs w:val="28"/>
        </w:rPr>
        <w:t xml:space="preserve"> </w:t>
      </w:r>
      <w:r w:rsidR="000B5B16">
        <w:rPr>
          <w:sz w:val="28"/>
          <w:szCs w:val="28"/>
        </w:rPr>
        <w:t xml:space="preserve">and transmit </w:t>
      </w:r>
      <w:r w:rsidR="00F14263">
        <w:rPr>
          <w:sz w:val="28"/>
          <w:szCs w:val="28"/>
        </w:rPr>
        <w:t>ide</w:t>
      </w:r>
      <w:r w:rsidR="00B33853">
        <w:rPr>
          <w:sz w:val="28"/>
          <w:szCs w:val="28"/>
        </w:rPr>
        <w:t>a</w:t>
      </w:r>
      <w:r w:rsidR="00F14263">
        <w:rPr>
          <w:sz w:val="28"/>
          <w:szCs w:val="28"/>
        </w:rPr>
        <w:t xml:space="preserve">s </w:t>
      </w:r>
      <w:r w:rsidR="00A76A8E">
        <w:rPr>
          <w:sz w:val="28"/>
          <w:szCs w:val="28"/>
        </w:rPr>
        <w:t>from</w:t>
      </w:r>
      <w:r w:rsidR="00F14263">
        <w:rPr>
          <w:sz w:val="28"/>
          <w:szCs w:val="28"/>
        </w:rPr>
        <w:t xml:space="preserve"> the universities </w:t>
      </w:r>
      <w:r w:rsidR="00A76A8E">
        <w:rPr>
          <w:sz w:val="28"/>
          <w:szCs w:val="28"/>
        </w:rPr>
        <w:t>or</w:t>
      </w:r>
      <w:r w:rsidR="00B33853">
        <w:rPr>
          <w:sz w:val="28"/>
          <w:szCs w:val="28"/>
        </w:rPr>
        <w:t xml:space="preserve"> elsewhere, </w:t>
      </w:r>
      <w:r w:rsidR="00A76A8E">
        <w:rPr>
          <w:sz w:val="28"/>
          <w:szCs w:val="28"/>
        </w:rPr>
        <w:t>in some measure continues</w:t>
      </w:r>
      <w:r w:rsidR="00B33853">
        <w:rPr>
          <w:sz w:val="28"/>
          <w:szCs w:val="28"/>
        </w:rPr>
        <w:t>.</w:t>
      </w:r>
      <w:r w:rsidR="007B1106">
        <w:rPr>
          <w:sz w:val="28"/>
          <w:szCs w:val="28"/>
        </w:rPr>
        <w:t xml:space="preserve"> </w:t>
      </w:r>
      <w:r w:rsidR="000B5B16">
        <w:rPr>
          <w:sz w:val="28"/>
          <w:szCs w:val="28"/>
        </w:rPr>
        <w:t>The vacuum</w:t>
      </w:r>
      <w:r w:rsidR="007B1106">
        <w:rPr>
          <w:sz w:val="28"/>
          <w:szCs w:val="28"/>
        </w:rPr>
        <w:t xml:space="preserve"> also </w:t>
      </w:r>
      <w:r w:rsidR="000B5B16">
        <w:rPr>
          <w:sz w:val="28"/>
          <w:szCs w:val="28"/>
        </w:rPr>
        <w:t>protects</w:t>
      </w:r>
      <w:r w:rsidR="007B1106">
        <w:rPr>
          <w:sz w:val="28"/>
          <w:szCs w:val="28"/>
        </w:rPr>
        <w:t xml:space="preserve"> the narrowness of the </w:t>
      </w:r>
      <w:r>
        <w:rPr>
          <w:sz w:val="28"/>
          <w:szCs w:val="28"/>
        </w:rPr>
        <w:t>public</w:t>
      </w:r>
      <w:r w:rsidR="007B1106">
        <w:rPr>
          <w:sz w:val="28"/>
          <w:szCs w:val="28"/>
        </w:rPr>
        <w:t xml:space="preserve"> agenda in Australia, </w:t>
      </w:r>
      <w:r w:rsidR="000B5B16">
        <w:rPr>
          <w:sz w:val="28"/>
          <w:szCs w:val="28"/>
        </w:rPr>
        <w:t xml:space="preserve">discussed by Horne, </w:t>
      </w:r>
      <w:r w:rsidR="007B1106">
        <w:rPr>
          <w:sz w:val="28"/>
          <w:szCs w:val="28"/>
        </w:rPr>
        <w:t xml:space="preserve">which </w:t>
      </w:r>
      <w:r w:rsidR="000B5B16">
        <w:rPr>
          <w:sz w:val="28"/>
          <w:szCs w:val="28"/>
        </w:rPr>
        <w:t xml:space="preserve">also </w:t>
      </w:r>
      <w:r w:rsidR="007B1106">
        <w:rPr>
          <w:sz w:val="28"/>
          <w:szCs w:val="28"/>
        </w:rPr>
        <w:t xml:space="preserve">continues. </w:t>
      </w:r>
      <w:r>
        <w:rPr>
          <w:sz w:val="28"/>
          <w:szCs w:val="28"/>
        </w:rPr>
        <w:t>G</w:t>
      </w:r>
      <w:r w:rsidR="007B1106">
        <w:rPr>
          <w:sz w:val="28"/>
          <w:szCs w:val="28"/>
        </w:rPr>
        <w:t xml:space="preserve">overnment is </w:t>
      </w:r>
      <w:r w:rsidR="000B5B16">
        <w:rPr>
          <w:sz w:val="28"/>
          <w:szCs w:val="28"/>
        </w:rPr>
        <w:t xml:space="preserve">freed from </w:t>
      </w:r>
      <w:r>
        <w:rPr>
          <w:sz w:val="28"/>
          <w:szCs w:val="28"/>
        </w:rPr>
        <w:t xml:space="preserve">potential </w:t>
      </w:r>
      <w:r w:rsidR="00914ADB">
        <w:rPr>
          <w:sz w:val="28"/>
          <w:szCs w:val="28"/>
        </w:rPr>
        <w:t>obligation to</w:t>
      </w:r>
      <w:r w:rsidR="007B1106">
        <w:rPr>
          <w:sz w:val="28"/>
          <w:szCs w:val="28"/>
        </w:rPr>
        <w:t xml:space="preserve"> </w:t>
      </w:r>
      <w:r>
        <w:rPr>
          <w:sz w:val="28"/>
          <w:szCs w:val="28"/>
        </w:rPr>
        <w:t xml:space="preserve">address </w:t>
      </w:r>
      <w:r w:rsidR="000B5B16">
        <w:rPr>
          <w:sz w:val="28"/>
          <w:szCs w:val="28"/>
        </w:rPr>
        <w:t>a larger set of policy concerns.</w:t>
      </w:r>
    </w:p>
    <w:p w14:paraId="1D4F7954" w14:textId="0011CBCD" w:rsidR="005818A3" w:rsidRDefault="002A7CA3" w:rsidP="00BE2779">
      <w:pPr>
        <w:spacing w:line="288" w:lineRule="auto"/>
        <w:ind w:firstLine="454"/>
        <w:rPr>
          <w:sz w:val="28"/>
          <w:szCs w:val="28"/>
        </w:rPr>
      </w:pPr>
      <w:r>
        <w:rPr>
          <w:sz w:val="28"/>
          <w:szCs w:val="28"/>
        </w:rPr>
        <w:t>D</w:t>
      </w:r>
      <w:r w:rsidR="005C0FB9">
        <w:rPr>
          <w:sz w:val="28"/>
          <w:szCs w:val="28"/>
        </w:rPr>
        <w:t>iscussion of ideas</w:t>
      </w:r>
      <w:r w:rsidR="00A76A8E">
        <w:rPr>
          <w:sz w:val="28"/>
          <w:szCs w:val="28"/>
        </w:rPr>
        <w:t xml:space="preserve"> </w:t>
      </w:r>
      <w:r w:rsidR="005C0FB9">
        <w:rPr>
          <w:sz w:val="28"/>
          <w:szCs w:val="28"/>
        </w:rPr>
        <w:t>in the media</w:t>
      </w:r>
      <w:r>
        <w:rPr>
          <w:sz w:val="28"/>
          <w:szCs w:val="28"/>
        </w:rPr>
        <w:t xml:space="preserve"> mostly takes</w:t>
      </w:r>
      <w:r w:rsidR="005C0FB9">
        <w:rPr>
          <w:sz w:val="28"/>
          <w:szCs w:val="28"/>
        </w:rPr>
        <w:t xml:space="preserve"> a shallow </w:t>
      </w:r>
      <w:r w:rsidR="00E42EB8">
        <w:rPr>
          <w:sz w:val="28"/>
          <w:szCs w:val="28"/>
        </w:rPr>
        <w:t>ideological and</w:t>
      </w:r>
      <w:r w:rsidR="005C0FB9">
        <w:rPr>
          <w:sz w:val="28"/>
          <w:szCs w:val="28"/>
        </w:rPr>
        <w:t xml:space="preserve"> combative tone, </w:t>
      </w:r>
      <w:r w:rsidR="002B4765">
        <w:rPr>
          <w:sz w:val="28"/>
          <w:szCs w:val="28"/>
        </w:rPr>
        <w:t xml:space="preserve">as if </w:t>
      </w:r>
      <w:r w:rsidR="00A76A8E">
        <w:rPr>
          <w:sz w:val="28"/>
          <w:szCs w:val="28"/>
        </w:rPr>
        <w:t xml:space="preserve">question time in parliament </w:t>
      </w:r>
      <w:r w:rsidR="005C0FB9">
        <w:rPr>
          <w:sz w:val="28"/>
          <w:szCs w:val="28"/>
        </w:rPr>
        <w:t>has</w:t>
      </w:r>
      <w:r w:rsidR="002B4765">
        <w:rPr>
          <w:sz w:val="28"/>
          <w:szCs w:val="28"/>
        </w:rPr>
        <w:t xml:space="preserve"> </w:t>
      </w:r>
      <w:r w:rsidR="005C0FB9">
        <w:rPr>
          <w:sz w:val="28"/>
          <w:szCs w:val="28"/>
        </w:rPr>
        <w:t>been</w:t>
      </w:r>
      <w:r w:rsidR="002B4765">
        <w:rPr>
          <w:sz w:val="28"/>
          <w:szCs w:val="28"/>
        </w:rPr>
        <w:t xml:space="preserve"> </w:t>
      </w:r>
      <w:r w:rsidR="00A76A8E">
        <w:rPr>
          <w:sz w:val="28"/>
          <w:szCs w:val="28"/>
        </w:rPr>
        <w:t>carried into the larger public space</w:t>
      </w:r>
      <w:r w:rsidR="005C0FB9">
        <w:rPr>
          <w:sz w:val="28"/>
          <w:szCs w:val="28"/>
        </w:rPr>
        <w:t xml:space="preserve">. </w:t>
      </w:r>
      <w:r w:rsidR="00E42EB8">
        <w:rPr>
          <w:sz w:val="28"/>
          <w:szCs w:val="28"/>
        </w:rPr>
        <w:t xml:space="preserve">Almost before a new issue </w:t>
      </w:r>
      <w:r w:rsidR="00A76A8E">
        <w:rPr>
          <w:sz w:val="28"/>
          <w:szCs w:val="28"/>
        </w:rPr>
        <w:t>appears</w:t>
      </w:r>
      <w:r w:rsidR="00E42EB8">
        <w:rPr>
          <w:sz w:val="28"/>
          <w:szCs w:val="28"/>
        </w:rPr>
        <w:t xml:space="preserve"> it </w:t>
      </w:r>
      <w:r w:rsidR="00A76A8E">
        <w:rPr>
          <w:sz w:val="28"/>
          <w:szCs w:val="28"/>
        </w:rPr>
        <w:t>is</w:t>
      </w:r>
      <w:r w:rsidR="00E42EB8">
        <w:rPr>
          <w:sz w:val="28"/>
          <w:szCs w:val="28"/>
        </w:rPr>
        <w:t xml:space="preserve"> </w:t>
      </w:r>
      <w:r>
        <w:rPr>
          <w:sz w:val="28"/>
          <w:szCs w:val="28"/>
        </w:rPr>
        <w:t>simplified and arranged</w:t>
      </w:r>
      <w:r w:rsidR="00E42EB8">
        <w:rPr>
          <w:sz w:val="28"/>
          <w:szCs w:val="28"/>
        </w:rPr>
        <w:t xml:space="preserve"> </w:t>
      </w:r>
      <w:r w:rsidR="00A76A8E">
        <w:rPr>
          <w:sz w:val="28"/>
          <w:szCs w:val="28"/>
        </w:rPr>
        <w:t>into a</w:t>
      </w:r>
      <w:r>
        <w:rPr>
          <w:sz w:val="28"/>
          <w:szCs w:val="28"/>
        </w:rPr>
        <w:t xml:space="preserve"> left</w:t>
      </w:r>
      <w:r w:rsidR="00E42EB8">
        <w:rPr>
          <w:sz w:val="28"/>
          <w:szCs w:val="28"/>
        </w:rPr>
        <w:t xml:space="preserve">/right polarity, like a tennis match where the </w:t>
      </w:r>
      <w:r w:rsidR="00914ADB">
        <w:rPr>
          <w:sz w:val="28"/>
          <w:szCs w:val="28"/>
        </w:rPr>
        <w:t>sole meaning</w:t>
      </w:r>
      <w:r w:rsidR="00E42EB8">
        <w:rPr>
          <w:sz w:val="28"/>
          <w:szCs w:val="28"/>
        </w:rPr>
        <w:t xml:space="preserve"> is to determine a winner. </w:t>
      </w:r>
      <w:r w:rsidR="00A76A8E">
        <w:rPr>
          <w:sz w:val="28"/>
          <w:szCs w:val="28"/>
        </w:rPr>
        <w:t xml:space="preserve">There </w:t>
      </w:r>
      <w:r>
        <w:rPr>
          <w:sz w:val="28"/>
          <w:szCs w:val="28"/>
        </w:rPr>
        <w:t xml:space="preserve">is little apace for specialized knowledge </w:t>
      </w:r>
      <w:r w:rsidR="00914ADB">
        <w:rPr>
          <w:sz w:val="28"/>
          <w:szCs w:val="28"/>
        </w:rPr>
        <w:t xml:space="preserve">in a simplified debate, </w:t>
      </w:r>
      <w:r w:rsidR="00E42EB8">
        <w:rPr>
          <w:sz w:val="28"/>
          <w:szCs w:val="28"/>
        </w:rPr>
        <w:t>few points of entry for university-based intel</w:t>
      </w:r>
      <w:r w:rsidR="00A76A8E">
        <w:rPr>
          <w:sz w:val="28"/>
          <w:szCs w:val="28"/>
        </w:rPr>
        <w:t>lectuals</w:t>
      </w:r>
      <w:r>
        <w:rPr>
          <w:sz w:val="28"/>
          <w:szCs w:val="28"/>
        </w:rPr>
        <w:t>.</w:t>
      </w:r>
      <w:r w:rsidR="00A76A8E">
        <w:rPr>
          <w:sz w:val="28"/>
          <w:szCs w:val="28"/>
        </w:rPr>
        <w:t xml:space="preserve"> </w:t>
      </w:r>
    </w:p>
    <w:p w14:paraId="667B1D67" w14:textId="77777777" w:rsidR="00671005" w:rsidRDefault="00671005" w:rsidP="00BE2779">
      <w:pPr>
        <w:spacing w:line="288" w:lineRule="auto"/>
        <w:rPr>
          <w:sz w:val="28"/>
          <w:szCs w:val="28"/>
        </w:rPr>
      </w:pPr>
    </w:p>
    <w:p w14:paraId="3DC249D1" w14:textId="1EBBEB49" w:rsidR="00671005" w:rsidRDefault="00E366EB" w:rsidP="00BE2779">
      <w:pPr>
        <w:spacing w:line="288" w:lineRule="auto"/>
        <w:rPr>
          <w:sz w:val="28"/>
          <w:szCs w:val="28"/>
        </w:rPr>
      </w:pPr>
      <w:r>
        <w:rPr>
          <w:sz w:val="28"/>
          <w:szCs w:val="28"/>
        </w:rPr>
        <w:lastRenderedPageBreak/>
        <w:t>[THE REGION AND THE WORLD]</w:t>
      </w:r>
    </w:p>
    <w:p w14:paraId="28A35851" w14:textId="4B68933A" w:rsidR="005818A3" w:rsidRDefault="00C33FD8" w:rsidP="00BE2779">
      <w:pPr>
        <w:spacing w:line="288" w:lineRule="auto"/>
        <w:rPr>
          <w:sz w:val="28"/>
          <w:szCs w:val="28"/>
        </w:rPr>
      </w:pPr>
      <w:r>
        <w:rPr>
          <w:sz w:val="28"/>
          <w:szCs w:val="28"/>
        </w:rPr>
        <w:t>Horne</w:t>
      </w:r>
      <w:r w:rsidR="00FF5DD6">
        <w:rPr>
          <w:sz w:val="28"/>
          <w:szCs w:val="28"/>
        </w:rPr>
        <w:t xml:space="preserve"> argued in relation to</w:t>
      </w:r>
      <w:r>
        <w:rPr>
          <w:sz w:val="28"/>
          <w:szCs w:val="28"/>
        </w:rPr>
        <w:t xml:space="preserve"> </w:t>
      </w:r>
      <w:r w:rsidR="00FF5DD6">
        <w:rPr>
          <w:sz w:val="28"/>
          <w:szCs w:val="28"/>
        </w:rPr>
        <w:t>national identity</w:t>
      </w:r>
      <w:r w:rsidR="0009256A">
        <w:rPr>
          <w:sz w:val="28"/>
          <w:szCs w:val="28"/>
        </w:rPr>
        <w:t xml:space="preserve"> </w:t>
      </w:r>
      <w:r w:rsidR="00FF5DD6">
        <w:rPr>
          <w:sz w:val="28"/>
          <w:szCs w:val="28"/>
        </w:rPr>
        <w:t xml:space="preserve">that Australians </w:t>
      </w:r>
      <w:r w:rsidR="0009256A">
        <w:rPr>
          <w:sz w:val="28"/>
          <w:szCs w:val="28"/>
        </w:rPr>
        <w:t>knew they were no longer truly British, but ‘the momentum towards concepts of independent nationhood had slowed down, or stopped.’</w:t>
      </w:r>
      <w:r w:rsidR="0009256A">
        <w:rPr>
          <w:rStyle w:val="FootnoteReference"/>
          <w:sz w:val="28"/>
          <w:szCs w:val="28"/>
        </w:rPr>
        <w:footnoteReference w:id="35"/>
      </w:r>
      <w:r w:rsidR="0009256A">
        <w:rPr>
          <w:sz w:val="28"/>
          <w:szCs w:val="28"/>
        </w:rPr>
        <w:t xml:space="preserve"> Also, they needed to discover they were in Asia. </w:t>
      </w:r>
      <w:r w:rsidR="009A2ABD">
        <w:rPr>
          <w:sz w:val="28"/>
          <w:szCs w:val="28"/>
        </w:rPr>
        <w:t xml:space="preserve">Horne </w:t>
      </w:r>
      <w:r w:rsidR="000A15B1">
        <w:rPr>
          <w:sz w:val="28"/>
          <w:szCs w:val="28"/>
        </w:rPr>
        <w:t>stat</w:t>
      </w:r>
      <w:r w:rsidR="009A2ABD">
        <w:rPr>
          <w:sz w:val="28"/>
          <w:szCs w:val="28"/>
        </w:rPr>
        <w:t xml:space="preserve">ed that focus on Asia could </w:t>
      </w:r>
      <w:r w:rsidR="00914ADB">
        <w:rPr>
          <w:sz w:val="28"/>
          <w:szCs w:val="28"/>
        </w:rPr>
        <w:t>unlock Australia’s stuck-in-</w:t>
      </w:r>
      <w:r w:rsidR="009A2ABD">
        <w:rPr>
          <w:sz w:val="28"/>
          <w:szCs w:val="28"/>
        </w:rPr>
        <w:t xml:space="preserve">transition national identity. </w:t>
      </w:r>
      <w:r w:rsidR="00274EBC">
        <w:rPr>
          <w:sz w:val="28"/>
          <w:szCs w:val="28"/>
        </w:rPr>
        <w:t>This is</w:t>
      </w:r>
      <w:r w:rsidR="000A15B1">
        <w:rPr>
          <w:sz w:val="28"/>
          <w:szCs w:val="28"/>
        </w:rPr>
        <w:t xml:space="preserve"> a</w:t>
      </w:r>
      <w:r w:rsidR="009A2ABD">
        <w:rPr>
          <w:sz w:val="28"/>
          <w:szCs w:val="28"/>
        </w:rPr>
        <w:t xml:space="preserve"> prescient</w:t>
      </w:r>
      <w:r w:rsidR="00D273AB">
        <w:rPr>
          <w:sz w:val="28"/>
          <w:szCs w:val="28"/>
        </w:rPr>
        <w:t xml:space="preserve"> </w:t>
      </w:r>
      <w:r w:rsidR="00274EBC">
        <w:rPr>
          <w:sz w:val="28"/>
          <w:szCs w:val="28"/>
        </w:rPr>
        <w:t xml:space="preserve">overall </w:t>
      </w:r>
      <w:r w:rsidR="00D273AB">
        <w:rPr>
          <w:sz w:val="28"/>
          <w:szCs w:val="28"/>
        </w:rPr>
        <w:t>assessment</w:t>
      </w:r>
      <w:r w:rsidR="0009256A">
        <w:rPr>
          <w:sz w:val="28"/>
          <w:szCs w:val="28"/>
        </w:rPr>
        <w:t xml:space="preserve">. </w:t>
      </w:r>
    </w:p>
    <w:p w14:paraId="20EFF046" w14:textId="573AB9EB" w:rsidR="00671005" w:rsidRPr="00D273AB" w:rsidRDefault="005818A3" w:rsidP="00BE2779">
      <w:pPr>
        <w:spacing w:line="288" w:lineRule="auto"/>
        <w:ind w:firstLine="454"/>
        <w:rPr>
          <w:sz w:val="28"/>
          <w:szCs w:val="28"/>
        </w:rPr>
      </w:pPr>
      <w:r>
        <w:rPr>
          <w:sz w:val="28"/>
          <w:szCs w:val="28"/>
        </w:rPr>
        <w:t>Some matters have changed</w:t>
      </w:r>
      <w:r w:rsidR="0009256A">
        <w:rPr>
          <w:sz w:val="28"/>
          <w:szCs w:val="28"/>
        </w:rPr>
        <w:t xml:space="preserve"> since </w:t>
      </w:r>
      <w:r w:rsidRPr="005818A3">
        <w:rPr>
          <w:i/>
          <w:sz w:val="28"/>
          <w:szCs w:val="28"/>
        </w:rPr>
        <w:t>The Lucky Country</w:t>
      </w:r>
      <w:r>
        <w:rPr>
          <w:sz w:val="28"/>
          <w:szCs w:val="28"/>
        </w:rPr>
        <w:t>. T</w:t>
      </w:r>
      <w:r w:rsidR="0009256A">
        <w:rPr>
          <w:sz w:val="28"/>
          <w:szCs w:val="28"/>
        </w:rPr>
        <w:t xml:space="preserve">he geo-strategic weight of Asia has increased, </w:t>
      </w:r>
      <w:r w:rsidR="00C60046">
        <w:rPr>
          <w:sz w:val="28"/>
          <w:szCs w:val="28"/>
        </w:rPr>
        <w:t>specially China an</w:t>
      </w:r>
      <w:r w:rsidR="00343C03">
        <w:rPr>
          <w:sz w:val="28"/>
          <w:szCs w:val="28"/>
        </w:rPr>
        <w:t>d East Asia</w:t>
      </w:r>
      <w:r>
        <w:rPr>
          <w:sz w:val="28"/>
          <w:szCs w:val="28"/>
        </w:rPr>
        <w:t>. T</w:t>
      </w:r>
      <w:r w:rsidR="0009256A">
        <w:rPr>
          <w:sz w:val="28"/>
          <w:szCs w:val="28"/>
        </w:rPr>
        <w:t>he White Australia p</w:t>
      </w:r>
      <w:r w:rsidR="00343C03">
        <w:rPr>
          <w:sz w:val="28"/>
          <w:szCs w:val="28"/>
        </w:rPr>
        <w:t>olicy has been dismantled and</w:t>
      </w:r>
      <w:r w:rsidR="0009256A">
        <w:rPr>
          <w:sz w:val="28"/>
          <w:szCs w:val="28"/>
        </w:rPr>
        <w:t xml:space="preserve"> </w:t>
      </w:r>
      <w:r w:rsidR="00274EBC">
        <w:rPr>
          <w:sz w:val="28"/>
          <w:szCs w:val="28"/>
        </w:rPr>
        <w:t>the</w:t>
      </w:r>
      <w:r w:rsidR="0009256A">
        <w:rPr>
          <w:sz w:val="28"/>
          <w:szCs w:val="28"/>
        </w:rPr>
        <w:t xml:space="preserve"> </w:t>
      </w:r>
      <w:r w:rsidR="00C60046">
        <w:rPr>
          <w:sz w:val="28"/>
          <w:szCs w:val="28"/>
        </w:rPr>
        <w:t xml:space="preserve">demography is </w:t>
      </w:r>
      <w:r>
        <w:rPr>
          <w:sz w:val="28"/>
          <w:szCs w:val="28"/>
        </w:rPr>
        <w:t>being transformed—</w:t>
      </w:r>
      <w:r w:rsidR="00274EBC">
        <w:rPr>
          <w:sz w:val="28"/>
          <w:szCs w:val="28"/>
        </w:rPr>
        <w:t>Australia’s</w:t>
      </w:r>
      <w:r>
        <w:rPr>
          <w:sz w:val="28"/>
          <w:szCs w:val="28"/>
        </w:rPr>
        <w:t xml:space="preserve"> </w:t>
      </w:r>
      <w:r w:rsidR="00C60046">
        <w:rPr>
          <w:sz w:val="28"/>
          <w:szCs w:val="28"/>
        </w:rPr>
        <w:t>three major sources of migrants, about equally weighted, are China, India and UK/Ireland</w:t>
      </w:r>
      <w:r>
        <w:rPr>
          <w:sz w:val="28"/>
          <w:szCs w:val="28"/>
        </w:rPr>
        <w:t>. N</w:t>
      </w:r>
      <w:r w:rsidR="00C60046">
        <w:rPr>
          <w:sz w:val="28"/>
          <w:szCs w:val="28"/>
        </w:rPr>
        <w:t>ational engagement with Asia has vastly expanded</w:t>
      </w:r>
      <w:r w:rsidR="00042D8B">
        <w:rPr>
          <w:sz w:val="28"/>
          <w:szCs w:val="28"/>
        </w:rPr>
        <w:t xml:space="preserve"> on many fronts</w:t>
      </w:r>
      <w:r>
        <w:rPr>
          <w:sz w:val="28"/>
          <w:szCs w:val="28"/>
        </w:rPr>
        <w:t>, with</w:t>
      </w:r>
      <w:r w:rsidR="00C60046">
        <w:rPr>
          <w:sz w:val="28"/>
          <w:szCs w:val="28"/>
        </w:rPr>
        <w:t xml:space="preserve"> the universities play</w:t>
      </w:r>
      <w:r w:rsidR="00274EBC">
        <w:rPr>
          <w:sz w:val="28"/>
          <w:szCs w:val="28"/>
        </w:rPr>
        <w:t>ing</w:t>
      </w:r>
      <w:r w:rsidR="00C60046">
        <w:rPr>
          <w:sz w:val="28"/>
          <w:szCs w:val="28"/>
        </w:rPr>
        <w:t xml:space="preserve"> a key </w:t>
      </w:r>
      <w:r w:rsidR="00D273AB">
        <w:rPr>
          <w:sz w:val="28"/>
          <w:szCs w:val="28"/>
        </w:rPr>
        <w:t>part</w:t>
      </w:r>
      <w:r w:rsidR="008A7E14">
        <w:rPr>
          <w:sz w:val="28"/>
          <w:szCs w:val="28"/>
        </w:rPr>
        <w:t>.</w:t>
      </w:r>
      <w:r w:rsidR="00C60046">
        <w:rPr>
          <w:sz w:val="28"/>
          <w:szCs w:val="28"/>
        </w:rPr>
        <w:t xml:space="preserve"> </w:t>
      </w:r>
    </w:p>
    <w:p w14:paraId="2A3E082B" w14:textId="77777777" w:rsidR="00E366EB" w:rsidRDefault="00E366EB" w:rsidP="00BE2779">
      <w:pPr>
        <w:spacing w:line="288" w:lineRule="auto"/>
        <w:rPr>
          <w:sz w:val="28"/>
          <w:szCs w:val="28"/>
        </w:rPr>
      </w:pPr>
    </w:p>
    <w:p w14:paraId="5878DABC" w14:textId="02602107" w:rsidR="00E366EB" w:rsidRDefault="00E366EB" w:rsidP="00BE2779">
      <w:pPr>
        <w:spacing w:line="288" w:lineRule="auto"/>
        <w:rPr>
          <w:sz w:val="28"/>
          <w:szCs w:val="28"/>
          <w:lang w:val="en-US"/>
        </w:rPr>
      </w:pPr>
      <w:r>
        <w:rPr>
          <w:sz w:val="28"/>
          <w:szCs w:val="28"/>
        </w:rPr>
        <w:t>[</w:t>
      </w:r>
      <w:r w:rsidRPr="00E366EB">
        <w:rPr>
          <w:sz w:val="28"/>
          <w:szCs w:val="28"/>
          <w:lang w:val="en-US"/>
        </w:rPr>
        <w:t>NUMB</w:t>
      </w:r>
      <w:r>
        <w:rPr>
          <w:sz w:val="28"/>
          <w:szCs w:val="28"/>
          <w:lang w:val="en-US"/>
        </w:rPr>
        <w:t>ER OF SCIENCE PAPERS 2005-2014:</w:t>
      </w:r>
      <w:r w:rsidRPr="00E366EB">
        <w:rPr>
          <w:sz w:val="28"/>
          <w:szCs w:val="28"/>
          <w:lang w:val="en-US"/>
        </w:rPr>
        <w:t xml:space="preserve"> USA, CHINA, </w:t>
      </w:r>
      <w:proofErr w:type="gramStart"/>
      <w:r w:rsidRPr="00E366EB">
        <w:rPr>
          <w:sz w:val="28"/>
          <w:szCs w:val="28"/>
          <w:lang w:val="en-US"/>
        </w:rPr>
        <w:t>OTHER</w:t>
      </w:r>
      <w:proofErr w:type="gramEnd"/>
      <w:r w:rsidRPr="00E366EB">
        <w:rPr>
          <w:sz w:val="28"/>
          <w:szCs w:val="28"/>
          <w:lang w:val="en-US"/>
        </w:rPr>
        <w:t xml:space="preserve"> EAST ASIA</w:t>
      </w:r>
      <w:r>
        <w:rPr>
          <w:sz w:val="28"/>
          <w:szCs w:val="28"/>
          <w:lang w:val="en-US"/>
        </w:rPr>
        <w:t>]</w:t>
      </w:r>
    </w:p>
    <w:p w14:paraId="215D3E9C" w14:textId="2F6C550F" w:rsidR="00D273AB" w:rsidRPr="00DD66DA" w:rsidRDefault="004C362C" w:rsidP="00BE2779">
      <w:pPr>
        <w:spacing w:line="288" w:lineRule="auto"/>
        <w:rPr>
          <w:sz w:val="28"/>
          <w:szCs w:val="28"/>
        </w:rPr>
      </w:pPr>
      <w:r>
        <w:rPr>
          <w:sz w:val="28"/>
          <w:szCs w:val="28"/>
        </w:rPr>
        <w:t>Let’s consider for</w:t>
      </w:r>
      <w:r w:rsidR="00C60046" w:rsidRPr="00D273AB">
        <w:rPr>
          <w:sz w:val="28"/>
          <w:szCs w:val="28"/>
        </w:rPr>
        <w:t xml:space="preserve"> a moment the rise of Asia</w:t>
      </w:r>
      <w:r>
        <w:rPr>
          <w:sz w:val="28"/>
          <w:szCs w:val="28"/>
        </w:rPr>
        <w:t>, especially China</w:t>
      </w:r>
      <w:r w:rsidR="00C60046" w:rsidRPr="00D273AB">
        <w:rPr>
          <w:sz w:val="28"/>
          <w:szCs w:val="28"/>
        </w:rPr>
        <w:t xml:space="preserve">. </w:t>
      </w:r>
      <w:r>
        <w:rPr>
          <w:sz w:val="28"/>
          <w:szCs w:val="28"/>
        </w:rPr>
        <w:t>G</w:t>
      </w:r>
      <w:r w:rsidR="00D273AB" w:rsidRPr="00D273AB">
        <w:rPr>
          <w:sz w:val="28"/>
          <w:szCs w:val="28"/>
        </w:rPr>
        <w:t xml:space="preserve">lobal power </w:t>
      </w:r>
      <w:r>
        <w:rPr>
          <w:sz w:val="28"/>
          <w:szCs w:val="28"/>
        </w:rPr>
        <w:t>i</w:t>
      </w:r>
      <w:r w:rsidR="00D273AB" w:rsidRPr="00D273AB">
        <w:rPr>
          <w:sz w:val="28"/>
          <w:szCs w:val="28"/>
        </w:rPr>
        <w:t>s becoming more plural. China surpassed the Purchasing Power Parity G</w:t>
      </w:r>
      <w:r w:rsidR="009A2ABD">
        <w:rPr>
          <w:sz w:val="28"/>
          <w:szCs w:val="28"/>
        </w:rPr>
        <w:t>DP of the United States in 2014-</w:t>
      </w:r>
      <w:r w:rsidR="00D273AB" w:rsidRPr="00D273AB">
        <w:rPr>
          <w:sz w:val="28"/>
          <w:szCs w:val="28"/>
        </w:rPr>
        <w:t>15</w:t>
      </w:r>
      <w:r w:rsidR="00274EBC">
        <w:rPr>
          <w:sz w:val="28"/>
          <w:szCs w:val="28"/>
        </w:rPr>
        <w:t>. Aggregate R&amp;D spending in</w:t>
      </w:r>
      <w:r w:rsidR="00D273AB" w:rsidRPr="00D273AB">
        <w:rPr>
          <w:sz w:val="28"/>
          <w:szCs w:val="28"/>
        </w:rPr>
        <w:t xml:space="preserve"> East Asia</w:t>
      </w:r>
      <w:r w:rsidR="00274EBC">
        <w:rPr>
          <w:sz w:val="28"/>
          <w:szCs w:val="28"/>
        </w:rPr>
        <w:t xml:space="preserve"> passed</w:t>
      </w:r>
      <w:r w:rsidR="00D273AB" w:rsidRPr="00D273AB">
        <w:rPr>
          <w:sz w:val="28"/>
          <w:szCs w:val="28"/>
        </w:rPr>
        <w:t xml:space="preserve"> North America </w:t>
      </w:r>
      <w:r w:rsidR="009A2ABD">
        <w:rPr>
          <w:sz w:val="28"/>
          <w:szCs w:val="28"/>
        </w:rPr>
        <w:t>five years ago</w:t>
      </w:r>
      <w:r w:rsidR="00274EBC">
        <w:rPr>
          <w:sz w:val="28"/>
          <w:szCs w:val="28"/>
        </w:rPr>
        <w:t xml:space="preserve">. Consider also </w:t>
      </w:r>
      <w:r w:rsidR="00D273AB" w:rsidRPr="00D273AB">
        <w:rPr>
          <w:sz w:val="28"/>
          <w:szCs w:val="28"/>
        </w:rPr>
        <w:t xml:space="preserve">the quickening expansion of the middle class in East, Southeast and South Asia. </w:t>
      </w:r>
      <w:proofErr w:type="spellStart"/>
      <w:r w:rsidR="00D273AB" w:rsidRPr="00D273AB">
        <w:rPr>
          <w:sz w:val="28"/>
          <w:szCs w:val="28"/>
        </w:rPr>
        <w:t>Kharas</w:t>
      </w:r>
      <w:proofErr w:type="spellEnd"/>
      <w:r w:rsidR="00D273AB" w:rsidRPr="00D273AB">
        <w:rPr>
          <w:sz w:val="28"/>
          <w:szCs w:val="28"/>
        </w:rPr>
        <w:t xml:space="preserve"> and </w:t>
      </w:r>
      <w:proofErr w:type="spellStart"/>
      <w:r w:rsidR="00D273AB" w:rsidRPr="00D273AB">
        <w:rPr>
          <w:sz w:val="28"/>
          <w:szCs w:val="28"/>
        </w:rPr>
        <w:t>Gertz</w:t>
      </w:r>
      <w:proofErr w:type="spellEnd"/>
      <w:r w:rsidR="00D273AB" w:rsidRPr="00D273AB">
        <w:rPr>
          <w:sz w:val="28"/>
          <w:szCs w:val="28"/>
        </w:rPr>
        <w:t xml:space="preserve"> </w:t>
      </w:r>
      <w:r>
        <w:rPr>
          <w:sz w:val="28"/>
          <w:szCs w:val="28"/>
        </w:rPr>
        <w:t xml:space="preserve">for Brookings </w:t>
      </w:r>
      <w:r w:rsidR="00D273AB" w:rsidRPr="00D273AB">
        <w:rPr>
          <w:sz w:val="28"/>
          <w:szCs w:val="28"/>
        </w:rPr>
        <w:t xml:space="preserve">estimate it </w:t>
      </w:r>
      <w:r w:rsidR="00D94710">
        <w:rPr>
          <w:sz w:val="28"/>
          <w:szCs w:val="28"/>
        </w:rPr>
        <w:t>was</w:t>
      </w:r>
      <w:r w:rsidR="00D273AB" w:rsidRPr="00D273AB">
        <w:rPr>
          <w:sz w:val="28"/>
          <w:szCs w:val="28"/>
        </w:rPr>
        <w:t xml:space="preserve"> 1.</w:t>
      </w:r>
      <w:r w:rsidR="00523C6E">
        <w:rPr>
          <w:sz w:val="28"/>
          <w:szCs w:val="28"/>
        </w:rPr>
        <w:t>9</w:t>
      </w:r>
      <w:r w:rsidR="00D273AB" w:rsidRPr="00D273AB">
        <w:rPr>
          <w:sz w:val="28"/>
          <w:szCs w:val="28"/>
        </w:rPr>
        <w:t xml:space="preserve"> billion in 2009 and will rise to 3.</w:t>
      </w:r>
      <w:r w:rsidR="00523C6E">
        <w:rPr>
          <w:sz w:val="28"/>
          <w:szCs w:val="28"/>
        </w:rPr>
        <w:t>3</w:t>
      </w:r>
      <w:r w:rsidR="00D273AB" w:rsidRPr="00D273AB">
        <w:rPr>
          <w:sz w:val="28"/>
          <w:szCs w:val="28"/>
        </w:rPr>
        <w:t xml:space="preserve"> billion in 2020, with most of the growth in China, India and Indonesia.</w:t>
      </w:r>
      <w:r>
        <w:rPr>
          <w:rStyle w:val="FootnoteReference"/>
          <w:sz w:val="28"/>
          <w:szCs w:val="28"/>
        </w:rPr>
        <w:footnoteReference w:id="36"/>
      </w:r>
      <w:r w:rsidR="00D273AB" w:rsidRPr="00D273AB">
        <w:rPr>
          <w:sz w:val="28"/>
          <w:szCs w:val="28"/>
        </w:rPr>
        <w:t xml:space="preserve"> </w:t>
      </w:r>
      <w:r w:rsidR="00343C03">
        <w:rPr>
          <w:sz w:val="28"/>
          <w:szCs w:val="28"/>
        </w:rPr>
        <w:t xml:space="preserve">In 2015 Australia </w:t>
      </w:r>
      <w:r w:rsidR="00D94710">
        <w:rPr>
          <w:sz w:val="28"/>
          <w:szCs w:val="28"/>
        </w:rPr>
        <w:t xml:space="preserve">had </w:t>
      </w:r>
      <w:r w:rsidR="00523C6E">
        <w:rPr>
          <w:sz w:val="28"/>
          <w:szCs w:val="28"/>
        </w:rPr>
        <w:t>107,000 international students from China as well as 33,000 from India, 32,000 from Singapore, 29,000 from Malaysia, 19,000 from Vietnam</w:t>
      </w:r>
      <w:r w:rsidR="00240B80">
        <w:rPr>
          <w:sz w:val="28"/>
          <w:szCs w:val="28"/>
        </w:rPr>
        <w:t xml:space="preserve">. </w:t>
      </w:r>
      <w:r w:rsidR="00523C6E">
        <w:rPr>
          <w:sz w:val="28"/>
          <w:szCs w:val="28"/>
        </w:rPr>
        <w:t xml:space="preserve">The projected growth of the </w:t>
      </w:r>
      <w:r w:rsidR="00D94710">
        <w:rPr>
          <w:sz w:val="28"/>
          <w:szCs w:val="28"/>
        </w:rPr>
        <w:t xml:space="preserve">Asian </w:t>
      </w:r>
      <w:r w:rsidR="00523C6E">
        <w:rPr>
          <w:sz w:val="28"/>
          <w:szCs w:val="28"/>
        </w:rPr>
        <w:t xml:space="preserve">middle class means that </w:t>
      </w:r>
      <w:r w:rsidR="00D94710">
        <w:rPr>
          <w:sz w:val="28"/>
          <w:szCs w:val="28"/>
        </w:rPr>
        <w:t xml:space="preserve">on the demand-side international students in Australia will continue to grow. Numbers will fall only if there is a change on the supply side, for example a policy </w:t>
      </w:r>
      <w:r w:rsidR="00D94710" w:rsidRPr="00DD66DA">
        <w:rPr>
          <w:sz w:val="28"/>
          <w:szCs w:val="28"/>
        </w:rPr>
        <w:t>reduction of student visas</w:t>
      </w:r>
      <w:r w:rsidR="00914ADB">
        <w:rPr>
          <w:sz w:val="28"/>
          <w:szCs w:val="28"/>
        </w:rPr>
        <w:t>.</w:t>
      </w:r>
    </w:p>
    <w:p w14:paraId="0A5F2670" w14:textId="4F50D1CC" w:rsidR="00C60046" w:rsidRDefault="00DD66DA" w:rsidP="00BE2779">
      <w:pPr>
        <w:spacing w:line="288" w:lineRule="auto"/>
        <w:rPr>
          <w:sz w:val="28"/>
          <w:szCs w:val="28"/>
        </w:rPr>
      </w:pPr>
      <w:r w:rsidRPr="00DD66DA">
        <w:rPr>
          <w:sz w:val="28"/>
          <w:szCs w:val="28"/>
        </w:rPr>
        <w:tab/>
        <w:t xml:space="preserve">Consider also the scale and speed of the growth of science in China. </w:t>
      </w:r>
      <w:r>
        <w:rPr>
          <w:sz w:val="28"/>
          <w:szCs w:val="28"/>
        </w:rPr>
        <w:t xml:space="preserve">The annual number of published papers </w:t>
      </w:r>
      <w:r w:rsidRPr="00DD66DA">
        <w:rPr>
          <w:sz w:val="28"/>
          <w:szCs w:val="28"/>
        </w:rPr>
        <w:t>rose from 66</w:t>
      </w:r>
      <w:r w:rsidR="00240B80">
        <w:rPr>
          <w:sz w:val="28"/>
          <w:szCs w:val="28"/>
        </w:rPr>
        <w:t>,000</w:t>
      </w:r>
      <w:r w:rsidRPr="00DD66DA">
        <w:rPr>
          <w:sz w:val="28"/>
          <w:szCs w:val="28"/>
        </w:rPr>
        <w:t xml:space="preserve"> in 2005 to </w:t>
      </w:r>
      <w:r w:rsidR="00240B80">
        <w:rPr>
          <w:sz w:val="28"/>
          <w:szCs w:val="28"/>
        </w:rPr>
        <w:t>257,000</w:t>
      </w:r>
      <w:r w:rsidRPr="00DD66DA">
        <w:rPr>
          <w:sz w:val="28"/>
          <w:szCs w:val="28"/>
        </w:rPr>
        <w:t xml:space="preserve"> in 2014, multiplying by four times. China’s output moved from </w:t>
      </w:r>
      <w:r w:rsidR="00240B80">
        <w:rPr>
          <w:sz w:val="28"/>
          <w:szCs w:val="28"/>
        </w:rPr>
        <w:t>25</w:t>
      </w:r>
      <w:r w:rsidRPr="00DD66DA">
        <w:rPr>
          <w:sz w:val="28"/>
          <w:szCs w:val="28"/>
        </w:rPr>
        <w:t xml:space="preserve"> per cent that of the U</w:t>
      </w:r>
      <w:r w:rsidR="00240B80">
        <w:rPr>
          <w:sz w:val="28"/>
          <w:szCs w:val="28"/>
        </w:rPr>
        <w:t>nited States</w:t>
      </w:r>
      <w:r w:rsidRPr="00DD66DA">
        <w:rPr>
          <w:sz w:val="28"/>
          <w:szCs w:val="28"/>
        </w:rPr>
        <w:t xml:space="preserve"> in 2005 to </w:t>
      </w:r>
      <w:r w:rsidR="00240B80">
        <w:rPr>
          <w:sz w:val="28"/>
          <w:szCs w:val="28"/>
        </w:rPr>
        <w:t>80</w:t>
      </w:r>
      <w:r w:rsidRPr="00DD66DA">
        <w:rPr>
          <w:sz w:val="28"/>
          <w:szCs w:val="28"/>
        </w:rPr>
        <w:t xml:space="preserve"> per cent in 2014,</w:t>
      </w:r>
      <w:r>
        <w:rPr>
          <w:rStyle w:val="FootnoteReference"/>
          <w:sz w:val="28"/>
          <w:szCs w:val="28"/>
        </w:rPr>
        <w:footnoteReference w:id="37"/>
      </w:r>
      <w:r w:rsidRPr="00DD66DA">
        <w:rPr>
          <w:sz w:val="28"/>
          <w:szCs w:val="28"/>
        </w:rPr>
        <w:t xml:space="preserve"> and will </w:t>
      </w:r>
      <w:r w:rsidR="007324C5">
        <w:rPr>
          <w:sz w:val="28"/>
          <w:szCs w:val="28"/>
        </w:rPr>
        <w:t xml:space="preserve">soon </w:t>
      </w:r>
      <w:r w:rsidRPr="00DD66DA">
        <w:rPr>
          <w:sz w:val="28"/>
          <w:szCs w:val="28"/>
        </w:rPr>
        <w:t>pass th</w:t>
      </w:r>
      <w:r w:rsidR="00914ADB">
        <w:rPr>
          <w:sz w:val="28"/>
          <w:szCs w:val="28"/>
        </w:rPr>
        <w:t xml:space="preserve">e </w:t>
      </w:r>
      <w:r w:rsidR="00240B80">
        <w:rPr>
          <w:sz w:val="28"/>
          <w:szCs w:val="28"/>
        </w:rPr>
        <w:t>US</w:t>
      </w:r>
      <w:r w:rsidRPr="00DD66DA">
        <w:rPr>
          <w:sz w:val="28"/>
          <w:szCs w:val="28"/>
        </w:rPr>
        <w:t xml:space="preserve"> </w:t>
      </w:r>
      <w:r w:rsidR="007324C5">
        <w:rPr>
          <w:sz w:val="28"/>
          <w:szCs w:val="28"/>
        </w:rPr>
        <w:t xml:space="preserve">in </w:t>
      </w:r>
      <w:r w:rsidRPr="00DD66DA">
        <w:rPr>
          <w:sz w:val="28"/>
          <w:szCs w:val="28"/>
        </w:rPr>
        <w:lastRenderedPageBreak/>
        <w:t xml:space="preserve">volume. The number of </w:t>
      </w:r>
      <w:r w:rsidR="007324C5">
        <w:rPr>
          <w:sz w:val="28"/>
          <w:szCs w:val="28"/>
        </w:rPr>
        <w:t xml:space="preserve">universities from </w:t>
      </w:r>
      <w:r w:rsidRPr="00DD66DA">
        <w:rPr>
          <w:sz w:val="28"/>
          <w:szCs w:val="28"/>
        </w:rPr>
        <w:t>mainland Chin</w:t>
      </w:r>
      <w:r w:rsidR="007324C5">
        <w:rPr>
          <w:sz w:val="28"/>
          <w:szCs w:val="28"/>
        </w:rPr>
        <w:t>a</w:t>
      </w:r>
      <w:r w:rsidRPr="00DD66DA">
        <w:rPr>
          <w:sz w:val="28"/>
          <w:szCs w:val="28"/>
        </w:rPr>
        <w:t xml:space="preserve"> </w:t>
      </w:r>
      <w:r w:rsidR="007324C5">
        <w:rPr>
          <w:sz w:val="28"/>
          <w:szCs w:val="28"/>
        </w:rPr>
        <w:t xml:space="preserve">in the ARWU top 500 </w:t>
      </w:r>
      <w:r w:rsidRPr="00DD66DA">
        <w:rPr>
          <w:sz w:val="28"/>
          <w:szCs w:val="28"/>
        </w:rPr>
        <w:t>has grown from eight in 2005, to 45 in 2017.</w:t>
      </w:r>
      <w:r w:rsidR="00240B80">
        <w:rPr>
          <w:sz w:val="28"/>
          <w:szCs w:val="28"/>
        </w:rPr>
        <w:t xml:space="preserve"> From eight to 45 in twelve years.</w:t>
      </w:r>
    </w:p>
    <w:p w14:paraId="3457F7F0" w14:textId="77777777" w:rsidR="00A868C6" w:rsidRPr="00DD66DA" w:rsidRDefault="00A868C6" w:rsidP="00BE2779">
      <w:pPr>
        <w:spacing w:line="288" w:lineRule="auto"/>
        <w:rPr>
          <w:sz w:val="28"/>
          <w:szCs w:val="28"/>
        </w:rPr>
      </w:pPr>
    </w:p>
    <w:p w14:paraId="6A8F934A" w14:textId="34998D5F" w:rsidR="00017ED6" w:rsidRDefault="00017ED6" w:rsidP="00BE2779">
      <w:pPr>
        <w:spacing w:line="288" w:lineRule="auto"/>
        <w:rPr>
          <w:sz w:val="28"/>
          <w:szCs w:val="28"/>
        </w:rPr>
      </w:pPr>
      <w:r>
        <w:rPr>
          <w:sz w:val="28"/>
          <w:szCs w:val="28"/>
          <w:lang w:val="en-US"/>
        </w:rPr>
        <w:t>[</w:t>
      </w:r>
      <w:r w:rsidRPr="00017ED6">
        <w:rPr>
          <w:sz w:val="28"/>
          <w:szCs w:val="28"/>
        </w:rPr>
        <w:t>HIGH CITATION PAPERS, IN TOP 10% OF RESEARCH FIELD, IN MATHS AND PHYSICAL SCIENCES, 2012-2015 (LEIDEN DATA</w:t>
      </w:r>
      <w:proofErr w:type="gramStart"/>
      <w:r w:rsidRPr="00017ED6">
        <w:rPr>
          <w:sz w:val="28"/>
          <w:szCs w:val="28"/>
        </w:rPr>
        <w:t xml:space="preserve">) </w:t>
      </w:r>
      <w:r>
        <w:rPr>
          <w:sz w:val="28"/>
          <w:szCs w:val="28"/>
        </w:rPr>
        <w:t>]</w:t>
      </w:r>
      <w:proofErr w:type="gramEnd"/>
    </w:p>
    <w:p w14:paraId="2FE16EFE" w14:textId="21126DD4" w:rsidR="00671005" w:rsidRDefault="00240B80" w:rsidP="00BE2779">
      <w:pPr>
        <w:spacing w:line="288" w:lineRule="auto"/>
        <w:rPr>
          <w:sz w:val="28"/>
          <w:szCs w:val="28"/>
        </w:rPr>
      </w:pPr>
      <w:r>
        <w:rPr>
          <w:sz w:val="28"/>
          <w:szCs w:val="28"/>
          <w:lang w:val="en-US"/>
        </w:rPr>
        <w:t>Q</w:t>
      </w:r>
      <w:r w:rsidR="007324C5">
        <w:rPr>
          <w:sz w:val="28"/>
          <w:szCs w:val="28"/>
          <w:lang w:val="en-US"/>
        </w:rPr>
        <w:t xml:space="preserve">uality is improving at the same time as quantity. The table lists the leading universities in the physical sciences side of STEM, </w:t>
      </w:r>
      <w:r w:rsidR="008A7E14">
        <w:rPr>
          <w:sz w:val="28"/>
          <w:szCs w:val="28"/>
          <w:lang w:val="en-US"/>
        </w:rPr>
        <w:t xml:space="preserve">a measured </w:t>
      </w:r>
      <w:r w:rsidR="007324C5">
        <w:rPr>
          <w:sz w:val="28"/>
          <w:szCs w:val="28"/>
          <w:lang w:val="en-US"/>
        </w:rPr>
        <w:t xml:space="preserve">by the number of </w:t>
      </w:r>
      <w:r w:rsidR="00D94710" w:rsidRPr="00DD66DA">
        <w:rPr>
          <w:sz w:val="28"/>
          <w:szCs w:val="28"/>
          <w:lang w:val="en-US"/>
        </w:rPr>
        <w:t xml:space="preserve">papers </w:t>
      </w:r>
      <w:r w:rsidR="008A7E14">
        <w:rPr>
          <w:sz w:val="28"/>
          <w:szCs w:val="28"/>
          <w:lang w:val="en-US"/>
        </w:rPr>
        <w:t>published in 2012-2015 in the</w:t>
      </w:r>
      <w:r>
        <w:rPr>
          <w:sz w:val="28"/>
          <w:szCs w:val="28"/>
          <w:lang w:val="en-US"/>
        </w:rPr>
        <w:t xml:space="preserve"> top 10 per cent of their field</w:t>
      </w:r>
      <w:r w:rsidR="008A7E14">
        <w:rPr>
          <w:sz w:val="28"/>
          <w:szCs w:val="28"/>
          <w:lang w:val="en-US"/>
        </w:rPr>
        <w:t>.</w:t>
      </w:r>
      <w:r w:rsidR="00D94710" w:rsidRPr="00DD66DA">
        <w:rPr>
          <w:sz w:val="28"/>
          <w:szCs w:val="28"/>
          <w:lang w:val="en-US"/>
        </w:rPr>
        <w:t xml:space="preserve"> China had </w:t>
      </w:r>
      <w:r w:rsidR="00D94710" w:rsidRPr="00DD66DA">
        <w:rPr>
          <w:i/>
          <w:sz w:val="28"/>
          <w:szCs w:val="28"/>
          <w:lang w:val="en-US"/>
        </w:rPr>
        <w:t>more than half the top 15</w:t>
      </w:r>
      <w:r w:rsidR="00D94710" w:rsidRPr="00DD66DA">
        <w:rPr>
          <w:sz w:val="28"/>
          <w:szCs w:val="28"/>
          <w:lang w:val="en-US"/>
        </w:rPr>
        <w:t xml:space="preserve"> universities in Mathematics and Computing. Tsinghua was well ahead in first place, with Singapore’s Nanyang University of Technology second. The highest placed American university, MIT was fifth. </w:t>
      </w:r>
      <w:r w:rsidR="00D94710" w:rsidRPr="00C9521C">
        <w:rPr>
          <w:sz w:val="28"/>
          <w:szCs w:val="28"/>
          <w:lang w:val="en-US"/>
        </w:rPr>
        <w:t xml:space="preserve">Physical Sciences and Engineering the US </w:t>
      </w:r>
      <w:r>
        <w:rPr>
          <w:sz w:val="28"/>
          <w:szCs w:val="28"/>
          <w:lang w:val="en-US"/>
        </w:rPr>
        <w:t xml:space="preserve">was stronger but both China and the US had </w:t>
      </w:r>
      <w:r w:rsidR="00D94710" w:rsidRPr="00C9521C">
        <w:rPr>
          <w:sz w:val="28"/>
          <w:szCs w:val="28"/>
          <w:lang w:val="en-US"/>
        </w:rPr>
        <w:t xml:space="preserve">five of the top 15. The two Singapore universities were in the top 15 in both clusters. </w:t>
      </w:r>
      <w:r w:rsidR="00D94710">
        <w:rPr>
          <w:sz w:val="28"/>
          <w:szCs w:val="28"/>
          <w:lang w:val="en-US"/>
        </w:rPr>
        <w:t xml:space="preserve">Has the world shifted and changed recently? You bet. </w:t>
      </w:r>
      <w:r w:rsidR="00D94710" w:rsidRPr="00C9521C">
        <w:rPr>
          <w:sz w:val="28"/>
          <w:szCs w:val="28"/>
          <w:lang w:val="en-US"/>
        </w:rPr>
        <w:t xml:space="preserve">When the two columns are aggregated </w:t>
      </w:r>
      <w:r w:rsidR="00D94710" w:rsidRPr="00C9521C">
        <w:rPr>
          <w:i/>
          <w:sz w:val="28"/>
          <w:szCs w:val="28"/>
          <w:lang w:val="en-US"/>
        </w:rPr>
        <w:t>Tsinghua just shades MIT as the world’s top STEM university</w:t>
      </w:r>
      <w:r w:rsidR="00D94710">
        <w:rPr>
          <w:sz w:val="28"/>
          <w:szCs w:val="28"/>
          <w:lang w:val="en-US"/>
        </w:rPr>
        <w:t xml:space="preserve">. China has very nearly caught up </w:t>
      </w:r>
      <w:r>
        <w:rPr>
          <w:sz w:val="28"/>
          <w:szCs w:val="28"/>
          <w:lang w:val="en-US"/>
        </w:rPr>
        <w:t>in STEM</w:t>
      </w:r>
      <w:r w:rsidR="00D94710">
        <w:rPr>
          <w:sz w:val="28"/>
          <w:szCs w:val="28"/>
          <w:lang w:val="en-US"/>
        </w:rPr>
        <w:t xml:space="preserve">. </w:t>
      </w:r>
      <w:r>
        <w:rPr>
          <w:sz w:val="28"/>
          <w:szCs w:val="28"/>
          <w:lang w:val="en-US"/>
        </w:rPr>
        <w:t xml:space="preserve">With its researchers publishing in a second language. </w:t>
      </w:r>
      <w:r w:rsidR="008A7E14">
        <w:rPr>
          <w:sz w:val="28"/>
          <w:szCs w:val="28"/>
          <w:lang w:val="en-US"/>
        </w:rPr>
        <w:t xml:space="preserve">However, that China is not as strong in biological sciences and </w:t>
      </w:r>
      <w:r w:rsidR="00D94710">
        <w:rPr>
          <w:sz w:val="28"/>
          <w:szCs w:val="28"/>
          <w:lang w:val="en-US"/>
        </w:rPr>
        <w:t>medicine</w:t>
      </w:r>
      <w:r w:rsidR="008A7E14">
        <w:rPr>
          <w:sz w:val="28"/>
          <w:szCs w:val="28"/>
          <w:lang w:val="en-US"/>
        </w:rPr>
        <w:t>.</w:t>
      </w:r>
      <w:r w:rsidR="00D94710">
        <w:rPr>
          <w:rStyle w:val="FootnoteReference"/>
          <w:sz w:val="28"/>
          <w:szCs w:val="28"/>
          <w:lang w:val="en-US"/>
        </w:rPr>
        <w:footnoteReference w:id="38"/>
      </w:r>
    </w:p>
    <w:p w14:paraId="66A94C7C" w14:textId="77777777" w:rsidR="0084405D" w:rsidRDefault="0084405D" w:rsidP="00BE2779">
      <w:pPr>
        <w:spacing w:line="288" w:lineRule="auto"/>
        <w:rPr>
          <w:sz w:val="28"/>
          <w:szCs w:val="28"/>
        </w:rPr>
      </w:pPr>
    </w:p>
    <w:p w14:paraId="2AAA8698" w14:textId="56056914" w:rsidR="0084405D" w:rsidRDefault="0084405D" w:rsidP="00BE2779">
      <w:pPr>
        <w:spacing w:line="288" w:lineRule="auto"/>
        <w:rPr>
          <w:sz w:val="28"/>
          <w:szCs w:val="28"/>
        </w:rPr>
      </w:pPr>
      <w:r>
        <w:rPr>
          <w:sz w:val="28"/>
          <w:szCs w:val="28"/>
        </w:rPr>
        <w:t>[</w:t>
      </w:r>
      <w:r w:rsidRPr="0084405D">
        <w:rPr>
          <w:sz w:val="28"/>
          <w:szCs w:val="28"/>
        </w:rPr>
        <w:t>COMBINING ALL HIGH CITATION PAPERS IN MATHS, COMPUTING, PHYSICAL SCIENCES, ENGINEERING, 2012-2015 (LEIDEN DATA</w:t>
      </w:r>
      <w:proofErr w:type="gramStart"/>
      <w:r w:rsidRPr="0084405D">
        <w:rPr>
          <w:sz w:val="28"/>
          <w:szCs w:val="28"/>
        </w:rPr>
        <w:t xml:space="preserve">) </w:t>
      </w:r>
      <w:r>
        <w:rPr>
          <w:sz w:val="28"/>
          <w:szCs w:val="28"/>
        </w:rPr>
        <w:t>]</w:t>
      </w:r>
      <w:proofErr w:type="gramEnd"/>
    </w:p>
    <w:p w14:paraId="289ACCEE" w14:textId="6AFA34AE" w:rsidR="00DB3C70" w:rsidRDefault="008A7E14" w:rsidP="00BE2779">
      <w:pPr>
        <w:spacing w:line="288" w:lineRule="auto"/>
        <w:rPr>
          <w:sz w:val="28"/>
          <w:szCs w:val="28"/>
        </w:rPr>
      </w:pPr>
      <w:r>
        <w:rPr>
          <w:sz w:val="28"/>
          <w:szCs w:val="28"/>
        </w:rPr>
        <w:t>Of universities from the English-speaking countries, the Australians were the first into China</w:t>
      </w:r>
      <w:r w:rsidR="00F675F7">
        <w:rPr>
          <w:sz w:val="28"/>
          <w:szCs w:val="28"/>
        </w:rPr>
        <w:t>. S</w:t>
      </w:r>
      <w:r>
        <w:rPr>
          <w:sz w:val="28"/>
          <w:szCs w:val="28"/>
        </w:rPr>
        <w:t>ome have developed formidable practical expertise</w:t>
      </w:r>
      <w:r w:rsidR="00F675F7">
        <w:rPr>
          <w:sz w:val="28"/>
          <w:szCs w:val="28"/>
        </w:rPr>
        <w:t>.</w:t>
      </w:r>
      <w:r>
        <w:rPr>
          <w:sz w:val="28"/>
          <w:szCs w:val="28"/>
        </w:rPr>
        <w:t xml:space="preserve"> Large initiatives such as the combined Monash-South Eastern University graduate school, and the University of New South Wales’s Torch project, supported by the Chinese government, will have long term effects. </w:t>
      </w:r>
      <w:r w:rsidR="0042330B">
        <w:rPr>
          <w:sz w:val="28"/>
          <w:szCs w:val="28"/>
        </w:rPr>
        <w:t>In their work in the Asian region the</w:t>
      </w:r>
      <w:r>
        <w:rPr>
          <w:sz w:val="28"/>
          <w:szCs w:val="28"/>
        </w:rPr>
        <w:t xml:space="preserve"> universities have moved out ahead of </w:t>
      </w:r>
      <w:r w:rsidR="0042330B">
        <w:rPr>
          <w:sz w:val="28"/>
          <w:szCs w:val="28"/>
        </w:rPr>
        <w:t xml:space="preserve">Australia to an extent. </w:t>
      </w:r>
      <w:r w:rsidR="00DB3C70">
        <w:rPr>
          <w:sz w:val="28"/>
          <w:szCs w:val="28"/>
        </w:rPr>
        <w:t xml:space="preserve">In turn </w:t>
      </w:r>
      <w:r w:rsidR="00E256E8">
        <w:rPr>
          <w:sz w:val="28"/>
          <w:szCs w:val="28"/>
        </w:rPr>
        <w:t>this</w:t>
      </w:r>
      <w:r w:rsidR="00DB3C70">
        <w:rPr>
          <w:sz w:val="28"/>
          <w:szCs w:val="28"/>
        </w:rPr>
        <w:t xml:space="preserve"> has helped to bring Australia along. </w:t>
      </w:r>
    </w:p>
    <w:p w14:paraId="00D9B1EF" w14:textId="1EFE4A36" w:rsidR="006E15AB" w:rsidRDefault="0042330B" w:rsidP="00BE2779">
      <w:pPr>
        <w:spacing w:line="288" w:lineRule="auto"/>
        <w:ind w:firstLine="360"/>
        <w:rPr>
          <w:sz w:val="28"/>
          <w:szCs w:val="28"/>
        </w:rPr>
      </w:pPr>
      <w:r>
        <w:rPr>
          <w:sz w:val="28"/>
          <w:szCs w:val="28"/>
        </w:rPr>
        <w:t>The universit</w:t>
      </w:r>
      <w:r w:rsidR="00DB3C70">
        <w:rPr>
          <w:sz w:val="28"/>
          <w:szCs w:val="28"/>
        </w:rPr>
        <w:t>ies’</w:t>
      </w:r>
      <w:r>
        <w:rPr>
          <w:sz w:val="28"/>
          <w:szCs w:val="28"/>
        </w:rPr>
        <w:t xml:space="preserve"> Asian engagement is also subject to </w:t>
      </w:r>
      <w:r w:rsidR="00DB3C70">
        <w:rPr>
          <w:sz w:val="28"/>
          <w:szCs w:val="28"/>
        </w:rPr>
        <w:t xml:space="preserve">the </w:t>
      </w:r>
      <w:r>
        <w:rPr>
          <w:sz w:val="28"/>
          <w:szCs w:val="28"/>
        </w:rPr>
        <w:t xml:space="preserve">same limitations as </w:t>
      </w:r>
      <w:r w:rsidR="00E256E8">
        <w:rPr>
          <w:sz w:val="28"/>
          <w:szCs w:val="28"/>
        </w:rPr>
        <w:t>Australia’s general relationship</w:t>
      </w:r>
      <w:r>
        <w:rPr>
          <w:sz w:val="28"/>
          <w:szCs w:val="28"/>
        </w:rPr>
        <w:t xml:space="preserve"> </w:t>
      </w:r>
      <w:r w:rsidR="00E256E8">
        <w:rPr>
          <w:sz w:val="28"/>
          <w:szCs w:val="28"/>
        </w:rPr>
        <w:t>with</w:t>
      </w:r>
      <w:r>
        <w:rPr>
          <w:sz w:val="28"/>
          <w:szCs w:val="28"/>
        </w:rPr>
        <w:t xml:space="preserve"> the region</w:t>
      </w:r>
      <w:r w:rsidR="00D229F2">
        <w:rPr>
          <w:sz w:val="28"/>
          <w:szCs w:val="28"/>
        </w:rPr>
        <w:t xml:space="preserve">, </w:t>
      </w:r>
      <w:r w:rsidR="00DB3C70">
        <w:rPr>
          <w:sz w:val="28"/>
          <w:szCs w:val="28"/>
        </w:rPr>
        <w:t>to a lesser degree</w:t>
      </w:r>
      <w:r>
        <w:rPr>
          <w:sz w:val="28"/>
          <w:szCs w:val="28"/>
        </w:rPr>
        <w:t xml:space="preserve">. </w:t>
      </w:r>
      <w:r w:rsidR="00DB3C70">
        <w:rPr>
          <w:sz w:val="28"/>
          <w:szCs w:val="28"/>
        </w:rPr>
        <w:t xml:space="preserve">There are tendencies to focus on short-term returns </w:t>
      </w:r>
      <w:r w:rsidR="00D229F2">
        <w:rPr>
          <w:sz w:val="28"/>
          <w:szCs w:val="28"/>
        </w:rPr>
        <w:t>not</w:t>
      </w:r>
      <w:r w:rsidR="00DB3C70">
        <w:rPr>
          <w:sz w:val="28"/>
          <w:szCs w:val="28"/>
        </w:rPr>
        <w:t xml:space="preserve"> </w:t>
      </w:r>
      <w:r w:rsidR="00975856">
        <w:rPr>
          <w:sz w:val="28"/>
          <w:szCs w:val="28"/>
        </w:rPr>
        <w:t>long-term</w:t>
      </w:r>
      <w:r w:rsidR="00DB3C70">
        <w:rPr>
          <w:sz w:val="28"/>
          <w:szCs w:val="28"/>
        </w:rPr>
        <w:t xml:space="preserve"> relations</w:t>
      </w:r>
      <w:r w:rsidR="00E256E8">
        <w:rPr>
          <w:sz w:val="28"/>
          <w:szCs w:val="28"/>
        </w:rPr>
        <w:t>hips</w:t>
      </w:r>
      <w:r w:rsidR="00DB3C70">
        <w:rPr>
          <w:sz w:val="28"/>
          <w:szCs w:val="28"/>
        </w:rPr>
        <w:t xml:space="preserve">; to see East Asia as a commercial opportunity without regard for cultural engagement; </w:t>
      </w:r>
      <w:r w:rsidR="00DB3C70">
        <w:rPr>
          <w:sz w:val="28"/>
          <w:szCs w:val="28"/>
        </w:rPr>
        <w:lastRenderedPageBreak/>
        <w:t>and to under-estimate</w:t>
      </w:r>
      <w:r w:rsidR="00975856">
        <w:rPr>
          <w:sz w:val="28"/>
          <w:szCs w:val="28"/>
        </w:rPr>
        <w:t xml:space="preserve"> the importance of Asian languages, especially but not only Putonghua. </w:t>
      </w:r>
      <w:r w:rsidR="00914ADB">
        <w:rPr>
          <w:sz w:val="28"/>
          <w:szCs w:val="28"/>
        </w:rPr>
        <w:t>M</w:t>
      </w:r>
      <w:r w:rsidR="003876CC">
        <w:rPr>
          <w:sz w:val="28"/>
          <w:szCs w:val="28"/>
        </w:rPr>
        <w:t>uch of the</w:t>
      </w:r>
      <w:r w:rsidR="00937B63">
        <w:rPr>
          <w:sz w:val="28"/>
          <w:szCs w:val="28"/>
        </w:rPr>
        <w:t xml:space="preserve"> hard work </w:t>
      </w:r>
      <w:r w:rsidR="00914ADB">
        <w:rPr>
          <w:sz w:val="28"/>
          <w:szCs w:val="28"/>
        </w:rPr>
        <w:t xml:space="preserve">is </w:t>
      </w:r>
      <w:r w:rsidR="00E256E8">
        <w:rPr>
          <w:sz w:val="28"/>
          <w:szCs w:val="28"/>
        </w:rPr>
        <w:t xml:space="preserve">still </w:t>
      </w:r>
      <w:r w:rsidR="00914ADB">
        <w:rPr>
          <w:sz w:val="28"/>
          <w:szCs w:val="28"/>
        </w:rPr>
        <w:t>ahead</w:t>
      </w:r>
      <w:r w:rsidR="003876CC">
        <w:rPr>
          <w:sz w:val="28"/>
          <w:szCs w:val="28"/>
        </w:rPr>
        <w:t xml:space="preserve">. </w:t>
      </w:r>
    </w:p>
    <w:p w14:paraId="1472CD59" w14:textId="38A1B732" w:rsidR="00671005" w:rsidRDefault="00E256E8" w:rsidP="00BE2779">
      <w:pPr>
        <w:spacing w:line="288" w:lineRule="auto"/>
        <w:ind w:firstLine="360"/>
        <w:rPr>
          <w:sz w:val="28"/>
          <w:szCs w:val="28"/>
        </w:rPr>
      </w:pPr>
      <w:r>
        <w:rPr>
          <w:sz w:val="28"/>
          <w:szCs w:val="28"/>
        </w:rPr>
        <w:t xml:space="preserve">Geography is decisive in the long run. </w:t>
      </w:r>
      <w:r w:rsidR="006E15AB">
        <w:rPr>
          <w:sz w:val="28"/>
          <w:szCs w:val="28"/>
        </w:rPr>
        <w:t xml:space="preserve">The long-term encounter and hybridization between the Chinese civilizational zone and the Anglo-American-European zone is the </w:t>
      </w:r>
      <w:r w:rsidR="00914ADB">
        <w:rPr>
          <w:sz w:val="28"/>
          <w:szCs w:val="28"/>
        </w:rPr>
        <w:t xml:space="preserve">main </w:t>
      </w:r>
      <w:r w:rsidR="006E15AB">
        <w:rPr>
          <w:sz w:val="28"/>
          <w:szCs w:val="28"/>
        </w:rPr>
        <w:t xml:space="preserve">vector in which the future world society </w:t>
      </w:r>
      <w:r w:rsidR="000A6774">
        <w:rPr>
          <w:sz w:val="28"/>
          <w:szCs w:val="28"/>
        </w:rPr>
        <w:t xml:space="preserve">will </w:t>
      </w:r>
      <w:r w:rsidR="00447E9A">
        <w:rPr>
          <w:sz w:val="28"/>
          <w:szCs w:val="28"/>
        </w:rPr>
        <w:t>emerge</w:t>
      </w:r>
      <w:r w:rsidR="006E15AB">
        <w:rPr>
          <w:sz w:val="28"/>
          <w:szCs w:val="28"/>
        </w:rPr>
        <w:t xml:space="preserve">. India will also play a role which </w:t>
      </w:r>
      <w:proofErr w:type="gramStart"/>
      <w:r w:rsidR="006E15AB">
        <w:rPr>
          <w:sz w:val="28"/>
          <w:szCs w:val="28"/>
        </w:rPr>
        <w:t>as yet</w:t>
      </w:r>
      <w:proofErr w:type="gramEnd"/>
      <w:r w:rsidR="006E15AB">
        <w:rPr>
          <w:sz w:val="28"/>
          <w:szCs w:val="28"/>
        </w:rPr>
        <w:t xml:space="preserve"> is indeterminate. Australia’s own Europe/Asia tension and resolution </w:t>
      </w:r>
      <w:r w:rsidR="003944E6">
        <w:rPr>
          <w:sz w:val="28"/>
          <w:szCs w:val="28"/>
        </w:rPr>
        <w:t>are</w:t>
      </w:r>
      <w:r w:rsidR="006E15AB">
        <w:rPr>
          <w:sz w:val="28"/>
          <w:szCs w:val="28"/>
        </w:rPr>
        <w:t xml:space="preserve"> a sub-set of the larger problem</w:t>
      </w:r>
      <w:r w:rsidR="00914ADB">
        <w:rPr>
          <w:sz w:val="28"/>
          <w:szCs w:val="28"/>
        </w:rPr>
        <w:t>. S</w:t>
      </w:r>
      <w:r w:rsidR="006E15AB">
        <w:rPr>
          <w:sz w:val="28"/>
          <w:szCs w:val="28"/>
        </w:rPr>
        <w:t xml:space="preserve">ome of the issues </w:t>
      </w:r>
      <w:r>
        <w:rPr>
          <w:sz w:val="28"/>
          <w:szCs w:val="28"/>
        </w:rPr>
        <w:t xml:space="preserve">are arising </w:t>
      </w:r>
      <w:r w:rsidR="00914ADB">
        <w:rPr>
          <w:sz w:val="28"/>
          <w:szCs w:val="28"/>
        </w:rPr>
        <w:t>earlier</w:t>
      </w:r>
      <w:r w:rsidR="006E15AB">
        <w:rPr>
          <w:sz w:val="28"/>
          <w:szCs w:val="28"/>
        </w:rPr>
        <w:t xml:space="preserve"> here. </w:t>
      </w:r>
      <w:r>
        <w:rPr>
          <w:sz w:val="28"/>
          <w:szCs w:val="28"/>
        </w:rPr>
        <w:t xml:space="preserve">That’s a potential advantage. </w:t>
      </w:r>
      <w:r w:rsidR="006E15AB">
        <w:rPr>
          <w:sz w:val="28"/>
          <w:szCs w:val="28"/>
        </w:rPr>
        <w:t>The East/West sensibility that Australians acquire could equip them to play a larger global role</w:t>
      </w:r>
      <w:r w:rsidR="00813050">
        <w:rPr>
          <w:sz w:val="28"/>
          <w:szCs w:val="28"/>
        </w:rPr>
        <w:t>—</w:t>
      </w:r>
      <w:r w:rsidR="00813050" w:rsidRPr="00813050">
        <w:rPr>
          <w:i/>
          <w:sz w:val="28"/>
          <w:szCs w:val="28"/>
        </w:rPr>
        <w:t>if</w:t>
      </w:r>
      <w:r w:rsidR="003944E6">
        <w:rPr>
          <w:sz w:val="28"/>
          <w:szCs w:val="28"/>
        </w:rPr>
        <w:t xml:space="preserve"> they do </w:t>
      </w:r>
      <w:r w:rsidR="00914ADB">
        <w:rPr>
          <w:sz w:val="28"/>
          <w:szCs w:val="28"/>
        </w:rPr>
        <w:t xml:space="preserve">engage fully </w:t>
      </w:r>
      <w:r>
        <w:rPr>
          <w:sz w:val="28"/>
          <w:szCs w:val="28"/>
        </w:rPr>
        <w:t xml:space="preserve">in East Asia </w:t>
      </w:r>
      <w:r w:rsidR="00914ADB">
        <w:rPr>
          <w:sz w:val="28"/>
          <w:szCs w:val="28"/>
        </w:rPr>
        <w:t xml:space="preserve">and </w:t>
      </w:r>
      <w:r>
        <w:rPr>
          <w:sz w:val="28"/>
          <w:szCs w:val="28"/>
        </w:rPr>
        <w:t>build a partly hybridized outlook</w:t>
      </w:r>
      <w:r w:rsidR="00914ADB">
        <w:rPr>
          <w:sz w:val="28"/>
          <w:szCs w:val="28"/>
        </w:rPr>
        <w:t xml:space="preserve">. </w:t>
      </w:r>
      <w:r>
        <w:rPr>
          <w:sz w:val="28"/>
          <w:szCs w:val="28"/>
        </w:rPr>
        <w:t>T</w:t>
      </w:r>
      <w:r w:rsidR="006E15AB">
        <w:rPr>
          <w:sz w:val="28"/>
          <w:szCs w:val="28"/>
        </w:rPr>
        <w:t>h</w:t>
      </w:r>
      <w:r w:rsidR="003876CC">
        <w:rPr>
          <w:sz w:val="28"/>
          <w:szCs w:val="28"/>
        </w:rPr>
        <w:t xml:space="preserve">e </w:t>
      </w:r>
      <w:r w:rsidR="00813050">
        <w:rPr>
          <w:sz w:val="28"/>
          <w:szCs w:val="28"/>
        </w:rPr>
        <w:t>universities are essential to that</w:t>
      </w:r>
      <w:r>
        <w:rPr>
          <w:sz w:val="28"/>
          <w:szCs w:val="28"/>
        </w:rPr>
        <w:t xml:space="preserve"> national project</w:t>
      </w:r>
      <w:r w:rsidR="00813050">
        <w:rPr>
          <w:sz w:val="28"/>
          <w:szCs w:val="28"/>
        </w:rPr>
        <w:t xml:space="preserve">. </w:t>
      </w:r>
      <w:r>
        <w:rPr>
          <w:sz w:val="28"/>
          <w:szCs w:val="28"/>
        </w:rPr>
        <w:t>But</w:t>
      </w:r>
      <w:r w:rsidR="003876CC">
        <w:rPr>
          <w:sz w:val="28"/>
          <w:szCs w:val="28"/>
        </w:rPr>
        <w:t xml:space="preserve"> </w:t>
      </w:r>
      <w:r w:rsidR="006E15AB">
        <w:rPr>
          <w:sz w:val="28"/>
          <w:szCs w:val="28"/>
        </w:rPr>
        <w:t xml:space="preserve">do the universities </w:t>
      </w:r>
      <w:r>
        <w:rPr>
          <w:sz w:val="28"/>
          <w:szCs w:val="28"/>
        </w:rPr>
        <w:t xml:space="preserve">contain </w:t>
      </w:r>
      <w:r w:rsidR="006E15AB">
        <w:rPr>
          <w:sz w:val="28"/>
          <w:szCs w:val="28"/>
        </w:rPr>
        <w:t xml:space="preserve">sufficient originality and independence of thought to contribute </w:t>
      </w:r>
      <w:r w:rsidR="00813050">
        <w:rPr>
          <w:sz w:val="28"/>
          <w:szCs w:val="28"/>
        </w:rPr>
        <w:t xml:space="preserve">to </w:t>
      </w:r>
      <w:r w:rsidR="006E15AB">
        <w:rPr>
          <w:sz w:val="28"/>
          <w:szCs w:val="28"/>
        </w:rPr>
        <w:t>a new kind of nation at the forefront of historical change?</w:t>
      </w:r>
      <w:r w:rsidR="00914ADB">
        <w:rPr>
          <w:sz w:val="28"/>
          <w:szCs w:val="28"/>
        </w:rPr>
        <w:t xml:space="preserve"> That’s ‘how good’ Australia</w:t>
      </w:r>
      <w:r w:rsidR="00813050">
        <w:rPr>
          <w:sz w:val="28"/>
          <w:szCs w:val="28"/>
        </w:rPr>
        <w:t xml:space="preserve"> need </w:t>
      </w:r>
      <w:r w:rsidR="00914ADB">
        <w:rPr>
          <w:sz w:val="28"/>
          <w:szCs w:val="28"/>
        </w:rPr>
        <w:t>its</w:t>
      </w:r>
      <w:r w:rsidR="00813050">
        <w:rPr>
          <w:sz w:val="28"/>
          <w:szCs w:val="28"/>
        </w:rPr>
        <w:t xml:space="preserve"> universities to be. </w:t>
      </w:r>
    </w:p>
    <w:p w14:paraId="51810C5A" w14:textId="77777777" w:rsidR="00671005" w:rsidRDefault="00671005" w:rsidP="00BE2779">
      <w:pPr>
        <w:spacing w:line="288" w:lineRule="auto"/>
        <w:rPr>
          <w:sz w:val="28"/>
          <w:szCs w:val="28"/>
        </w:rPr>
      </w:pPr>
    </w:p>
    <w:p w14:paraId="289D0B85" w14:textId="2BCFAC55" w:rsidR="0084405D" w:rsidRDefault="0084405D" w:rsidP="00BE2779">
      <w:pPr>
        <w:spacing w:line="288" w:lineRule="auto"/>
        <w:rPr>
          <w:sz w:val="28"/>
          <w:szCs w:val="28"/>
        </w:rPr>
      </w:pPr>
      <w:r>
        <w:rPr>
          <w:sz w:val="28"/>
          <w:szCs w:val="28"/>
        </w:rPr>
        <w:t>[CONCLUDING THOUGHTS]</w:t>
      </w:r>
    </w:p>
    <w:p w14:paraId="631A638E" w14:textId="60BCC9FB" w:rsidR="00671005" w:rsidRDefault="00E5768C" w:rsidP="00BE2779">
      <w:pPr>
        <w:spacing w:line="288" w:lineRule="auto"/>
        <w:rPr>
          <w:sz w:val="28"/>
          <w:szCs w:val="28"/>
        </w:rPr>
      </w:pPr>
      <w:r>
        <w:rPr>
          <w:sz w:val="28"/>
          <w:szCs w:val="28"/>
        </w:rPr>
        <w:t xml:space="preserve">In summary, how good are Australian universities? </w:t>
      </w:r>
      <w:r w:rsidR="00BF3C3C">
        <w:rPr>
          <w:sz w:val="28"/>
          <w:szCs w:val="28"/>
        </w:rPr>
        <w:t>They are large, often multi-site, compr</w:t>
      </w:r>
      <w:r w:rsidR="00093B47">
        <w:rPr>
          <w:sz w:val="28"/>
          <w:szCs w:val="28"/>
        </w:rPr>
        <w:t>ehensive and internally diverse. T</w:t>
      </w:r>
      <w:r w:rsidR="00BF3C3C">
        <w:rPr>
          <w:sz w:val="28"/>
          <w:szCs w:val="28"/>
        </w:rPr>
        <w:t xml:space="preserve">his allows them to take on multiple roles. </w:t>
      </w:r>
      <w:r w:rsidR="00FB561A">
        <w:rPr>
          <w:sz w:val="28"/>
          <w:szCs w:val="28"/>
        </w:rPr>
        <w:t xml:space="preserve">They are </w:t>
      </w:r>
      <w:r w:rsidR="00093B47">
        <w:rPr>
          <w:sz w:val="28"/>
          <w:szCs w:val="28"/>
        </w:rPr>
        <w:t xml:space="preserve">very </w:t>
      </w:r>
      <w:r w:rsidR="00FB561A">
        <w:rPr>
          <w:sz w:val="28"/>
          <w:szCs w:val="28"/>
        </w:rPr>
        <w:t>good at managing large international student intakes from Asia</w:t>
      </w:r>
      <w:r w:rsidR="00093B47">
        <w:rPr>
          <w:sz w:val="28"/>
          <w:szCs w:val="28"/>
        </w:rPr>
        <w:t>, at least on the servicing side</w:t>
      </w:r>
      <w:r w:rsidR="00FB561A">
        <w:rPr>
          <w:sz w:val="28"/>
          <w:szCs w:val="28"/>
        </w:rPr>
        <w:t xml:space="preserve">. </w:t>
      </w:r>
      <w:r w:rsidR="00093B47">
        <w:rPr>
          <w:sz w:val="28"/>
          <w:szCs w:val="28"/>
        </w:rPr>
        <w:t>(The educational side is less clear). Some</w:t>
      </w:r>
      <w:r w:rsidR="00CF6B5E">
        <w:rPr>
          <w:sz w:val="28"/>
          <w:szCs w:val="28"/>
        </w:rPr>
        <w:t xml:space="preserve"> Australian universities have developed deep expertise in </w:t>
      </w:r>
      <w:r w:rsidR="00093B47">
        <w:rPr>
          <w:sz w:val="28"/>
          <w:szCs w:val="28"/>
        </w:rPr>
        <w:t xml:space="preserve">relation to </w:t>
      </w:r>
      <w:r w:rsidR="00CF6B5E">
        <w:rPr>
          <w:sz w:val="28"/>
          <w:szCs w:val="28"/>
        </w:rPr>
        <w:t xml:space="preserve">China. </w:t>
      </w:r>
      <w:proofErr w:type="gramStart"/>
      <w:r>
        <w:rPr>
          <w:sz w:val="28"/>
          <w:szCs w:val="28"/>
        </w:rPr>
        <w:t>On the whole</w:t>
      </w:r>
      <w:proofErr w:type="gramEnd"/>
      <w:r>
        <w:rPr>
          <w:sz w:val="28"/>
          <w:szCs w:val="28"/>
        </w:rPr>
        <w:t xml:space="preserve">, </w:t>
      </w:r>
      <w:r w:rsidR="00FB561A">
        <w:rPr>
          <w:sz w:val="28"/>
          <w:szCs w:val="28"/>
        </w:rPr>
        <w:t>Australian</w:t>
      </w:r>
      <w:r w:rsidR="00BF3C3C">
        <w:rPr>
          <w:sz w:val="28"/>
          <w:szCs w:val="28"/>
        </w:rPr>
        <w:t xml:space="preserve"> universities</w:t>
      </w:r>
      <w:r>
        <w:rPr>
          <w:sz w:val="28"/>
          <w:szCs w:val="28"/>
        </w:rPr>
        <w:t xml:space="preserve"> </w:t>
      </w:r>
      <w:r w:rsidR="00093B47">
        <w:rPr>
          <w:sz w:val="28"/>
          <w:szCs w:val="28"/>
        </w:rPr>
        <w:t>very well led and managed</w:t>
      </w:r>
      <w:r w:rsidR="002B3E4D">
        <w:rPr>
          <w:sz w:val="28"/>
          <w:szCs w:val="28"/>
        </w:rPr>
        <w:t>,</w:t>
      </w:r>
      <w:r>
        <w:rPr>
          <w:sz w:val="28"/>
          <w:szCs w:val="28"/>
        </w:rPr>
        <w:t xml:space="preserve"> and </w:t>
      </w:r>
      <w:r w:rsidR="00FB561A">
        <w:rPr>
          <w:sz w:val="28"/>
          <w:szCs w:val="28"/>
        </w:rPr>
        <w:t xml:space="preserve">tend to </w:t>
      </w:r>
      <w:r>
        <w:rPr>
          <w:sz w:val="28"/>
          <w:szCs w:val="28"/>
        </w:rPr>
        <w:t xml:space="preserve">make the most of their </w:t>
      </w:r>
      <w:r w:rsidR="00FB561A">
        <w:rPr>
          <w:sz w:val="28"/>
          <w:szCs w:val="28"/>
        </w:rPr>
        <w:t>capacity, insofar as universities ever do that</w:t>
      </w:r>
      <w:r>
        <w:rPr>
          <w:sz w:val="28"/>
          <w:szCs w:val="28"/>
        </w:rPr>
        <w:t xml:space="preserve">. </w:t>
      </w:r>
      <w:r w:rsidR="00FB561A">
        <w:rPr>
          <w:sz w:val="28"/>
          <w:szCs w:val="28"/>
        </w:rPr>
        <w:t>Australia has</w:t>
      </w:r>
      <w:r>
        <w:rPr>
          <w:sz w:val="28"/>
          <w:szCs w:val="28"/>
        </w:rPr>
        <w:t xml:space="preserve"> 23 universities</w:t>
      </w:r>
      <w:r w:rsidR="00FB561A">
        <w:rPr>
          <w:sz w:val="28"/>
          <w:szCs w:val="28"/>
        </w:rPr>
        <w:t xml:space="preserve"> in the world top 500</w:t>
      </w:r>
      <w:r>
        <w:rPr>
          <w:sz w:val="28"/>
          <w:szCs w:val="28"/>
        </w:rPr>
        <w:t>, exceptional given the size of the count</w:t>
      </w:r>
      <w:r w:rsidR="00093B47">
        <w:rPr>
          <w:sz w:val="28"/>
          <w:szCs w:val="28"/>
        </w:rPr>
        <w:t>r</w:t>
      </w:r>
      <w:r>
        <w:rPr>
          <w:sz w:val="28"/>
          <w:szCs w:val="28"/>
        </w:rPr>
        <w:t xml:space="preserve">y. </w:t>
      </w:r>
      <w:r w:rsidR="00FB561A">
        <w:rPr>
          <w:sz w:val="28"/>
          <w:szCs w:val="28"/>
        </w:rPr>
        <w:t xml:space="preserve">There is </w:t>
      </w:r>
      <w:r>
        <w:rPr>
          <w:sz w:val="28"/>
          <w:szCs w:val="28"/>
        </w:rPr>
        <w:t xml:space="preserve">a large robust </w:t>
      </w:r>
      <w:r w:rsidR="002B3E4D">
        <w:rPr>
          <w:sz w:val="28"/>
          <w:szCs w:val="28"/>
        </w:rPr>
        <w:t xml:space="preserve">group of </w:t>
      </w:r>
      <w:r>
        <w:rPr>
          <w:sz w:val="28"/>
          <w:szCs w:val="28"/>
        </w:rPr>
        <w:t xml:space="preserve">second tier </w:t>
      </w:r>
      <w:r w:rsidR="002B3E4D">
        <w:rPr>
          <w:sz w:val="28"/>
          <w:szCs w:val="28"/>
        </w:rPr>
        <w:t>universities</w:t>
      </w:r>
      <w:r>
        <w:rPr>
          <w:sz w:val="28"/>
          <w:szCs w:val="28"/>
        </w:rPr>
        <w:t xml:space="preserve"> that bring research-informed degrees to a broad segment of the Australian population. </w:t>
      </w:r>
      <w:r w:rsidR="00D86EB7">
        <w:rPr>
          <w:sz w:val="28"/>
          <w:szCs w:val="28"/>
        </w:rPr>
        <w:t xml:space="preserve">The universities </w:t>
      </w:r>
      <w:r>
        <w:rPr>
          <w:sz w:val="28"/>
          <w:szCs w:val="28"/>
        </w:rPr>
        <w:t>harbour</w:t>
      </w:r>
      <w:r w:rsidR="002B3E4D">
        <w:rPr>
          <w:sz w:val="28"/>
          <w:szCs w:val="28"/>
        </w:rPr>
        <w:t xml:space="preserve"> pockets of high </w:t>
      </w:r>
      <w:r w:rsidR="00093B47">
        <w:rPr>
          <w:sz w:val="28"/>
          <w:szCs w:val="28"/>
        </w:rPr>
        <w:t xml:space="preserve">global </w:t>
      </w:r>
      <w:r w:rsidR="002B3E4D">
        <w:rPr>
          <w:sz w:val="28"/>
          <w:szCs w:val="28"/>
        </w:rPr>
        <w:t>excellence</w:t>
      </w:r>
      <w:r>
        <w:rPr>
          <w:sz w:val="28"/>
          <w:szCs w:val="28"/>
        </w:rPr>
        <w:t xml:space="preserve"> </w:t>
      </w:r>
      <w:r w:rsidR="002B3E4D">
        <w:rPr>
          <w:sz w:val="28"/>
          <w:szCs w:val="28"/>
        </w:rPr>
        <w:t xml:space="preserve">in </w:t>
      </w:r>
      <w:r w:rsidR="00605FE1">
        <w:rPr>
          <w:sz w:val="28"/>
          <w:szCs w:val="28"/>
        </w:rPr>
        <w:t xml:space="preserve">certain </w:t>
      </w:r>
      <w:r>
        <w:rPr>
          <w:sz w:val="28"/>
          <w:szCs w:val="28"/>
        </w:rPr>
        <w:t>sub-fields in research</w:t>
      </w:r>
      <w:r w:rsidR="00093B47">
        <w:rPr>
          <w:sz w:val="28"/>
          <w:szCs w:val="28"/>
        </w:rPr>
        <w:t xml:space="preserve">, including plant and animal research, </w:t>
      </w:r>
      <w:r w:rsidR="00D86EB7">
        <w:rPr>
          <w:sz w:val="28"/>
          <w:szCs w:val="28"/>
        </w:rPr>
        <w:t>medicine</w:t>
      </w:r>
      <w:r w:rsidR="00093B47">
        <w:rPr>
          <w:sz w:val="28"/>
          <w:szCs w:val="28"/>
        </w:rPr>
        <w:t>, related biological sciences</w:t>
      </w:r>
      <w:r w:rsidR="00D86EB7">
        <w:rPr>
          <w:sz w:val="28"/>
          <w:szCs w:val="28"/>
        </w:rPr>
        <w:t xml:space="preserve"> and earth sciences. F</w:t>
      </w:r>
      <w:r>
        <w:rPr>
          <w:sz w:val="28"/>
          <w:szCs w:val="28"/>
        </w:rPr>
        <w:t>ield by field citation quality is less consistent</w:t>
      </w:r>
      <w:r w:rsidR="00EF296B">
        <w:rPr>
          <w:sz w:val="28"/>
          <w:szCs w:val="28"/>
        </w:rPr>
        <w:t xml:space="preserve"> </w:t>
      </w:r>
      <w:r>
        <w:rPr>
          <w:sz w:val="28"/>
          <w:szCs w:val="28"/>
        </w:rPr>
        <w:t xml:space="preserve">than in Canada, the UK and smaller </w:t>
      </w:r>
      <w:r w:rsidR="00D86EB7">
        <w:rPr>
          <w:sz w:val="28"/>
          <w:szCs w:val="28"/>
        </w:rPr>
        <w:t xml:space="preserve">systems in </w:t>
      </w:r>
      <w:proofErr w:type="spellStart"/>
      <w:r>
        <w:rPr>
          <w:sz w:val="28"/>
          <w:szCs w:val="28"/>
        </w:rPr>
        <w:t>Northwestern</w:t>
      </w:r>
      <w:proofErr w:type="spellEnd"/>
      <w:r>
        <w:rPr>
          <w:sz w:val="28"/>
          <w:szCs w:val="28"/>
        </w:rPr>
        <w:t xml:space="preserve"> Europe. </w:t>
      </w:r>
    </w:p>
    <w:p w14:paraId="2392D11B" w14:textId="1CF5C4DF" w:rsidR="00EF0A5C" w:rsidRDefault="00D86EB7" w:rsidP="00BE2779">
      <w:pPr>
        <w:spacing w:line="288" w:lineRule="auto"/>
        <w:rPr>
          <w:sz w:val="28"/>
          <w:szCs w:val="28"/>
        </w:rPr>
      </w:pPr>
      <w:r>
        <w:rPr>
          <w:sz w:val="28"/>
          <w:szCs w:val="28"/>
        </w:rPr>
        <w:tab/>
      </w:r>
      <w:r w:rsidR="00A53A89">
        <w:rPr>
          <w:sz w:val="28"/>
          <w:szCs w:val="28"/>
        </w:rPr>
        <w:t>T</w:t>
      </w:r>
      <w:r w:rsidR="00F650E3">
        <w:rPr>
          <w:sz w:val="28"/>
          <w:szCs w:val="28"/>
        </w:rPr>
        <w:t xml:space="preserve">he </w:t>
      </w:r>
      <w:r w:rsidR="00187E30">
        <w:rPr>
          <w:sz w:val="28"/>
          <w:szCs w:val="28"/>
        </w:rPr>
        <w:t>weaker</w:t>
      </w:r>
      <w:r w:rsidR="00F650E3">
        <w:rPr>
          <w:sz w:val="28"/>
          <w:szCs w:val="28"/>
        </w:rPr>
        <w:t xml:space="preserve"> features of Australian universities </w:t>
      </w:r>
      <w:r w:rsidR="00A53A89">
        <w:rPr>
          <w:sz w:val="28"/>
          <w:szCs w:val="28"/>
        </w:rPr>
        <w:t>are the reverse of</w:t>
      </w:r>
      <w:r w:rsidR="00F650E3">
        <w:rPr>
          <w:sz w:val="28"/>
          <w:szCs w:val="28"/>
        </w:rPr>
        <w:t xml:space="preserve"> </w:t>
      </w:r>
      <w:proofErr w:type="spellStart"/>
      <w:r w:rsidR="00F650E3">
        <w:rPr>
          <w:sz w:val="28"/>
          <w:szCs w:val="28"/>
        </w:rPr>
        <w:t>thestrengths</w:t>
      </w:r>
      <w:proofErr w:type="spellEnd"/>
      <w:r w:rsidR="00F650E3">
        <w:rPr>
          <w:sz w:val="28"/>
          <w:szCs w:val="28"/>
        </w:rPr>
        <w:t xml:space="preserve">. </w:t>
      </w:r>
      <w:r w:rsidR="00CF6B5E">
        <w:rPr>
          <w:sz w:val="28"/>
          <w:szCs w:val="28"/>
        </w:rPr>
        <w:t xml:space="preserve">Outgoing student mobility is </w:t>
      </w:r>
      <w:r w:rsidR="00187E30">
        <w:rPr>
          <w:sz w:val="28"/>
          <w:szCs w:val="28"/>
        </w:rPr>
        <w:t>abysmal</w:t>
      </w:r>
      <w:r w:rsidR="00CF6B5E">
        <w:rPr>
          <w:sz w:val="28"/>
          <w:szCs w:val="28"/>
        </w:rPr>
        <w:t xml:space="preserve"> and the ratio of incoming to outgoing students is the highest in the OECD. </w:t>
      </w:r>
      <w:r w:rsidR="00F650E3">
        <w:rPr>
          <w:sz w:val="28"/>
          <w:szCs w:val="28"/>
        </w:rPr>
        <w:t xml:space="preserve">The uniformity in institutional mission, structure and culture, though </w:t>
      </w:r>
      <w:proofErr w:type="gramStart"/>
      <w:r w:rsidR="00CF6B5E">
        <w:rPr>
          <w:sz w:val="28"/>
          <w:szCs w:val="28"/>
        </w:rPr>
        <w:t>similar to</w:t>
      </w:r>
      <w:proofErr w:type="gramEnd"/>
      <w:r w:rsidR="00F650E3">
        <w:rPr>
          <w:sz w:val="28"/>
          <w:szCs w:val="28"/>
        </w:rPr>
        <w:t xml:space="preserve"> Australian public provision in </w:t>
      </w:r>
      <w:r w:rsidR="00F650E3">
        <w:rPr>
          <w:sz w:val="28"/>
          <w:szCs w:val="28"/>
        </w:rPr>
        <w:lastRenderedPageBreak/>
        <w:t>other spheres</w:t>
      </w:r>
      <w:r w:rsidR="00CF6B5E">
        <w:rPr>
          <w:sz w:val="28"/>
          <w:szCs w:val="28"/>
        </w:rPr>
        <w:t>, is unique in the higher education world</w:t>
      </w:r>
      <w:r w:rsidR="00187E30">
        <w:rPr>
          <w:sz w:val="28"/>
          <w:szCs w:val="28"/>
        </w:rPr>
        <w:t>. The</w:t>
      </w:r>
      <w:r w:rsidR="00CF6B5E">
        <w:rPr>
          <w:sz w:val="28"/>
          <w:szCs w:val="28"/>
        </w:rPr>
        <w:t xml:space="preserve"> absence of diversity</w:t>
      </w:r>
      <w:r w:rsidR="00187E30">
        <w:rPr>
          <w:sz w:val="28"/>
          <w:szCs w:val="28"/>
        </w:rPr>
        <w:t>, particularly specialist public institutions,</w:t>
      </w:r>
      <w:r w:rsidR="00CF6B5E">
        <w:rPr>
          <w:sz w:val="28"/>
          <w:szCs w:val="28"/>
        </w:rPr>
        <w:t xml:space="preserve"> </w:t>
      </w:r>
      <w:r w:rsidR="00187E30">
        <w:rPr>
          <w:sz w:val="28"/>
          <w:szCs w:val="28"/>
        </w:rPr>
        <w:t>is</w:t>
      </w:r>
      <w:r w:rsidR="00CF6B5E">
        <w:rPr>
          <w:sz w:val="28"/>
          <w:szCs w:val="28"/>
        </w:rPr>
        <w:t xml:space="preserve"> a serious weak</w:t>
      </w:r>
      <w:r w:rsidR="00187E30">
        <w:rPr>
          <w:sz w:val="28"/>
          <w:szCs w:val="28"/>
        </w:rPr>
        <w:t>ness</w:t>
      </w:r>
      <w:r w:rsidR="00CF6B5E">
        <w:rPr>
          <w:sz w:val="28"/>
          <w:szCs w:val="28"/>
        </w:rPr>
        <w:t xml:space="preserve">. </w:t>
      </w:r>
      <w:r w:rsidR="002B3E4D">
        <w:rPr>
          <w:sz w:val="28"/>
          <w:szCs w:val="28"/>
        </w:rPr>
        <w:t>M</w:t>
      </w:r>
      <w:r w:rsidR="00CF6B5E">
        <w:rPr>
          <w:sz w:val="28"/>
          <w:szCs w:val="28"/>
        </w:rPr>
        <w:t xml:space="preserve">arket competition and government policy and regulation </w:t>
      </w:r>
      <w:r w:rsidR="002B3E4D">
        <w:rPr>
          <w:sz w:val="28"/>
          <w:szCs w:val="28"/>
        </w:rPr>
        <w:t xml:space="preserve">both </w:t>
      </w:r>
      <w:r w:rsidR="00CF6B5E">
        <w:rPr>
          <w:sz w:val="28"/>
          <w:szCs w:val="28"/>
        </w:rPr>
        <w:t xml:space="preserve">foster uniformity. In addition, the system settings flatten the leading universities somewhat. Australia has only one top 40 university. Below the large middle group in the second tier there is a long tail of institutions that are nominally research universities but have modest evidence for the claim. </w:t>
      </w:r>
      <w:proofErr w:type="gramStart"/>
      <w:r w:rsidR="00CF6B5E">
        <w:rPr>
          <w:sz w:val="28"/>
          <w:szCs w:val="28"/>
        </w:rPr>
        <w:t>On the whole</w:t>
      </w:r>
      <w:proofErr w:type="gramEnd"/>
      <w:r w:rsidR="00CF6B5E">
        <w:rPr>
          <w:sz w:val="28"/>
          <w:szCs w:val="28"/>
        </w:rPr>
        <w:t xml:space="preserve">, </w:t>
      </w:r>
      <w:r w:rsidR="006D5E44">
        <w:rPr>
          <w:sz w:val="28"/>
          <w:szCs w:val="28"/>
        </w:rPr>
        <w:t xml:space="preserve">in comparative terms, academic cultures </w:t>
      </w:r>
      <w:r w:rsidR="00CF6B5E">
        <w:rPr>
          <w:sz w:val="28"/>
          <w:szCs w:val="28"/>
        </w:rPr>
        <w:t>in Aust</w:t>
      </w:r>
      <w:r w:rsidR="006D5E44">
        <w:rPr>
          <w:sz w:val="28"/>
          <w:szCs w:val="28"/>
        </w:rPr>
        <w:t xml:space="preserve">ralian universities </w:t>
      </w:r>
      <w:r w:rsidR="00CF6B5E">
        <w:rPr>
          <w:sz w:val="28"/>
          <w:szCs w:val="28"/>
        </w:rPr>
        <w:t xml:space="preserve">may be less strong than </w:t>
      </w:r>
      <w:r w:rsidR="0064753E">
        <w:rPr>
          <w:sz w:val="28"/>
          <w:szCs w:val="28"/>
        </w:rPr>
        <w:t xml:space="preserve">university </w:t>
      </w:r>
      <w:r w:rsidR="00CF6B5E">
        <w:rPr>
          <w:sz w:val="28"/>
          <w:szCs w:val="28"/>
        </w:rPr>
        <w:t xml:space="preserve">management and professional </w:t>
      </w:r>
      <w:r w:rsidR="006D5E44">
        <w:rPr>
          <w:sz w:val="28"/>
          <w:szCs w:val="28"/>
        </w:rPr>
        <w:t xml:space="preserve">services. </w:t>
      </w:r>
    </w:p>
    <w:p w14:paraId="26C95C13" w14:textId="666FC52E" w:rsidR="00E07B5C" w:rsidRDefault="006D5E44" w:rsidP="00BE2779">
      <w:pPr>
        <w:spacing w:line="288" w:lineRule="auto"/>
        <w:ind w:firstLine="454"/>
        <w:rPr>
          <w:sz w:val="28"/>
          <w:szCs w:val="28"/>
        </w:rPr>
      </w:pPr>
      <w:r>
        <w:rPr>
          <w:sz w:val="28"/>
          <w:szCs w:val="28"/>
        </w:rPr>
        <w:t>All is not well</w:t>
      </w:r>
      <w:r w:rsidR="009E4223">
        <w:rPr>
          <w:sz w:val="28"/>
          <w:szCs w:val="28"/>
        </w:rPr>
        <w:t>,</w:t>
      </w:r>
      <w:r>
        <w:rPr>
          <w:sz w:val="28"/>
          <w:szCs w:val="28"/>
        </w:rPr>
        <w:t xml:space="preserve"> either</w:t>
      </w:r>
      <w:r w:rsidR="009E4223">
        <w:rPr>
          <w:sz w:val="28"/>
          <w:szCs w:val="28"/>
        </w:rPr>
        <w:t>,</w:t>
      </w:r>
      <w:r>
        <w:rPr>
          <w:sz w:val="28"/>
          <w:szCs w:val="28"/>
        </w:rPr>
        <w:t xml:space="preserve"> in the broader </w:t>
      </w:r>
      <w:r w:rsidR="00187E30">
        <w:rPr>
          <w:sz w:val="28"/>
          <w:szCs w:val="28"/>
        </w:rPr>
        <w:t>context of</w:t>
      </w:r>
      <w:r>
        <w:rPr>
          <w:sz w:val="28"/>
          <w:szCs w:val="28"/>
        </w:rPr>
        <w:t xml:space="preserve"> the universities. </w:t>
      </w:r>
      <w:r w:rsidR="00EF0A5C">
        <w:rPr>
          <w:sz w:val="28"/>
          <w:szCs w:val="28"/>
        </w:rPr>
        <w:t xml:space="preserve">Horne’s </w:t>
      </w:r>
      <w:r w:rsidR="00187E30">
        <w:rPr>
          <w:sz w:val="28"/>
          <w:szCs w:val="28"/>
        </w:rPr>
        <w:t xml:space="preserve">1964 </w:t>
      </w:r>
      <w:r w:rsidR="00EF0A5C">
        <w:rPr>
          <w:sz w:val="28"/>
          <w:szCs w:val="28"/>
        </w:rPr>
        <w:t xml:space="preserve">charge that Australia lacks originality and creativity in many domains, and has no respect to talent, </w:t>
      </w:r>
      <w:r w:rsidR="00187E30">
        <w:rPr>
          <w:sz w:val="28"/>
          <w:szCs w:val="28"/>
        </w:rPr>
        <w:t>has become</w:t>
      </w:r>
      <w:r w:rsidR="00EF0A5C">
        <w:rPr>
          <w:sz w:val="28"/>
          <w:szCs w:val="28"/>
        </w:rPr>
        <w:t xml:space="preserve"> ‘lacks </w:t>
      </w:r>
      <w:r w:rsidR="00EF0A5C" w:rsidRPr="00187E30">
        <w:rPr>
          <w:i/>
          <w:sz w:val="28"/>
          <w:szCs w:val="28"/>
        </w:rPr>
        <w:t>sufficient</w:t>
      </w:r>
      <w:r w:rsidR="00EF0A5C">
        <w:rPr>
          <w:sz w:val="28"/>
          <w:szCs w:val="28"/>
        </w:rPr>
        <w:t xml:space="preserve"> originality, creativity and respect for talent.’ Some of the cultural blockages Horne identified are </w:t>
      </w:r>
      <w:r w:rsidR="00EA4121">
        <w:rPr>
          <w:sz w:val="28"/>
          <w:szCs w:val="28"/>
        </w:rPr>
        <w:t xml:space="preserve">partly </w:t>
      </w:r>
      <w:r w:rsidR="00EF0A5C">
        <w:rPr>
          <w:sz w:val="28"/>
          <w:szCs w:val="28"/>
        </w:rPr>
        <w:t xml:space="preserve">still there. There is not enough regard for intellectual achievement. </w:t>
      </w:r>
      <w:r w:rsidR="00EA4121">
        <w:rPr>
          <w:sz w:val="28"/>
          <w:szCs w:val="28"/>
        </w:rPr>
        <w:t>S</w:t>
      </w:r>
      <w:r w:rsidR="00EF0A5C">
        <w:rPr>
          <w:sz w:val="28"/>
          <w:szCs w:val="28"/>
        </w:rPr>
        <w:t xml:space="preserve">trident </w:t>
      </w:r>
      <w:r w:rsidR="0064753E">
        <w:rPr>
          <w:sz w:val="28"/>
          <w:szCs w:val="28"/>
        </w:rPr>
        <w:t xml:space="preserve">American </w:t>
      </w:r>
      <w:r w:rsidR="00EF0A5C">
        <w:rPr>
          <w:sz w:val="28"/>
          <w:szCs w:val="28"/>
        </w:rPr>
        <w:t xml:space="preserve">anti-science politics </w:t>
      </w:r>
      <w:r w:rsidR="002B3E4D">
        <w:rPr>
          <w:sz w:val="28"/>
          <w:szCs w:val="28"/>
        </w:rPr>
        <w:t>are</w:t>
      </w:r>
      <w:r w:rsidR="00EF0A5C">
        <w:rPr>
          <w:sz w:val="28"/>
          <w:szCs w:val="28"/>
        </w:rPr>
        <w:t xml:space="preserve"> unlikely to gain traction in Australia</w:t>
      </w:r>
      <w:r w:rsidR="00EA4121">
        <w:rPr>
          <w:sz w:val="28"/>
          <w:szCs w:val="28"/>
        </w:rPr>
        <w:t>; t</w:t>
      </w:r>
      <w:r w:rsidR="00EF0A5C">
        <w:rPr>
          <w:sz w:val="28"/>
          <w:szCs w:val="28"/>
        </w:rPr>
        <w:t xml:space="preserve">he problem </w:t>
      </w:r>
      <w:r w:rsidR="0064753E">
        <w:rPr>
          <w:sz w:val="28"/>
          <w:szCs w:val="28"/>
        </w:rPr>
        <w:t xml:space="preserve">is, rather, </w:t>
      </w:r>
      <w:r w:rsidR="00EF0A5C">
        <w:rPr>
          <w:sz w:val="28"/>
          <w:szCs w:val="28"/>
        </w:rPr>
        <w:t xml:space="preserve">marginalization and indifference. </w:t>
      </w:r>
      <w:r w:rsidR="0064753E">
        <w:rPr>
          <w:sz w:val="28"/>
          <w:szCs w:val="28"/>
        </w:rPr>
        <w:t xml:space="preserve">The public sphere surrounding government—the sphere of intelligent discussion and debate about matters of science, policy and the public interest—is under-developed, by comparison with, say, the UK, United States and parts of Western Europe. This </w:t>
      </w:r>
      <w:r w:rsidR="00BF47DA">
        <w:rPr>
          <w:sz w:val="28"/>
          <w:szCs w:val="28"/>
        </w:rPr>
        <w:t xml:space="preserve">inhibits the potential for autonomous Australian intellectual culture and </w:t>
      </w:r>
      <w:r w:rsidR="0064753E">
        <w:rPr>
          <w:sz w:val="28"/>
          <w:szCs w:val="28"/>
        </w:rPr>
        <w:t>limits the scope for universities and their pe</w:t>
      </w:r>
      <w:r w:rsidR="00BF47DA">
        <w:rPr>
          <w:sz w:val="28"/>
          <w:szCs w:val="28"/>
        </w:rPr>
        <w:t xml:space="preserve">ople </w:t>
      </w:r>
      <w:r w:rsidR="0064753E">
        <w:rPr>
          <w:sz w:val="28"/>
          <w:szCs w:val="28"/>
        </w:rPr>
        <w:t xml:space="preserve">to exercise strong agency in </w:t>
      </w:r>
      <w:r w:rsidR="00EA4121">
        <w:rPr>
          <w:sz w:val="28"/>
          <w:szCs w:val="28"/>
        </w:rPr>
        <w:t>government</w:t>
      </w:r>
      <w:r w:rsidR="0064753E">
        <w:rPr>
          <w:sz w:val="28"/>
          <w:szCs w:val="28"/>
        </w:rPr>
        <w:t xml:space="preserve">. </w:t>
      </w:r>
      <w:r w:rsidR="00E376D9">
        <w:rPr>
          <w:sz w:val="28"/>
          <w:szCs w:val="28"/>
        </w:rPr>
        <w:t>Though u</w:t>
      </w:r>
      <w:r w:rsidR="0064753E">
        <w:rPr>
          <w:sz w:val="28"/>
          <w:szCs w:val="28"/>
        </w:rPr>
        <w:t xml:space="preserve">niversities make many </w:t>
      </w:r>
      <w:r w:rsidR="00E376D9">
        <w:rPr>
          <w:sz w:val="28"/>
          <w:szCs w:val="28"/>
        </w:rPr>
        <w:t>contributions to government</w:t>
      </w:r>
      <w:r w:rsidR="0064753E">
        <w:rPr>
          <w:sz w:val="28"/>
          <w:szCs w:val="28"/>
        </w:rPr>
        <w:t xml:space="preserve"> at an instrumental level</w:t>
      </w:r>
      <w:r w:rsidR="00E376D9">
        <w:rPr>
          <w:sz w:val="28"/>
          <w:szCs w:val="28"/>
        </w:rPr>
        <w:t>, t</w:t>
      </w:r>
      <w:r w:rsidR="0064753E">
        <w:rPr>
          <w:sz w:val="28"/>
          <w:szCs w:val="28"/>
        </w:rPr>
        <w:t xml:space="preserve">here are invisible barriers to </w:t>
      </w:r>
      <w:r w:rsidR="00274098">
        <w:rPr>
          <w:sz w:val="28"/>
          <w:szCs w:val="28"/>
        </w:rPr>
        <w:t>deeper influence</w:t>
      </w:r>
      <w:r w:rsidR="0064753E">
        <w:rPr>
          <w:sz w:val="28"/>
          <w:szCs w:val="28"/>
        </w:rPr>
        <w:t>, except perhaps in relation to Australia’s engagement with Asia.</w:t>
      </w:r>
      <w:r w:rsidR="00E07B5C">
        <w:rPr>
          <w:sz w:val="28"/>
          <w:szCs w:val="28"/>
        </w:rPr>
        <w:t xml:space="preserve"> </w:t>
      </w:r>
    </w:p>
    <w:p w14:paraId="3DBF2085" w14:textId="54477A0C" w:rsidR="00EA7320" w:rsidRDefault="00BF47DA" w:rsidP="00BE2779">
      <w:pPr>
        <w:spacing w:line="288" w:lineRule="auto"/>
        <w:ind w:firstLine="454"/>
        <w:rPr>
          <w:sz w:val="28"/>
          <w:szCs w:val="28"/>
        </w:rPr>
      </w:pPr>
      <w:r>
        <w:rPr>
          <w:sz w:val="28"/>
          <w:szCs w:val="28"/>
        </w:rPr>
        <w:t>If t</w:t>
      </w:r>
      <w:r w:rsidR="00E07B5C">
        <w:rPr>
          <w:sz w:val="28"/>
          <w:szCs w:val="28"/>
        </w:rPr>
        <w:t xml:space="preserve">he larger public sphere is </w:t>
      </w:r>
      <w:r>
        <w:rPr>
          <w:sz w:val="28"/>
          <w:szCs w:val="28"/>
        </w:rPr>
        <w:t xml:space="preserve">successfully </w:t>
      </w:r>
      <w:r w:rsidR="00E07B5C">
        <w:rPr>
          <w:sz w:val="28"/>
          <w:szCs w:val="28"/>
        </w:rPr>
        <w:t xml:space="preserve">fostered, </w:t>
      </w:r>
      <w:r>
        <w:rPr>
          <w:sz w:val="28"/>
          <w:szCs w:val="28"/>
        </w:rPr>
        <w:t xml:space="preserve">the conditions </w:t>
      </w:r>
      <w:proofErr w:type="gramStart"/>
      <w:r>
        <w:rPr>
          <w:sz w:val="28"/>
          <w:szCs w:val="28"/>
        </w:rPr>
        <w:t>open up</w:t>
      </w:r>
      <w:proofErr w:type="gramEnd"/>
      <w:r>
        <w:rPr>
          <w:sz w:val="28"/>
          <w:szCs w:val="28"/>
        </w:rPr>
        <w:t xml:space="preserve">. </w:t>
      </w:r>
      <w:r w:rsidR="00EF0A5C">
        <w:rPr>
          <w:sz w:val="28"/>
          <w:szCs w:val="28"/>
        </w:rPr>
        <w:t xml:space="preserve">The </w:t>
      </w:r>
      <w:r w:rsidR="00DB40F7">
        <w:rPr>
          <w:sz w:val="28"/>
          <w:szCs w:val="28"/>
        </w:rPr>
        <w:t xml:space="preserve">solution </w:t>
      </w:r>
      <w:r w:rsidR="00EF0A5C">
        <w:rPr>
          <w:sz w:val="28"/>
          <w:szCs w:val="28"/>
        </w:rPr>
        <w:t xml:space="preserve">is not </w:t>
      </w:r>
      <w:r w:rsidR="00DB40F7">
        <w:rPr>
          <w:sz w:val="28"/>
          <w:szCs w:val="28"/>
        </w:rPr>
        <w:t>more</w:t>
      </w:r>
      <w:r w:rsidR="00EF0A5C">
        <w:rPr>
          <w:sz w:val="28"/>
          <w:szCs w:val="28"/>
        </w:rPr>
        <w:t xml:space="preserve"> university marketing</w:t>
      </w:r>
      <w:r w:rsidR="0064753E">
        <w:rPr>
          <w:sz w:val="28"/>
          <w:szCs w:val="28"/>
        </w:rPr>
        <w:t xml:space="preserve"> </w:t>
      </w:r>
      <w:r w:rsidR="00DB40F7">
        <w:rPr>
          <w:sz w:val="28"/>
          <w:szCs w:val="28"/>
        </w:rPr>
        <w:t>at</w:t>
      </w:r>
      <w:r w:rsidR="0064753E">
        <w:rPr>
          <w:sz w:val="28"/>
          <w:szCs w:val="28"/>
        </w:rPr>
        <w:t xml:space="preserve"> the public, </w:t>
      </w:r>
      <w:r w:rsidR="00EF0A5C">
        <w:rPr>
          <w:sz w:val="28"/>
          <w:szCs w:val="28"/>
        </w:rPr>
        <w:t xml:space="preserve">which </w:t>
      </w:r>
      <w:r w:rsidR="00DB40F7">
        <w:rPr>
          <w:sz w:val="28"/>
          <w:szCs w:val="28"/>
        </w:rPr>
        <w:t>can appear</w:t>
      </w:r>
      <w:r w:rsidR="00EF0A5C">
        <w:rPr>
          <w:sz w:val="28"/>
          <w:szCs w:val="28"/>
        </w:rPr>
        <w:t xml:space="preserve"> inauthentic</w:t>
      </w:r>
      <w:r w:rsidR="0064753E">
        <w:rPr>
          <w:sz w:val="28"/>
          <w:szCs w:val="28"/>
        </w:rPr>
        <w:t>. I</w:t>
      </w:r>
      <w:r w:rsidR="00EF0A5C">
        <w:rPr>
          <w:sz w:val="28"/>
          <w:szCs w:val="28"/>
        </w:rPr>
        <w:t xml:space="preserve">t is </w:t>
      </w:r>
      <w:r w:rsidR="00DB40F7">
        <w:rPr>
          <w:sz w:val="28"/>
          <w:szCs w:val="28"/>
        </w:rPr>
        <w:t>pursuing authentic content-related agendas cleverly to as to gain</w:t>
      </w:r>
      <w:r w:rsidR="00EF0A5C">
        <w:rPr>
          <w:sz w:val="28"/>
          <w:szCs w:val="28"/>
        </w:rPr>
        <w:t xml:space="preserve"> traction in an arid public setting. </w:t>
      </w:r>
      <w:r w:rsidR="0064753E">
        <w:rPr>
          <w:sz w:val="28"/>
          <w:szCs w:val="28"/>
        </w:rPr>
        <w:t xml:space="preserve">The universities </w:t>
      </w:r>
      <w:r w:rsidR="00DB40F7">
        <w:rPr>
          <w:sz w:val="28"/>
          <w:szCs w:val="28"/>
        </w:rPr>
        <w:t>must</w:t>
      </w:r>
      <w:r w:rsidR="0064753E">
        <w:rPr>
          <w:sz w:val="28"/>
          <w:szCs w:val="28"/>
        </w:rPr>
        <w:t xml:space="preserve"> persist with contributions based on knowledge and expertise</w:t>
      </w:r>
      <w:r w:rsidR="00DB40F7">
        <w:rPr>
          <w:sz w:val="28"/>
          <w:szCs w:val="28"/>
        </w:rPr>
        <w:t>, that’s what they do</w:t>
      </w:r>
      <w:r w:rsidR="0064753E">
        <w:rPr>
          <w:sz w:val="28"/>
          <w:szCs w:val="28"/>
        </w:rPr>
        <w:t>.</w:t>
      </w:r>
      <w:r w:rsidR="00E07B5C">
        <w:rPr>
          <w:sz w:val="28"/>
          <w:szCs w:val="28"/>
        </w:rPr>
        <w:t xml:space="preserve"> </w:t>
      </w:r>
      <w:r w:rsidR="0064753E">
        <w:rPr>
          <w:sz w:val="28"/>
          <w:szCs w:val="28"/>
        </w:rPr>
        <w:t>At the same time, t</w:t>
      </w:r>
      <w:r w:rsidR="00EF0A5C">
        <w:rPr>
          <w:sz w:val="28"/>
          <w:szCs w:val="28"/>
        </w:rPr>
        <w:t xml:space="preserve">here are issues of values that need to be addressed. </w:t>
      </w:r>
      <w:r w:rsidR="006D5E44">
        <w:rPr>
          <w:sz w:val="28"/>
          <w:szCs w:val="28"/>
        </w:rPr>
        <w:t>Though the universities are connec</w:t>
      </w:r>
      <w:r w:rsidR="00E07B5C">
        <w:rPr>
          <w:sz w:val="28"/>
          <w:szCs w:val="28"/>
        </w:rPr>
        <w:t xml:space="preserve">ted to society at many points, </w:t>
      </w:r>
      <w:r w:rsidR="00EF0A5C">
        <w:rPr>
          <w:sz w:val="28"/>
          <w:szCs w:val="28"/>
        </w:rPr>
        <w:t xml:space="preserve">public, </w:t>
      </w:r>
      <w:r w:rsidR="009E4223">
        <w:rPr>
          <w:sz w:val="28"/>
          <w:szCs w:val="28"/>
        </w:rPr>
        <w:t xml:space="preserve">policy </w:t>
      </w:r>
      <w:r w:rsidR="00EF0A5C">
        <w:rPr>
          <w:sz w:val="28"/>
          <w:szCs w:val="28"/>
        </w:rPr>
        <w:t xml:space="preserve">and university </w:t>
      </w:r>
      <w:r w:rsidR="009E4223">
        <w:rPr>
          <w:sz w:val="28"/>
          <w:szCs w:val="28"/>
        </w:rPr>
        <w:t>discourse</w:t>
      </w:r>
      <w:r w:rsidR="00EF0A5C">
        <w:rPr>
          <w:sz w:val="28"/>
          <w:szCs w:val="28"/>
        </w:rPr>
        <w:t xml:space="preserve"> </w:t>
      </w:r>
      <w:r w:rsidR="00DB40F7">
        <w:rPr>
          <w:sz w:val="28"/>
          <w:szCs w:val="28"/>
        </w:rPr>
        <w:t>now place</w:t>
      </w:r>
      <w:r w:rsidR="006D5E44">
        <w:rPr>
          <w:sz w:val="28"/>
          <w:szCs w:val="28"/>
        </w:rPr>
        <w:t xml:space="preserve"> undue emphasis on the</w:t>
      </w:r>
      <w:r w:rsidR="00EF0A5C">
        <w:rPr>
          <w:sz w:val="28"/>
          <w:szCs w:val="28"/>
        </w:rPr>
        <w:t xml:space="preserve"> </w:t>
      </w:r>
      <w:r w:rsidR="006D5E44">
        <w:rPr>
          <w:sz w:val="28"/>
          <w:szCs w:val="28"/>
        </w:rPr>
        <w:t>contribution</w:t>
      </w:r>
      <w:r w:rsidR="00EF0A5C">
        <w:rPr>
          <w:sz w:val="28"/>
          <w:szCs w:val="28"/>
        </w:rPr>
        <w:t xml:space="preserve">s of </w:t>
      </w:r>
      <w:r w:rsidR="0064753E">
        <w:rPr>
          <w:sz w:val="28"/>
          <w:szCs w:val="28"/>
        </w:rPr>
        <w:t>universities</w:t>
      </w:r>
      <w:r w:rsidR="00EF0A5C">
        <w:rPr>
          <w:sz w:val="28"/>
          <w:szCs w:val="28"/>
        </w:rPr>
        <w:t xml:space="preserve"> in the form of </w:t>
      </w:r>
      <w:r w:rsidR="006D5E44">
        <w:rPr>
          <w:sz w:val="28"/>
          <w:szCs w:val="28"/>
        </w:rPr>
        <w:t xml:space="preserve">private benefits </w:t>
      </w:r>
      <w:r w:rsidR="0064753E">
        <w:rPr>
          <w:sz w:val="28"/>
          <w:szCs w:val="28"/>
        </w:rPr>
        <w:t>for</w:t>
      </w:r>
      <w:r w:rsidR="006D5E44">
        <w:rPr>
          <w:sz w:val="28"/>
          <w:szCs w:val="28"/>
        </w:rPr>
        <w:t xml:space="preserve"> </w:t>
      </w:r>
      <w:r w:rsidR="009E4223">
        <w:rPr>
          <w:sz w:val="28"/>
          <w:szCs w:val="28"/>
        </w:rPr>
        <w:t>individuals</w:t>
      </w:r>
      <w:r w:rsidR="00EC2B43">
        <w:rPr>
          <w:sz w:val="28"/>
          <w:szCs w:val="28"/>
        </w:rPr>
        <w:t xml:space="preserve">. I believe </w:t>
      </w:r>
      <w:r>
        <w:rPr>
          <w:sz w:val="28"/>
          <w:szCs w:val="28"/>
        </w:rPr>
        <w:t xml:space="preserve">more </w:t>
      </w:r>
      <w:r w:rsidR="009E4223">
        <w:rPr>
          <w:sz w:val="28"/>
          <w:szCs w:val="28"/>
        </w:rPr>
        <w:t xml:space="preserve">attention </w:t>
      </w:r>
      <w:r w:rsidR="00EC2B43">
        <w:rPr>
          <w:sz w:val="28"/>
          <w:szCs w:val="28"/>
        </w:rPr>
        <w:t xml:space="preserve">should be given </w:t>
      </w:r>
      <w:r w:rsidR="009E4223">
        <w:rPr>
          <w:sz w:val="28"/>
          <w:szCs w:val="28"/>
        </w:rPr>
        <w:t>to the broader public goods t</w:t>
      </w:r>
      <w:r>
        <w:rPr>
          <w:sz w:val="28"/>
          <w:szCs w:val="28"/>
        </w:rPr>
        <w:t>hat universities</w:t>
      </w:r>
      <w:r w:rsidR="009E4223">
        <w:rPr>
          <w:sz w:val="28"/>
          <w:szCs w:val="28"/>
        </w:rPr>
        <w:t xml:space="preserve"> create. </w:t>
      </w:r>
    </w:p>
    <w:p w14:paraId="066A2970" w14:textId="588586B9" w:rsidR="00671005" w:rsidRDefault="00DB40F7" w:rsidP="00BE2779">
      <w:pPr>
        <w:spacing w:line="288" w:lineRule="auto"/>
        <w:ind w:firstLine="454"/>
        <w:rPr>
          <w:sz w:val="28"/>
          <w:szCs w:val="28"/>
        </w:rPr>
      </w:pPr>
      <w:r>
        <w:rPr>
          <w:sz w:val="28"/>
          <w:szCs w:val="28"/>
        </w:rPr>
        <w:lastRenderedPageBreak/>
        <w:t>To</w:t>
      </w:r>
      <w:r w:rsidR="00EC2B43">
        <w:rPr>
          <w:sz w:val="28"/>
          <w:szCs w:val="28"/>
        </w:rPr>
        <w:t xml:space="preserve"> the conclusion. </w:t>
      </w:r>
      <w:r w:rsidR="00E07B5C">
        <w:rPr>
          <w:sz w:val="28"/>
          <w:szCs w:val="28"/>
        </w:rPr>
        <w:t xml:space="preserve">R Douglas Wright and Donald Horne each supplied the Australian universities with one of the two strategic tools they need to lift themselves, </w:t>
      </w:r>
      <w:r>
        <w:rPr>
          <w:sz w:val="28"/>
          <w:szCs w:val="28"/>
        </w:rPr>
        <w:t xml:space="preserve">to </w:t>
      </w:r>
      <w:r w:rsidR="00E07B5C">
        <w:rPr>
          <w:sz w:val="28"/>
          <w:szCs w:val="28"/>
        </w:rPr>
        <w:t xml:space="preserve">lift their contribution to </w:t>
      </w:r>
      <w:r w:rsidR="00E4673D">
        <w:rPr>
          <w:sz w:val="28"/>
          <w:szCs w:val="28"/>
        </w:rPr>
        <w:t>Australia</w:t>
      </w:r>
      <w:r w:rsidR="00BF47DA">
        <w:rPr>
          <w:sz w:val="28"/>
          <w:szCs w:val="28"/>
        </w:rPr>
        <w:t>,</w:t>
      </w:r>
      <w:r w:rsidR="00E4673D">
        <w:rPr>
          <w:sz w:val="28"/>
          <w:szCs w:val="28"/>
        </w:rPr>
        <w:t xml:space="preserve"> and thereby li</w:t>
      </w:r>
      <w:r w:rsidR="00E07B5C">
        <w:rPr>
          <w:sz w:val="28"/>
          <w:szCs w:val="28"/>
        </w:rPr>
        <w:t>ft Australia</w:t>
      </w:r>
      <w:r w:rsidR="00BF47DA">
        <w:rPr>
          <w:sz w:val="28"/>
          <w:szCs w:val="28"/>
        </w:rPr>
        <w:t>,</w:t>
      </w:r>
      <w:r w:rsidR="00E07B5C">
        <w:rPr>
          <w:sz w:val="28"/>
          <w:szCs w:val="28"/>
        </w:rPr>
        <w:t xml:space="preserve"> and </w:t>
      </w:r>
      <w:r>
        <w:rPr>
          <w:sz w:val="28"/>
          <w:szCs w:val="28"/>
        </w:rPr>
        <w:t xml:space="preserve">lift </w:t>
      </w:r>
      <w:r w:rsidR="00E07B5C">
        <w:rPr>
          <w:sz w:val="28"/>
          <w:szCs w:val="28"/>
        </w:rPr>
        <w:t xml:space="preserve">its contribution to the world. </w:t>
      </w:r>
      <w:r w:rsidR="00E4673D">
        <w:rPr>
          <w:sz w:val="28"/>
          <w:szCs w:val="28"/>
        </w:rPr>
        <w:t xml:space="preserve">Horne said ‘engagement with Asia will be ‘the creative liberating element in Australia’ the source of a new and more confident national </w:t>
      </w:r>
      <w:r w:rsidR="003C2F83">
        <w:rPr>
          <w:sz w:val="28"/>
          <w:szCs w:val="28"/>
        </w:rPr>
        <w:t>project.</w:t>
      </w:r>
      <w:r w:rsidR="003C2F83">
        <w:rPr>
          <w:rStyle w:val="FootnoteReference"/>
          <w:sz w:val="28"/>
          <w:szCs w:val="28"/>
        </w:rPr>
        <w:footnoteReference w:id="39"/>
      </w:r>
      <w:r w:rsidR="003C2F83">
        <w:rPr>
          <w:sz w:val="28"/>
          <w:szCs w:val="28"/>
        </w:rPr>
        <w:t xml:space="preserve"> Wright’s vision </w:t>
      </w:r>
      <w:r w:rsidR="00BF47DA">
        <w:rPr>
          <w:sz w:val="28"/>
          <w:szCs w:val="28"/>
        </w:rPr>
        <w:t>wa</w:t>
      </w:r>
      <w:r w:rsidR="0039134B">
        <w:rPr>
          <w:sz w:val="28"/>
          <w:szCs w:val="28"/>
        </w:rPr>
        <w:t xml:space="preserve">s </w:t>
      </w:r>
      <w:r w:rsidR="00BF47DA">
        <w:rPr>
          <w:sz w:val="28"/>
          <w:szCs w:val="28"/>
        </w:rPr>
        <w:t>about</w:t>
      </w:r>
      <w:r w:rsidR="00B937C6">
        <w:rPr>
          <w:sz w:val="28"/>
          <w:szCs w:val="28"/>
        </w:rPr>
        <w:t xml:space="preserve"> the university</w:t>
      </w:r>
      <w:r w:rsidR="00BF47DA">
        <w:rPr>
          <w:sz w:val="28"/>
          <w:szCs w:val="28"/>
        </w:rPr>
        <w:t xml:space="preserve"> as</w:t>
      </w:r>
      <w:r w:rsidR="003C2F83">
        <w:rPr>
          <w:sz w:val="28"/>
          <w:szCs w:val="28"/>
        </w:rPr>
        <w:t xml:space="preserve"> ‘a self-governing centre of untrammelled debate’ and ‘the role of the intellectual in contributing to the quality of citizenship’ in the country.</w:t>
      </w:r>
      <w:r w:rsidR="003C2F83">
        <w:rPr>
          <w:rStyle w:val="FootnoteReference"/>
          <w:sz w:val="28"/>
          <w:szCs w:val="28"/>
        </w:rPr>
        <w:footnoteReference w:id="40"/>
      </w:r>
      <w:r w:rsidR="003C2F83">
        <w:rPr>
          <w:sz w:val="28"/>
          <w:szCs w:val="28"/>
        </w:rPr>
        <w:t xml:space="preserve"> </w:t>
      </w:r>
      <w:r w:rsidR="00BF47DA">
        <w:rPr>
          <w:sz w:val="28"/>
          <w:szCs w:val="28"/>
        </w:rPr>
        <w:t>He saw</w:t>
      </w:r>
      <w:r w:rsidR="00B937C6">
        <w:rPr>
          <w:sz w:val="28"/>
          <w:szCs w:val="28"/>
        </w:rPr>
        <w:t xml:space="preserve"> </w:t>
      </w:r>
      <w:r>
        <w:rPr>
          <w:sz w:val="28"/>
          <w:szCs w:val="28"/>
        </w:rPr>
        <w:t>t</w:t>
      </w:r>
      <w:r w:rsidR="00B937C6">
        <w:rPr>
          <w:sz w:val="28"/>
          <w:szCs w:val="28"/>
        </w:rPr>
        <w:t>he university</w:t>
      </w:r>
      <w:r w:rsidR="00B924CF">
        <w:rPr>
          <w:sz w:val="28"/>
          <w:szCs w:val="28"/>
        </w:rPr>
        <w:t xml:space="preserve"> </w:t>
      </w:r>
      <w:r w:rsidR="00B937C6">
        <w:rPr>
          <w:sz w:val="28"/>
          <w:szCs w:val="28"/>
        </w:rPr>
        <w:t xml:space="preserve">as </w:t>
      </w:r>
      <w:r w:rsidR="00B924CF">
        <w:rPr>
          <w:sz w:val="28"/>
          <w:szCs w:val="28"/>
        </w:rPr>
        <w:t>a distinctive community ‘based on freedom of inquiry but with special social responsibilities’.</w:t>
      </w:r>
      <w:r w:rsidR="00B924CF">
        <w:rPr>
          <w:rStyle w:val="FootnoteReference"/>
          <w:sz w:val="28"/>
          <w:szCs w:val="28"/>
        </w:rPr>
        <w:footnoteReference w:id="41"/>
      </w:r>
      <w:r w:rsidR="00B937C6">
        <w:rPr>
          <w:sz w:val="28"/>
          <w:szCs w:val="28"/>
        </w:rPr>
        <w:t xml:space="preserve"> </w:t>
      </w:r>
      <w:r w:rsidR="00B924CF">
        <w:rPr>
          <w:sz w:val="28"/>
          <w:szCs w:val="28"/>
        </w:rPr>
        <w:t xml:space="preserve">If </w:t>
      </w:r>
      <w:r w:rsidR="00B937C6">
        <w:rPr>
          <w:sz w:val="28"/>
          <w:szCs w:val="28"/>
        </w:rPr>
        <w:t>Australian universities</w:t>
      </w:r>
      <w:r w:rsidR="00B924CF">
        <w:rPr>
          <w:sz w:val="28"/>
          <w:szCs w:val="28"/>
        </w:rPr>
        <w:t xml:space="preserve"> can get </w:t>
      </w:r>
      <w:r w:rsidR="00B937C6">
        <w:rPr>
          <w:sz w:val="28"/>
          <w:szCs w:val="28"/>
        </w:rPr>
        <w:t xml:space="preserve">the </w:t>
      </w:r>
      <w:r w:rsidR="00B924CF">
        <w:rPr>
          <w:sz w:val="28"/>
          <w:szCs w:val="28"/>
        </w:rPr>
        <w:t xml:space="preserve">freedom right, and the social responsibilities right, and Asia right, </w:t>
      </w:r>
      <w:r>
        <w:rPr>
          <w:sz w:val="28"/>
          <w:szCs w:val="28"/>
        </w:rPr>
        <w:t>that might be enough</w:t>
      </w:r>
      <w:r w:rsidR="00B924CF">
        <w:rPr>
          <w:sz w:val="28"/>
          <w:szCs w:val="28"/>
        </w:rPr>
        <w:t xml:space="preserve">. </w:t>
      </w:r>
    </w:p>
    <w:p w14:paraId="31C461EA" w14:textId="77777777" w:rsidR="00671005" w:rsidRDefault="00671005" w:rsidP="00BE2779">
      <w:pPr>
        <w:spacing w:line="288" w:lineRule="auto"/>
        <w:rPr>
          <w:sz w:val="28"/>
          <w:szCs w:val="28"/>
        </w:rPr>
      </w:pPr>
    </w:p>
    <w:p w14:paraId="6407E140" w14:textId="1D59435F" w:rsidR="00E84BAE" w:rsidRDefault="00E84BAE" w:rsidP="00BE2779">
      <w:pPr>
        <w:spacing w:line="288" w:lineRule="auto"/>
        <w:rPr>
          <w:sz w:val="28"/>
          <w:szCs w:val="28"/>
        </w:rPr>
      </w:pPr>
      <w:r>
        <w:rPr>
          <w:sz w:val="28"/>
          <w:szCs w:val="28"/>
        </w:rPr>
        <w:br w:type="page"/>
      </w:r>
    </w:p>
    <w:p w14:paraId="6D922D63" w14:textId="77777777" w:rsidR="00E84BAE" w:rsidRPr="00E84BAE" w:rsidRDefault="00E84BAE" w:rsidP="00BE2779">
      <w:pPr>
        <w:spacing w:line="288" w:lineRule="auto"/>
        <w:rPr>
          <w:b/>
          <w:sz w:val="28"/>
          <w:szCs w:val="28"/>
        </w:rPr>
      </w:pPr>
      <w:r w:rsidRPr="00E84BAE">
        <w:rPr>
          <w:b/>
          <w:sz w:val="28"/>
          <w:szCs w:val="28"/>
        </w:rPr>
        <w:lastRenderedPageBreak/>
        <w:t>References</w:t>
      </w:r>
    </w:p>
    <w:p w14:paraId="1BCCF820" w14:textId="77777777" w:rsidR="00E84BAE" w:rsidRDefault="00E84BAE" w:rsidP="00BE2779">
      <w:pPr>
        <w:spacing w:line="288" w:lineRule="auto"/>
        <w:rPr>
          <w:sz w:val="28"/>
          <w:szCs w:val="28"/>
        </w:rPr>
      </w:pPr>
    </w:p>
    <w:p w14:paraId="047A554D" w14:textId="1BE42E32" w:rsidR="00E84BAE" w:rsidRDefault="00E84BAE" w:rsidP="00BE2779">
      <w:pPr>
        <w:spacing w:line="288" w:lineRule="auto"/>
        <w:rPr>
          <w:sz w:val="28"/>
          <w:szCs w:val="28"/>
        </w:rPr>
      </w:pPr>
      <w:r>
        <w:rPr>
          <w:sz w:val="28"/>
          <w:szCs w:val="28"/>
        </w:rPr>
        <w:t xml:space="preserve">Davis, G. (2017). A public intellectual: The life and times of Donald Horne. In N. Horne (ed.), </w:t>
      </w:r>
      <w:r w:rsidRPr="00E84BAE">
        <w:rPr>
          <w:i/>
          <w:sz w:val="28"/>
          <w:szCs w:val="28"/>
        </w:rPr>
        <w:t>Donald Horne: Selected writings</w:t>
      </w:r>
      <w:r>
        <w:rPr>
          <w:sz w:val="28"/>
          <w:szCs w:val="28"/>
        </w:rPr>
        <w:t xml:space="preserve"> (pp. ix-xlix). Melbourne: La Trobe University Press. </w:t>
      </w:r>
    </w:p>
    <w:p w14:paraId="2157B3CD" w14:textId="77777777" w:rsidR="00E84BAE" w:rsidRDefault="00E84BAE" w:rsidP="00BE2779">
      <w:pPr>
        <w:spacing w:line="288" w:lineRule="auto"/>
        <w:rPr>
          <w:sz w:val="28"/>
          <w:szCs w:val="28"/>
        </w:rPr>
      </w:pPr>
    </w:p>
    <w:p w14:paraId="3C998096" w14:textId="77777777" w:rsidR="00E84BAE" w:rsidRPr="0053230E" w:rsidRDefault="00E84BAE" w:rsidP="00BE2779">
      <w:pPr>
        <w:spacing w:line="288" w:lineRule="auto"/>
        <w:rPr>
          <w:sz w:val="28"/>
          <w:szCs w:val="28"/>
        </w:rPr>
      </w:pPr>
    </w:p>
    <w:sectPr w:rsidR="00E84BAE" w:rsidRPr="0053230E" w:rsidSect="00D44535">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5F3D" w14:textId="77777777" w:rsidR="0009197F" w:rsidRDefault="0009197F" w:rsidP="00D44535">
      <w:r>
        <w:separator/>
      </w:r>
    </w:p>
  </w:endnote>
  <w:endnote w:type="continuationSeparator" w:id="0">
    <w:p w14:paraId="4E7F3997" w14:textId="77777777" w:rsidR="0009197F" w:rsidRDefault="0009197F" w:rsidP="00D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1599" w14:textId="77777777" w:rsidR="0009197F" w:rsidRDefault="0009197F" w:rsidP="00D44535">
      <w:r>
        <w:separator/>
      </w:r>
    </w:p>
  </w:footnote>
  <w:footnote w:type="continuationSeparator" w:id="0">
    <w:p w14:paraId="4F0EE2D4" w14:textId="77777777" w:rsidR="0009197F" w:rsidRDefault="0009197F" w:rsidP="00D44535">
      <w:r>
        <w:continuationSeparator/>
      </w:r>
    </w:p>
  </w:footnote>
  <w:footnote w:id="1">
    <w:p w14:paraId="28B00377" w14:textId="5A33D086" w:rsidR="00EA4121" w:rsidRDefault="00EA4121">
      <w:pPr>
        <w:pStyle w:val="FootnoteText"/>
      </w:pPr>
      <w:r>
        <w:rPr>
          <w:rStyle w:val="FootnoteReference"/>
        </w:rPr>
        <w:footnoteRef/>
      </w:r>
      <w:r>
        <w:t xml:space="preserve"> McPhee 1999, p. 195.</w:t>
      </w:r>
    </w:p>
  </w:footnote>
  <w:footnote w:id="2">
    <w:p w14:paraId="251569CF" w14:textId="422829F2" w:rsidR="00EA4121" w:rsidRDefault="00EA4121">
      <w:pPr>
        <w:pStyle w:val="FootnoteText"/>
      </w:pPr>
      <w:r>
        <w:rPr>
          <w:rStyle w:val="FootnoteReference"/>
        </w:rPr>
        <w:footnoteRef/>
      </w:r>
      <w:r>
        <w:t xml:space="preserve"> McPhee, p. 1.</w:t>
      </w:r>
    </w:p>
  </w:footnote>
  <w:footnote w:id="3">
    <w:p w14:paraId="0AF3AFF3" w14:textId="057DEFA3" w:rsidR="00EA4121" w:rsidRDefault="00EA4121">
      <w:pPr>
        <w:pStyle w:val="FootnoteText"/>
      </w:pPr>
      <w:r>
        <w:rPr>
          <w:rStyle w:val="FootnoteReference"/>
        </w:rPr>
        <w:footnoteRef/>
      </w:r>
      <w:r>
        <w:t xml:space="preserve"> Macintyre (2015).</w:t>
      </w:r>
    </w:p>
  </w:footnote>
  <w:footnote w:id="4">
    <w:p w14:paraId="03574348" w14:textId="77777777" w:rsidR="00EA4121" w:rsidRDefault="00EA4121" w:rsidP="00BF68AC">
      <w:pPr>
        <w:pStyle w:val="FootnoteText"/>
      </w:pPr>
      <w:r>
        <w:rPr>
          <w:rStyle w:val="FootnoteReference"/>
        </w:rPr>
        <w:footnoteRef/>
      </w:r>
      <w:r>
        <w:t xml:space="preserve"> Kerr, 1963/2001</w:t>
      </w:r>
    </w:p>
  </w:footnote>
  <w:footnote w:id="5">
    <w:p w14:paraId="5A8F9C13" w14:textId="20929311" w:rsidR="00EA4121" w:rsidRDefault="00EA4121">
      <w:pPr>
        <w:pStyle w:val="FootnoteText"/>
      </w:pPr>
      <w:r>
        <w:rPr>
          <w:rStyle w:val="FootnoteReference"/>
        </w:rPr>
        <w:footnoteRef/>
      </w:r>
      <w:r>
        <w:t xml:space="preserve"> Horne (1964), p. 96.</w:t>
      </w:r>
    </w:p>
  </w:footnote>
  <w:footnote w:id="6">
    <w:p w14:paraId="6D66CACB" w14:textId="32F233C9" w:rsidR="00EA4121" w:rsidRDefault="00EA4121">
      <w:pPr>
        <w:pStyle w:val="FootnoteText"/>
      </w:pPr>
      <w:r>
        <w:rPr>
          <w:rStyle w:val="FootnoteReference"/>
        </w:rPr>
        <w:footnoteRef/>
      </w:r>
      <w:r>
        <w:t xml:space="preserve"> Horne, p. 140.</w:t>
      </w:r>
    </w:p>
  </w:footnote>
  <w:footnote w:id="7">
    <w:p w14:paraId="760AF15A" w14:textId="1AEECA51" w:rsidR="00EA4121" w:rsidRDefault="00EA4121">
      <w:pPr>
        <w:pStyle w:val="FootnoteText"/>
      </w:pPr>
      <w:r>
        <w:rPr>
          <w:rStyle w:val="FootnoteReference"/>
        </w:rPr>
        <w:footnoteRef/>
      </w:r>
      <w:r>
        <w:t xml:space="preserve"> Horne, pp. 24-25.</w:t>
      </w:r>
    </w:p>
  </w:footnote>
  <w:footnote w:id="8">
    <w:p w14:paraId="06C47B64" w14:textId="77777777" w:rsidR="00EA4121" w:rsidRDefault="00EA4121" w:rsidP="00CC186B">
      <w:pPr>
        <w:pStyle w:val="FootnoteText"/>
      </w:pPr>
      <w:r>
        <w:rPr>
          <w:rStyle w:val="FootnoteReference"/>
        </w:rPr>
        <w:footnoteRef/>
      </w:r>
      <w:r>
        <w:t xml:space="preserve"> Horne, p. 11.</w:t>
      </w:r>
    </w:p>
  </w:footnote>
  <w:footnote w:id="9">
    <w:p w14:paraId="301A6941" w14:textId="77777777" w:rsidR="00EA4121" w:rsidRDefault="00EA4121" w:rsidP="00177772">
      <w:pPr>
        <w:pStyle w:val="FootnoteText"/>
      </w:pPr>
      <w:r>
        <w:rPr>
          <w:rStyle w:val="FootnoteReference"/>
        </w:rPr>
        <w:footnoteRef/>
      </w:r>
      <w:r>
        <w:t xml:space="preserve"> Horne, p. 45. </w:t>
      </w:r>
    </w:p>
  </w:footnote>
  <w:footnote w:id="10">
    <w:p w14:paraId="0044BD6E" w14:textId="77777777" w:rsidR="00EA4121" w:rsidRDefault="00EA4121" w:rsidP="00177772">
      <w:pPr>
        <w:pStyle w:val="FootnoteText"/>
      </w:pPr>
      <w:r>
        <w:rPr>
          <w:rStyle w:val="FootnoteReference"/>
        </w:rPr>
        <w:footnoteRef/>
      </w:r>
      <w:r>
        <w:t xml:space="preserve"> Horne, pp .47-48, p. 50.</w:t>
      </w:r>
    </w:p>
  </w:footnote>
  <w:footnote w:id="11">
    <w:p w14:paraId="1B0A33D2" w14:textId="1F5031CD" w:rsidR="00EA4121" w:rsidRDefault="00EA4121">
      <w:pPr>
        <w:pStyle w:val="FootnoteText"/>
      </w:pPr>
      <w:r>
        <w:rPr>
          <w:rStyle w:val="FootnoteReference"/>
        </w:rPr>
        <w:footnoteRef/>
      </w:r>
      <w:r>
        <w:t xml:space="preserve"> Horne, pp. 223-224.</w:t>
      </w:r>
    </w:p>
  </w:footnote>
  <w:footnote w:id="12">
    <w:p w14:paraId="61B51BA1" w14:textId="5FBAA6D2" w:rsidR="00EA4121" w:rsidRDefault="00EA4121">
      <w:pPr>
        <w:pStyle w:val="FootnoteText"/>
      </w:pPr>
      <w:r>
        <w:rPr>
          <w:rStyle w:val="FootnoteReference"/>
        </w:rPr>
        <w:footnoteRef/>
      </w:r>
      <w:r>
        <w:t xml:space="preserve"> Horne, p. 149.</w:t>
      </w:r>
    </w:p>
  </w:footnote>
  <w:footnote w:id="13">
    <w:p w14:paraId="0A444894" w14:textId="4E14CD9E" w:rsidR="00EA4121" w:rsidRDefault="00EA4121">
      <w:pPr>
        <w:pStyle w:val="FootnoteText"/>
      </w:pPr>
      <w:r>
        <w:rPr>
          <w:rStyle w:val="FootnoteReference"/>
        </w:rPr>
        <w:footnoteRef/>
      </w:r>
      <w:r>
        <w:t xml:space="preserve"> Horne, pp. 142-143.</w:t>
      </w:r>
    </w:p>
  </w:footnote>
  <w:footnote w:id="14">
    <w:p w14:paraId="0DEB110F" w14:textId="77777777" w:rsidR="00EA4121" w:rsidRDefault="00EA4121" w:rsidP="00C726BB">
      <w:pPr>
        <w:pStyle w:val="FootnoteText"/>
      </w:pPr>
      <w:r>
        <w:rPr>
          <w:rStyle w:val="FootnoteReference"/>
        </w:rPr>
        <w:footnoteRef/>
      </w:r>
      <w:r>
        <w:t xml:space="preserve"> Horne, p. 232.</w:t>
      </w:r>
    </w:p>
  </w:footnote>
  <w:footnote w:id="15">
    <w:p w14:paraId="0D81CE9F" w14:textId="766842A7" w:rsidR="00EA4121" w:rsidRDefault="00EA4121">
      <w:pPr>
        <w:pStyle w:val="FootnoteText"/>
      </w:pPr>
      <w:r>
        <w:rPr>
          <w:rStyle w:val="FootnoteReference"/>
        </w:rPr>
        <w:footnoteRef/>
      </w:r>
      <w:r>
        <w:t xml:space="preserve"> Horne, p. 189.</w:t>
      </w:r>
    </w:p>
  </w:footnote>
  <w:footnote w:id="16">
    <w:p w14:paraId="7C49ADA6" w14:textId="77777777" w:rsidR="008A3418" w:rsidRDefault="008A3418" w:rsidP="008A3418">
      <w:pPr>
        <w:pStyle w:val="FootnoteText"/>
      </w:pPr>
      <w:r>
        <w:rPr>
          <w:rStyle w:val="FootnoteReference"/>
        </w:rPr>
        <w:footnoteRef/>
      </w:r>
      <w:r>
        <w:t xml:space="preserve"> McPhee, p. 114</w:t>
      </w:r>
    </w:p>
  </w:footnote>
  <w:footnote w:id="17">
    <w:p w14:paraId="3197AEB8" w14:textId="77777777" w:rsidR="008A3418" w:rsidRDefault="008A3418" w:rsidP="008A3418">
      <w:pPr>
        <w:pStyle w:val="FootnoteText"/>
      </w:pPr>
      <w:r>
        <w:rPr>
          <w:rStyle w:val="FootnoteReference"/>
        </w:rPr>
        <w:footnoteRef/>
      </w:r>
      <w:r>
        <w:t xml:space="preserve"> Foster and Varghese (1996), pp. 3-33 and p. 181.</w:t>
      </w:r>
    </w:p>
  </w:footnote>
  <w:footnote w:id="18">
    <w:p w14:paraId="23169499" w14:textId="77777777" w:rsidR="008A3418" w:rsidRDefault="008A3418" w:rsidP="008A3418">
      <w:pPr>
        <w:pStyle w:val="FootnoteText"/>
      </w:pPr>
      <w:r>
        <w:rPr>
          <w:rStyle w:val="FootnoteReference"/>
        </w:rPr>
        <w:footnoteRef/>
      </w:r>
      <w:r>
        <w:t xml:space="preserve"> McPhee, p. 90 and p. 140.</w:t>
      </w:r>
    </w:p>
  </w:footnote>
  <w:footnote w:id="19">
    <w:p w14:paraId="344F7D8F" w14:textId="77777777" w:rsidR="008A3418" w:rsidRDefault="008A3418" w:rsidP="008A3418">
      <w:pPr>
        <w:pStyle w:val="FootnoteText"/>
      </w:pPr>
      <w:r>
        <w:rPr>
          <w:rStyle w:val="FootnoteReference"/>
        </w:rPr>
        <w:footnoteRef/>
      </w:r>
      <w:r>
        <w:t xml:space="preserve"> McPhee, p. 103.</w:t>
      </w:r>
    </w:p>
  </w:footnote>
  <w:footnote w:id="20">
    <w:p w14:paraId="60B0C6D5" w14:textId="3D544CC2" w:rsidR="00EA4121" w:rsidRDefault="00EA4121">
      <w:pPr>
        <w:pStyle w:val="FootnoteText"/>
      </w:pPr>
      <w:r>
        <w:rPr>
          <w:rStyle w:val="FootnoteReference"/>
        </w:rPr>
        <w:footnoteRef/>
      </w:r>
      <w:r>
        <w:t xml:space="preserve"> Norton (2017).</w:t>
      </w:r>
    </w:p>
  </w:footnote>
  <w:footnote w:id="21">
    <w:p w14:paraId="492AAB07" w14:textId="56ACD642" w:rsidR="00EA4121" w:rsidRDefault="00EA4121">
      <w:pPr>
        <w:pStyle w:val="FootnoteText"/>
      </w:pPr>
      <w:r>
        <w:rPr>
          <w:rStyle w:val="FootnoteReference"/>
        </w:rPr>
        <w:footnoteRef/>
      </w:r>
      <w:r>
        <w:t xml:space="preserve"> DET (2017b).</w:t>
      </w:r>
    </w:p>
  </w:footnote>
  <w:footnote w:id="22">
    <w:p w14:paraId="488AD135" w14:textId="0B633F77" w:rsidR="00EA4121" w:rsidRDefault="00EA4121">
      <w:pPr>
        <w:pStyle w:val="FootnoteText"/>
      </w:pPr>
      <w:r>
        <w:rPr>
          <w:rStyle w:val="FootnoteReference"/>
        </w:rPr>
        <w:footnoteRef/>
      </w:r>
      <w:r>
        <w:t xml:space="preserve"> ABS (2017).</w:t>
      </w:r>
    </w:p>
  </w:footnote>
  <w:footnote w:id="23">
    <w:p w14:paraId="5BC83A4F" w14:textId="77777777" w:rsidR="00EA4121" w:rsidRDefault="00EA4121" w:rsidP="005B0EFE">
      <w:pPr>
        <w:pStyle w:val="FootnoteText"/>
      </w:pPr>
      <w:r>
        <w:rPr>
          <w:rStyle w:val="FootnoteReference"/>
        </w:rPr>
        <w:footnoteRef/>
      </w:r>
      <w:r>
        <w:t xml:space="preserve"> OECD (2017), p. 74.</w:t>
      </w:r>
    </w:p>
  </w:footnote>
  <w:footnote w:id="24">
    <w:p w14:paraId="5733C12C" w14:textId="712FF299" w:rsidR="00EA4121" w:rsidRDefault="00EA4121" w:rsidP="00352973">
      <w:pPr>
        <w:pStyle w:val="FootnoteText"/>
      </w:pPr>
      <w:r>
        <w:rPr>
          <w:rStyle w:val="FootnoteReference"/>
        </w:rPr>
        <w:footnoteRef/>
      </w:r>
      <w:r>
        <w:t xml:space="preserve"> DEET (2017c, 2017d).</w:t>
      </w:r>
    </w:p>
  </w:footnote>
  <w:footnote w:id="25">
    <w:p w14:paraId="516BB744" w14:textId="2392668A" w:rsidR="00EA4121" w:rsidRDefault="00EA4121">
      <w:pPr>
        <w:pStyle w:val="FootnoteText"/>
      </w:pPr>
      <w:r>
        <w:rPr>
          <w:rStyle w:val="FootnoteReference"/>
        </w:rPr>
        <w:footnoteRef/>
      </w:r>
      <w:r>
        <w:t xml:space="preserve"> NSF (2014).</w:t>
      </w:r>
    </w:p>
  </w:footnote>
  <w:footnote w:id="26">
    <w:p w14:paraId="2D3CB63A" w14:textId="4BE5FDAE" w:rsidR="00EA4121" w:rsidRDefault="00EA4121">
      <w:pPr>
        <w:pStyle w:val="FootnoteText"/>
      </w:pPr>
      <w:r>
        <w:rPr>
          <w:rStyle w:val="FootnoteReference"/>
        </w:rPr>
        <w:footnoteRef/>
      </w:r>
      <w:r>
        <w:t xml:space="preserve"> OECD (2017), p. 306.</w:t>
      </w:r>
    </w:p>
  </w:footnote>
  <w:footnote w:id="27">
    <w:p w14:paraId="6CE096F1" w14:textId="5BC161F0" w:rsidR="00EA4121" w:rsidRDefault="00EA4121">
      <w:pPr>
        <w:pStyle w:val="FootnoteText"/>
      </w:pPr>
      <w:r>
        <w:rPr>
          <w:rStyle w:val="FootnoteReference"/>
        </w:rPr>
        <w:footnoteRef/>
      </w:r>
      <w:r>
        <w:t xml:space="preserve"> Leiden University (2017).</w:t>
      </w:r>
    </w:p>
  </w:footnote>
  <w:footnote w:id="28">
    <w:p w14:paraId="0EF9836B" w14:textId="5F075A91" w:rsidR="00EA4121" w:rsidRDefault="00EA4121">
      <w:pPr>
        <w:pStyle w:val="FootnoteText"/>
      </w:pPr>
      <w:r>
        <w:rPr>
          <w:rStyle w:val="FootnoteReference"/>
        </w:rPr>
        <w:footnoteRef/>
      </w:r>
      <w:r>
        <w:t xml:space="preserve"> Chubb (2014), p. 23.</w:t>
      </w:r>
    </w:p>
  </w:footnote>
  <w:footnote w:id="29">
    <w:p w14:paraId="3AE411E3" w14:textId="77777777" w:rsidR="00EA4121" w:rsidRDefault="00EA4121" w:rsidP="00671005">
      <w:pPr>
        <w:pStyle w:val="FootnoteText"/>
      </w:pPr>
      <w:r>
        <w:rPr>
          <w:rStyle w:val="FootnoteReference"/>
        </w:rPr>
        <w:footnoteRef/>
      </w:r>
      <w:r>
        <w:t xml:space="preserve"> Kemp and Norton (2014).</w:t>
      </w:r>
    </w:p>
  </w:footnote>
  <w:footnote w:id="30">
    <w:p w14:paraId="71B05BB0" w14:textId="04711FA7" w:rsidR="00EA4121" w:rsidRDefault="00EA4121">
      <w:pPr>
        <w:pStyle w:val="FootnoteText"/>
      </w:pPr>
      <w:r>
        <w:rPr>
          <w:rStyle w:val="FootnoteReference"/>
        </w:rPr>
        <w:footnoteRef/>
      </w:r>
      <w:r>
        <w:t xml:space="preserve"> </w:t>
      </w:r>
      <w:proofErr w:type="spellStart"/>
      <w:r>
        <w:t>Torok</w:t>
      </w:r>
      <w:proofErr w:type="spellEnd"/>
      <w:r>
        <w:t xml:space="preserve"> and </w:t>
      </w:r>
      <w:proofErr w:type="spellStart"/>
      <w:r>
        <w:t>Holper</w:t>
      </w:r>
      <w:proofErr w:type="spellEnd"/>
      <w:r>
        <w:t xml:space="preserve"> (2017), p. 80.</w:t>
      </w:r>
    </w:p>
  </w:footnote>
  <w:footnote w:id="31">
    <w:p w14:paraId="5A07978D" w14:textId="02D7FC2C" w:rsidR="00EA4121" w:rsidRDefault="00EA4121">
      <w:pPr>
        <w:pStyle w:val="FootnoteText"/>
      </w:pPr>
      <w:r>
        <w:rPr>
          <w:rStyle w:val="FootnoteReference"/>
        </w:rPr>
        <w:footnoteRef/>
      </w:r>
      <w:r>
        <w:t xml:space="preserve"> </w:t>
      </w:r>
      <w:proofErr w:type="spellStart"/>
      <w:r>
        <w:t>Torok</w:t>
      </w:r>
      <w:proofErr w:type="spellEnd"/>
      <w:r>
        <w:t xml:space="preserve"> and </w:t>
      </w:r>
      <w:proofErr w:type="spellStart"/>
      <w:r>
        <w:t>Holper</w:t>
      </w:r>
      <w:proofErr w:type="spellEnd"/>
      <w:r>
        <w:t>, p. 64.</w:t>
      </w:r>
    </w:p>
  </w:footnote>
  <w:footnote w:id="32">
    <w:p w14:paraId="77F9BBD6" w14:textId="257BD986" w:rsidR="00EA4121" w:rsidRDefault="00EA4121">
      <w:pPr>
        <w:pStyle w:val="FootnoteText"/>
      </w:pPr>
      <w:r>
        <w:rPr>
          <w:rStyle w:val="FootnoteReference"/>
        </w:rPr>
        <w:footnoteRef/>
      </w:r>
      <w:r>
        <w:t xml:space="preserve"> </w:t>
      </w:r>
      <w:proofErr w:type="spellStart"/>
      <w:r>
        <w:t>Torok</w:t>
      </w:r>
      <w:proofErr w:type="spellEnd"/>
      <w:r>
        <w:t xml:space="preserve"> and </w:t>
      </w:r>
      <w:proofErr w:type="spellStart"/>
      <w:r>
        <w:t>Holper</w:t>
      </w:r>
      <w:proofErr w:type="spellEnd"/>
      <w:r>
        <w:t>, p. 79.</w:t>
      </w:r>
    </w:p>
  </w:footnote>
  <w:footnote w:id="33">
    <w:p w14:paraId="64D6FEC3" w14:textId="77777777" w:rsidR="00EA4121" w:rsidRDefault="00EA4121" w:rsidP="00A40287">
      <w:pPr>
        <w:pStyle w:val="FootnoteText"/>
      </w:pPr>
      <w:r>
        <w:rPr>
          <w:rStyle w:val="FootnoteReference"/>
        </w:rPr>
        <w:footnoteRef/>
      </w:r>
      <w:r>
        <w:t xml:space="preserve"> Macintyre (2010), pp. 1-10.</w:t>
      </w:r>
    </w:p>
  </w:footnote>
  <w:footnote w:id="34">
    <w:p w14:paraId="339ED796" w14:textId="47535BD8" w:rsidR="00EA4121" w:rsidRDefault="00EA4121">
      <w:pPr>
        <w:pStyle w:val="FootnoteText"/>
      </w:pPr>
      <w:r>
        <w:rPr>
          <w:rStyle w:val="FootnoteReference"/>
        </w:rPr>
        <w:footnoteRef/>
      </w:r>
      <w:r>
        <w:t xml:space="preserve"> Macintyre (2010), p. 201.</w:t>
      </w:r>
    </w:p>
  </w:footnote>
  <w:footnote w:id="35">
    <w:p w14:paraId="75D4779D" w14:textId="5793FC73" w:rsidR="00EA4121" w:rsidRDefault="00EA4121">
      <w:pPr>
        <w:pStyle w:val="FootnoteText"/>
      </w:pPr>
      <w:r>
        <w:rPr>
          <w:rStyle w:val="FootnoteReference"/>
        </w:rPr>
        <w:footnoteRef/>
      </w:r>
      <w:r>
        <w:t xml:space="preserve"> Horne, pp. 97-98.</w:t>
      </w:r>
    </w:p>
  </w:footnote>
  <w:footnote w:id="36">
    <w:p w14:paraId="75EC7359" w14:textId="7980EB3A" w:rsidR="00EA4121" w:rsidRDefault="00EA4121">
      <w:pPr>
        <w:pStyle w:val="FootnoteText"/>
      </w:pPr>
      <w:r>
        <w:rPr>
          <w:rStyle w:val="FootnoteReference"/>
        </w:rPr>
        <w:footnoteRef/>
      </w:r>
      <w:r>
        <w:t xml:space="preserve"> </w:t>
      </w:r>
      <w:proofErr w:type="spellStart"/>
      <w:r>
        <w:t>Kharas</w:t>
      </w:r>
      <w:proofErr w:type="spellEnd"/>
      <w:r>
        <w:t xml:space="preserve"> and </w:t>
      </w:r>
      <w:proofErr w:type="spellStart"/>
      <w:r>
        <w:t>Gertz</w:t>
      </w:r>
      <w:proofErr w:type="spellEnd"/>
      <w:r>
        <w:t xml:space="preserve"> (2010).</w:t>
      </w:r>
    </w:p>
  </w:footnote>
  <w:footnote w:id="37">
    <w:p w14:paraId="2593787E" w14:textId="66B5DFB2" w:rsidR="00EA4121" w:rsidRDefault="00EA4121">
      <w:pPr>
        <w:pStyle w:val="FootnoteText"/>
      </w:pPr>
      <w:r>
        <w:rPr>
          <w:rStyle w:val="FootnoteReference"/>
        </w:rPr>
        <w:footnoteRef/>
      </w:r>
      <w:r>
        <w:t xml:space="preserve"> UNESCO (2016).</w:t>
      </w:r>
    </w:p>
  </w:footnote>
  <w:footnote w:id="38">
    <w:p w14:paraId="57B1F1BA" w14:textId="77777777" w:rsidR="00EA4121" w:rsidRDefault="00EA4121" w:rsidP="00D94710">
      <w:pPr>
        <w:pStyle w:val="FootnoteText"/>
      </w:pPr>
      <w:r>
        <w:rPr>
          <w:rStyle w:val="FootnoteReference"/>
        </w:rPr>
        <w:footnoteRef/>
      </w:r>
      <w:r>
        <w:t xml:space="preserve"> Leiden University (2017).</w:t>
      </w:r>
    </w:p>
  </w:footnote>
  <w:footnote w:id="39">
    <w:p w14:paraId="5D40DBAF" w14:textId="5A2392F1" w:rsidR="00EA4121" w:rsidRDefault="00EA4121">
      <w:pPr>
        <w:pStyle w:val="FootnoteText"/>
      </w:pPr>
      <w:r>
        <w:rPr>
          <w:rStyle w:val="FootnoteReference"/>
        </w:rPr>
        <w:footnoteRef/>
      </w:r>
      <w:r>
        <w:t xml:space="preserve"> Horne, pp. 247-248.</w:t>
      </w:r>
    </w:p>
  </w:footnote>
  <w:footnote w:id="40">
    <w:p w14:paraId="491A7341" w14:textId="21C91267" w:rsidR="00EA4121" w:rsidRDefault="00EA4121">
      <w:pPr>
        <w:pStyle w:val="FootnoteText"/>
      </w:pPr>
      <w:r>
        <w:rPr>
          <w:rStyle w:val="FootnoteReference"/>
        </w:rPr>
        <w:footnoteRef/>
      </w:r>
      <w:r>
        <w:t xml:space="preserve"> McPhee, p. 198. </w:t>
      </w:r>
    </w:p>
  </w:footnote>
  <w:footnote w:id="41">
    <w:p w14:paraId="54B3E7AC" w14:textId="5E394609" w:rsidR="00EA4121" w:rsidRDefault="00EA4121">
      <w:pPr>
        <w:pStyle w:val="FootnoteText"/>
      </w:pPr>
      <w:r>
        <w:rPr>
          <w:rStyle w:val="FootnoteReference"/>
        </w:rPr>
        <w:footnoteRef/>
      </w:r>
      <w:r>
        <w:t xml:space="preserve"> McPhee, p. 184.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B198" w14:textId="77777777" w:rsidR="00EA4121" w:rsidRDefault="00EA4121" w:rsidP="00D3467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DDFE6" w14:textId="77777777" w:rsidR="00EA4121" w:rsidRDefault="00EA41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5C52" w14:textId="77777777" w:rsidR="00EA4121" w:rsidRDefault="00EA4121" w:rsidP="00D3467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779">
      <w:rPr>
        <w:rStyle w:val="PageNumber"/>
        <w:noProof/>
      </w:rPr>
      <w:t>6</w:t>
    </w:r>
    <w:r>
      <w:rPr>
        <w:rStyle w:val="PageNumber"/>
      </w:rPr>
      <w:fldChar w:fldCharType="end"/>
    </w:r>
  </w:p>
  <w:p w14:paraId="69546391" w14:textId="77777777" w:rsidR="00EA4121" w:rsidRDefault="00EA41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10BEA"/>
    <w:multiLevelType w:val="hybridMultilevel"/>
    <w:tmpl w:val="F6362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35"/>
    <w:rsid w:val="0000008B"/>
    <w:rsid w:val="000019EA"/>
    <w:rsid w:val="00003701"/>
    <w:rsid w:val="0001025A"/>
    <w:rsid w:val="00014F52"/>
    <w:rsid w:val="00017ED6"/>
    <w:rsid w:val="00032639"/>
    <w:rsid w:val="00034DF7"/>
    <w:rsid w:val="00035C04"/>
    <w:rsid w:val="000424A7"/>
    <w:rsid w:val="00042D8B"/>
    <w:rsid w:val="00042DC9"/>
    <w:rsid w:val="00042F2A"/>
    <w:rsid w:val="0005104C"/>
    <w:rsid w:val="00052447"/>
    <w:rsid w:val="00052D49"/>
    <w:rsid w:val="000567AD"/>
    <w:rsid w:val="000625F0"/>
    <w:rsid w:val="00064346"/>
    <w:rsid w:val="000664D8"/>
    <w:rsid w:val="00072E63"/>
    <w:rsid w:val="00073EB1"/>
    <w:rsid w:val="00075A17"/>
    <w:rsid w:val="000765AB"/>
    <w:rsid w:val="00076FD9"/>
    <w:rsid w:val="0009197F"/>
    <w:rsid w:val="0009256A"/>
    <w:rsid w:val="00093B47"/>
    <w:rsid w:val="0009513C"/>
    <w:rsid w:val="000961C3"/>
    <w:rsid w:val="00097211"/>
    <w:rsid w:val="000A15B1"/>
    <w:rsid w:val="000A3CAD"/>
    <w:rsid w:val="000A48A4"/>
    <w:rsid w:val="000A541E"/>
    <w:rsid w:val="000A6774"/>
    <w:rsid w:val="000B183F"/>
    <w:rsid w:val="000B45D3"/>
    <w:rsid w:val="000B5B16"/>
    <w:rsid w:val="000C3768"/>
    <w:rsid w:val="000E73A7"/>
    <w:rsid w:val="000F0C53"/>
    <w:rsid w:val="000F2B9C"/>
    <w:rsid w:val="001016D7"/>
    <w:rsid w:val="00105BA4"/>
    <w:rsid w:val="0012071A"/>
    <w:rsid w:val="001218A3"/>
    <w:rsid w:val="001269FB"/>
    <w:rsid w:val="00131757"/>
    <w:rsid w:val="00140E0A"/>
    <w:rsid w:val="00141B23"/>
    <w:rsid w:val="00145906"/>
    <w:rsid w:val="00157285"/>
    <w:rsid w:val="00165420"/>
    <w:rsid w:val="00170B8E"/>
    <w:rsid w:val="00173BAF"/>
    <w:rsid w:val="001752A6"/>
    <w:rsid w:val="001755A1"/>
    <w:rsid w:val="00175711"/>
    <w:rsid w:val="00177772"/>
    <w:rsid w:val="0018688E"/>
    <w:rsid w:val="00187E30"/>
    <w:rsid w:val="001938B3"/>
    <w:rsid w:val="001959BA"/>
    <w:rsid w:val="001A6F01"/>
    <w:rsid w:val="001A7FE1"/>
    <w:rsid w:val="001B45FC"/>
    <w:rsid w:val="001C1BC0"/>
    <w:rsid w:val="001C7E72"/>
    <w:rsid w:val="001E1DC8"/>
    <w:rsid w:val="001E786C"/>
    <w:rsid w:val="001F0246"/>
    <w:rsid w:val="001F086D"/>
    <w:rsid w:val="001F186C"/>
    <w:rsid w:val="001F2C0A"/>
    <w:rsid w:val="001F6214"/>
    <w:rsid w:val="001F67BC"/>
    <w:rsid w:val="001F7043"/>
    <w:rsid w:val="0020070B"/>
    <w:rsid w:val="0020128D"/>
    <w:rsid w:val="00213D0D"/>
    <w:rsid w:val="00215ABB"/>
    <w:rsid w:val="00215B83"/>
    <w:rsid w:val="00227215"/>
    <w:rsid w:val="00227B33"/>
    <w:rsid w:val="002306A6"/>
    <w:rsid w:val="00234587"/>
    <w:rsid w:val="00236D99"/>
    <w:rsid w:val="0024075B"/>
    <w:rsid w:val="00240B80"/>
    <w:rsid w:val="00247BD1"/>
    <w:rsid w:val="00251B39"/>
    <w:rsid w:val="0025620E"/>
    <w:rsid w:val="0026094D"/>
    <w:rsid w:val="00271D4F"/>
    <w:rsid w:val="00274098"/>
    <w:rsid w:val="00274EBC"/>
    <w:rsid w:val="00276AF9"/>
    <w:rsid w:val="002800E2"/>
    <w:rsid w:val="002834B3"/>
    <w:rsid w:val="002909BE"/>
    <w:rsid w:val="00293A34"/>
    <w:rsid w:val="00297336"/>
    <w:rsid w:val="002A6108"/>
    <w:rsid w:val="002A7CA3"/>
    <w:rsid w:val="002B125C"/>
    <w:rsid w:val="002B3650"/>
    <w:rsid w:val="002B3E4D"/>
    <w:rsid w:val="002B4192"/>
    <w:rsid w:val="002B4765"/>
    <w:rsid w:val="002C11DA"/>
    <w:rsid w:val="002D02F1"/>
    <w:rsid w:val="002D24E1"/>
    <w:rsid w:val="002D3249"/>
    <w:rsid w:val="002D667D"/>
    <w:rsid w:val="002E0811"/>
    <w:rsid w:val="002F07F0"/>
    <w:rsid w:val="00301B05"/>
    <w:rsid w:val="0030524C"/>
    <w:rsid w:val="00306A31"/>
    <w:rsid w:val="00306DA7"/>
    <w:rsid w:val="003145C7"/>
    <w:rsid w:val="0032243D"/>
    <w:rsid w:val="00324268"/>
    <w:rsid w:val="00335FD7"/>
    <w:rsid w:val="00342F34"/>
    <w:rsid w:val="00343C03"/>
    <w:rsid w:val="00344B8A"/>
    <w:rsid w:val="00345EA1"/>
    <w:rsid w:val="0034741E"/>
    <w:rsid w:val="00347EA4"/>
    <w:rsid w:val="00352973"/>
    <w:rsid w:val="00355513"/>
    <w:rsid w:val="00355B24"/>
    <w:rsid w:val="00373768"/>
    <w:rsid w:val="00375F8B"/>
    <w:rsid w:val="00382C69"/>
    <w:rsid w:val="00383E45"/>
    <w:rsid w:val="003876CC"/>
    <w:rsid w:val="0039134B"/>
    <w:rsid w:val="003934CE"/>
    <w:rsid w:val="003944E6"/>
    <w:rsid w:val="003A03E3"/>
    <w:rsid w:val="003A142F"/>
    <w:rsid w:val="003B5E34"/>
    <w:rsid w:val="003C067F"/>
    <w:rsid w:val="003C1AB3"/>
    <w:rsid w:val="003C1B28"/>
    <w:rsid w:val="003C2BE2"/>
    <w:rsid w:val="003C2F83"/>
    <w:rsid w:val="003C554E"/>
    <w:rsid w:val="003D0F6B"/>
    <w:rsid w:val="003D4D8C"/>
    <w:rsid w:val="003D4EEF"/>
    <w:rsid w:val="003D7FC0"/>
    <w:rsid w:val="003E0E2C"/>
    <w:rsid w:val="003E4B45"/>
    <w:rsid w:val="003E5A5E"/>
    <w:rsid w:val="003F0CA1"/>
    <w:rsid w:val="003F7B37"/>
    <w:rsid w:val="003F7E93"/>
    <w:rsid w:val="00401834"/>
    <w:rsid w:val="00403EFE"/>
    <w:rsid w:val="0041339D"/>
    <w:rsid w:val="0041550F"/>
    <w:rsid w:val="00420300"/>
    <w:rsid w:val="00420C74"/>
    <w:rsid w:val="00421C78"/>
    <w:rsid w:val="0042330B"/>
    <w:rsid w:val="004253E0"/>
    <w:rsid w:val="0043558E"/>
    <w:rsid w:val="0043769E"/>
    <w:rsid w:val="0044278D"/>
    <w:rsid w:val="00442E57"/>
    <w:rsid w:val="00443709"/>
    <w:rsid w:val="0044575D"/>
    <w:rsid w:val="00446B58"/>
    <w:rsid w:val="00447E9A"/>
    <w:rsid w:val="00453D81"/>
    <w:rsid w:val="0046443A"/>
    <w:rsid w:val="00477BC5"/>
    <w:rsid w:val="00484AAB"/>
    <w:rsid w:val="00487B57"/>
    <w:rsid w:val="00490333"/>
    <w:rsid w:val="00494F1F"/>
    <w:rsid w:val="00496623"/>
    <w:rsid w:val="004A0A70"/>
    <w:rsid w:val="004A4D67"/>
    <w:rsid w:val="004B2B00"/>
    <w:rsid w:val="004C362C"/>
    <w:rsid w:val="004C738C"/>
    <w:rsid w:val="004D252E"/>
    <w:rsid w:val="004D5AE1"/>
    <w:rsid w:val="004E35D5"/>
    <w:rsid w:val="004E71E5"/>
    <w:rsid w:val="004E7325"/>
    <w:rsid w:val="004F6B6A"/>
    <w:rsid w:val="004F76B4"/>
    <w:rsid w:val="004F7958"/>
    <w:rsid w:val="004F7BFD"/>
    <w:rsid w:val="00504D6A"/>
    <w:rsid w:val="005107F7"/>
    <w:rsid w:val="00511B84"/>
    <w:rsid w:val="00517810"/>
    <w:rsid w:val="00523C6E"/>
    <w:rsid w:val="00525D71"/>
    <w:rsid w:val="0053230E"/>
    <w:rsid w:val="0053761D"/>
    <w:rsid w:val="00546E45"/>
    <w:rsid w:val="0056027E"/>
    <w:rsid w:val="0056568E"/>
    <w:rsid w:val="00570831"/>
    <w:rsid w:val="00571B63"/>
    <w:rsid w:val="00577AAE"/>
    <w:rsid w:val="005818A3"/>
    <w:rsid w:val="005868B5"/>
    <w:rsid w:val="005A491B"/>
    <w:rsid w:val="005A6B7D"/>
    <w:rsid w:val="005B0EFE"/>
    <w:rsid w:val="005B2D7F"/>
    <w:rsid w:val="005B4286"/>
    <w:rsid w:val="005C0FB9"/>
    <w:rsid w:val="005C1A4E"/>
    <w:rsid w:val="005C217B"/>
    <w:rsid w:val="005C2EBB"/>
    <w:rsid w:val="005C5EC0"/>
    <w:rsid w:val="005C694F"/>
    <w:rsid w:val="005D6B86"/>
    <w:rsid w:val="005D6C91"/>
    <w:rsid w:val="005E28F5"/>
    <w:rsid w:val="005E71FF"/>
    <w:rsid w:val="005F0A27"/>
    <w:rsid w:val="005F122B"/>
    <w:rsid w:val="005F41C7"/>
    <w:rsid w:val="005F5BB0"/>
    <w:rsid w:val="0060495A"/>
    <w:rsid w:val="00605FE1"/>
    <w:rsid w:val="00611EE8"/>
    <w:rsid w:val="00612850"/>
    <w:rsid w:val="006207F1"/>
    <w:rsid w:val="00621ADF"/>
    <w:rsid w:val="0064753E"/>
    <w:rsid w:val="0065052C"/>
    <w:rsid w:val="0065214D"/>
    <w:rsid w:val="00667D4D"/>
    <w:rsid w:val="00671005"/>
    <w:rsid w:val="00671CB7"/>
    <w:rsid w:val="00672ACA"/>
    <w:rsid w:val="006730ED"/>
    <w:rsid w:val="00682671"/>
    <w:rsid w:val="00687456"/>
    <w:rsid w:val="006906A4"/>
    <w:rsid w:val="006924B9"/>
    <w:rsid w:val="00696786"/>
    <w:rsid w:val="006A0365"/>
    <w:rsid w:val="006A5EAE"/>
    <w:rsid w:val="006A6256"/>
    <w:rsid w:val="006A685D"/>
    <w:rsid w:val="006B24D9"/>
    <w:rsid w:val="006B596B"/>
    <w:rsid w:val="006B7438"/>
    <w:rsid w:val="006C068C"/>
    <w:rsid w:val="006D1DF5"/>
    <w:rsid w:val="006D3BCE"/>
    <w:rsid w:val="006D5E44"/>
    <w:rsid w:val="006E15AB"/>
    <w:rsid w:val="006E4F1F"/>
    <w:rsid w:val="006F4923"/>
    <w:rsid w:val="006F5105"/>
    <w:rsid w:val="006F7E96"/>
    <w:rsid w:val="007020DF"/>
    <w:rsid w:val="0070373E"/>
    <w:rsid w:val="007043E8"/>
    <w:rsid w:val="00721BF7"/>
    <w:rsid w:val="00724CBA"/>
    <w:rsid w:val="007324C5"/>
    <w:rsid w:val="00734F04"/>
    <w:rsid w:val="00750DE0"/>
    <w:rsid w:val="00754EEE"/>
    <w:rsid w:val="0075674B"/>
    <w:rsid w:val="00757E82"/>
    <w:rsid w:val="00760FC3"/>
    <w:rsid w:val="0076278A"/>
    <w:rsid w:val="007732EB"/>
    <w:rsid w:val="0077470E"/>
    <w:rsid w:val="00786986"/>
    <w:rsid w:val="00787FC4"/>
    <w:rsid w:val="007919E2"/>
    <w:rsid w:val="00793A5E"/>
    <w:rsid w:val="007949C8"/>
    <w:rsid w:val="00795AE6"/>
    <w:rsid w:val="007A4BA9"/>
    <w:rsid w:val="007A5ECA"/>
    <w:rsid w:val="007A6EB6"/>
    <w:rsid w:val="007B1106"/>
    <w:rsid w:val="007D45FD"/>
    <w:rsid w:val="007D61F0"/>
    <w:rsid w:val="007E6400"/>
    <w:rsid w:val="00802AC6"/>
    <w:rsid w:val="00804394"/>
    <w:rsid w:val="008048A1"/>
    <w:rsid w:val="00810F36"/>
    <w:rsid w:val="00811654"/>
    <w:rsid w:val="00813050"/>
    <w:rsid w:val="00814EA4"/>
    <w:rsid w:val="008216EC"/>
    <w:rsid w:val="008326CF"/>
    <w:rsid w:val="0083712A"/>
    <w:rsid w:val="00842A19"/>
    <w:rsid w:val="0084405D"/>
    <w:rsid w:val="008526F9"/>
    <w:rsid w:val="00855DC3"/>
    <w:rsid w:val="008568F1"/>
    <w:rsid w:val="008575D8"/>
    <w:rsid w:val="00864230"/>
    <w:rsid w:val="00872021"/>
    <w:rsid w:val="00881E38"/>
    <w:rsid w:val="00885046"/>
    <w:rsid w:val="008936BF"/>
    <w:rsid w:val="00896205"/>
    <w:rsid w:val="0089679F"/>
    <w:rsid w:val="008A1501"/>
    <w:rsid w:val="008A2822"/>
    <w:rsid w:val="008A3418"/>
    <w:rsid w:val="008A7E14"/>
    <w:rsid w:val="008B5AED"/>
    <w:rsid w:val="008C2B0A"/>
    <w:rsid w:val="008C65F2"/>
    <w:rsid w:val="008D1BCB"/>
    <w:rsid w:val="008D5B63"/>
    <w:rsid w:val="008E470B"/>
    <w:rsid w:val="008E49FD"/>
    <w:rsid w:val="008F6DAC"/>
    <w:rsid w:val="008F770B"/>
    <w:rsid w:val="00903AF0"/>
    <w:rsid w:val="0090770E"/>
    <w:rsid w:val="00907AE8"/>
    <w:rsid w:val="00914ADB"/>
    <w:rsid w:val="00921AAF"/>
    <w:rsid w:val="0093178A"/>
    <w:rsid w:val="0093556D"/>
    <w:rsid w:val="00937B63"/>
    <w:rsid w:val="00941715"/>
    <w:rsid w:val="0094568B"/>
    <w:rsid w:val="00946557"/>
    <w:rsid w:val="00954F69"/>
    <w:rsid w:val="00956AF6"/>
    <w:rsid w:val="00971BC1"/>
    <w:rsid w:val="00974E40"/>
    <w:rsid w:val="00975856"/>
    <w:rsid w:val="0097602C"/>
    <w:rsid w:val="00981CA0"/>
    <w:rsid w:val="00990A3E"/>
    <w:rsid w:val="0099280F"/>
    <w:rsid w:val="00992982"/>
    <w:rsid w:val="00992F24"/>
    <w:rsid w:val="00994D00"/>
    <w:rsid w:val="009A28E7"/>
    <w:rsid w:val="009A2ABD"/>
    <w:rsid w:val="009A59AC"/>
    <w:rsid w:val="009B1BAE"/>
    <w:rsid w:val="009B2862"/>
    <w:rsid w:val="009B2978"/>
    <w:rsid w:val="009C386E"/>
    <w:rsid w:val="009C4778"/>
    <w:rsid w:val="009D0152"/>
    <w:rsid w:val="009D10A5"/>
    <w:rsid w:val="009D18D6"/>
    <w:rsid w:val="009D6CC9"/>
    <w:rsid w:val="009E4210"/>
    <w:rsid w:val="009E4223"/>
    <w:rsid w:val="009E52EA"/>
    <w:rsid w:val="009E7948"/>
    <w:rsid w:val="009F0592"/>
    <w:rsid w:val="009F710B"/>
    <w:rsid w:val="009F715B"/>
    <w:rsid w:val="00A02D4F"/>
    <w:rsid w:val="00A10C2D"/>
    <w:rsid w:val="00A122C6"/>
    <w:rsid w:val="00A122FE"/>
    <w:rsid w:val="00A32985"/>
    <w:rsid w:val="00A36EC3"/>
    <w:rsid w:val="00A40198"/>
    <w:rsid w:val="00A40287"/>
    <w:rsid w:val="00A46A4D"/>
    <w:rsid w:val="00A51D56"/>
    <w:rsid w:val="00A53A89"/>
    <w:rsid w:val="00A541E5"/>
    <w:rsid w:val="00A570D1"/>
    <w:rsid w:val="00A60A69"/>
    <w:rsid w:val="00A61F6F"/>
    <w:rsid w:val="00A65623"/>
    <w:rsid w:val="00A67DEA"/>
    <w:rsid w:val="00A70475"/>
    <w:rsid w:val="00A706A3"/>
    <w:rsid w:val="00A70FA5"/>
    <w:rsid w:val="00A72F9A"/>
    <w:rsid w:val="00A7672F"/>
    <w:rsid w:val="00A76A8E"/>
    <w:rsid w:val="00A85895"/>
    <w:rsid w:val="00A868C6"/>
    <w:rsid w:val="00A903D5"/>
    <w:rsid w:val="00A9219A"/>
    <w:rsid w:val="00A948C3"/>
    <w:rsid w:val="00AA195F"/>
    <w:rsid w:val="00AA1993"/>
    <w:rsid w:val="00AB2C21"/>
    <w:rsid w:val="00AB4730"/>
    <w:rsid w:val="00AB6939"/>
    <w:rsid w:val="00AC07EA"/>
    <w:rsid w:val="00AC1B83"/>
    <w:rsid w:val="00AD67C8"/>
    <w:rsid w:val="00AD7934"/>
    <w:rsid w:val="00AE6B0E"/>
    <w:rsid w:val="00AF5AC3"/>
    <w:rsid w:val="00AF74D4"/>
    <w:rsid w:val="00B027E1"/>
    <w:rsid w:val="00B03535"/>
    <w:rsid w:val="00B04979"/>
    <w:rsid w:val="00B11CA4"/>
    <w:rsid w:val="00B140E4"/>
    <w:rsid w:val="00B14639"/>
    <w:rsid w:val="00B16D44"/>
    <w:rsid w:val="00B20196"/>
    <w:rsid w:val="00B20F79"/>
    <w:rsid w:val="00B25DEB"/>
    <w:rsid w:val="00B33853"/>
    <w:rsid w:val="00B34275"/>
    <w:rsid w:val="00B34ABC"/>
    <w:rsid w:val="00B517E8"/>
    <w:rsid w:val="00B52375"/>
    <w:rsid w:val="00B549E1"/>
    <w:rsid w:val="00B571F3"/>
    <w:rsid w:val="00B6235A"/>
    <w:rsid w:val="00B706D4"/>
    <w:rsid w:val="00B81B59"/>
    <w:rsid w:val="00B83ACC"/>
    <w:rsid w:val="00B84824"/>
    <w:rsid w:val="00B84D0C"/>
    <w:rsid w:val="00B85D3A"/>
    <w:rsid w:val="00B924CF"/>
    <w:rsid w:val="00B937C6"/>
    <w:rsid w:val="00B95B45"/>
    <w:rsid w:val="00B95D8C"/>
    <w:rsid w:val="00B9631D"/>
    <w:rsid w:val="00B979BE"/>
    <w:rsid w:val="00BA0320"/>
    <w:rsid w:val="00BA033C"/>
    <w:rsid w:val="00BA1D9D"/>
    <w:rsid w:val="00BA291E"/>
    <w:rsid w:val="00BA2C7A"/>
    <w:rsid w:val="00BA3AB0"/>
    <w:rsid w:val="00BB3B16"/>
    <w:rsid w:val="00BB62D8"/>
    <w:rsid w:val="00BB638E"/>
    <w:rsid w:val="00BC07BE"/>
    <w:rsid w:val="00BD6486"/>
    <w:rsid w:val="00BD6731"/>
    <w:rsid w:val="00BD7C50"/>
    <w:rsid w:val="00BE1ECC"/>
    <w:rsid w:val="00BE2779"/>
    <w:rsid w:val="00BE3C60"/>
    <w:rsid w:val="00BE5005"/>
    <w:rsid w:val="00BE76AD"/>
    <w:rsid w:val="00BF012F"/>
    <w:rsid w:val="00BF01AE"/>
    <w:rsid w:val="00BF0F90"/>
    <w:rsid w:val="00BF3C3C"/>
    <w:rsid w:val="00BF3D12"/>
    <w:rsid w:val="00BF47DA"/>
    <w:rsid w:val="00BF68AC"/>
    <w:rsid w:val="00BF7B22"/>
    <w:rsid w:val="00C00CCA"/>
    <w:rsid w:val="00C035CA"/>
    <w:rsid w:val="00C05461"/>
    <w:rsid w:val="00C067FA"/>
    <w:rsid w:val="00C06CEC"/>
    <w:rsid w:val="00C148E1"/>
    <w:rsid w:val="00C1706F"/>
    <w:rsid w:val="00C24E2E"/>
    <w:rsid w:val="00C25AD4"/>
    <w:rsid w:val="00C25F9E"/>
    <w:rsid w:val="00C33FD8"/>
    <w:rsid w:val="00C351B9"/>
    <w:rsid w:val="00C36A6D"/>
    <w:rsid w:val="00C41130"/>
    <w:rsid w:val="00C43EF4"/>
    <w:rsid w:val="00C516A6"/>
    <w:rsid w:val="00C60046"/>
    <w:rsid w:val="00C678E1"/>
    <w:rsid w:val="00C726BB"/>
    <w:rsid w:val="00C752DA"/>
    <w:rsid w:val="00C813CB"/>
    <w:rsid w:val="00C815FA"/>
    <w:rsid w:val="00C86E5D"/>
    <w:rsid w:val="00C87A6D"/>
    <w:rsid w:val="00C9511B"/>
    <w:rsid w:val="00C9521C"/>
    <w:rsid w:val="00C953A9"/>
    <w:rsid w:val="00C96477"/>
    <w:rsid w:val="00CA0309"/>
    <w:rsid w:val="00CC186B"/>
    <w:rsid w:val="00CC301C"/>
    <w:rsid w:val="00CC50EF"/>
    <w:rsid w:val="00CE080B"/>
    <w:rsid w:val="00CE0E65"/>
    <w:rsid w:val="00CF426A"/>
    <w:rsid w:val="00CF599D"/>
    <w:rsid w:val="00CF6B5E"/>
    <w:rsid w:val="00CF73F5"/>
    <w:rsid w:val="00D0245B"/>
    <w:rsid w:val="00D026A6"/>
    <w:rsid w:val="00D041CE"/>
    <w:rsid w:val="00D07062"/>
    <w:rsid w:val="00D12B3B"/>
    <w:rsid w:val="00D17D8B"/>
    <w:rsid w:val="00D22464"/>
    <w:rsid w:val="00D229F2"/>
    <w:rsid w:val="00D24F26"/>
    <w:rsid w:val="00D273AB"/>
    <w:rsid w:val="00D3163D"/>
    <w:rsid w:val="00D34679"/>
    <w:rsid w:val="00D37838"/>
    <w:rsid w:val="00D41345"/>
    <w:rsid w:val="00D44535"/>
    <w:rsid w:val="00D64829"/>
    <w:rsid w:val="00D653C6"/>
    <w:rsid w:val="00D70C68"/>
    <w:rsid w:val="00D72420"/>
    <w:rsid w:val="00D7591C"/>
    <w:rsid w:val="00D76A7C"/>
    <w:rsid w:val="00D806D4"/>
    <w:rsid w:val="00D86235"/>
    <w:rsid w:val="00D86EB7"/>
    <w:rsid w:val="00D90426"/>
    <w:rsid w:val="00D92F5A"/>
    <w:rsid w:val="00D94710"/>
    <w:rsid w:val="00D975B1"/>
    <w:rsid w:val="00DA0D30"/>
    <w:rsid w:val="00DB3C70"/>
    <w:rsid w:val="00DB40F7"/>
    <w:rsid w:val="00DB50A0"/>
    <w:rsid w:val="00DB68D8"/>
    <w:rsid w:val="00DC0AE2"/>
    <w:rsid w:val="00DD3CB8"/>
    <w:rsid w:val="00DD64E5"/>
    <w:rsid w:val="00DD66DA"/>
    <w:rsid w:val="00DE05AA"/>
    <w:rsid w:val="00DE3F31"/>
    <w:rsid w:val="00DE43C2"/>
    <w:rsid w:val="00DF46C2"/>
    <w:rsid w:val="00E0011B"/>
    <w:rsid w:val="00E04062"/>
    <w:rsid w:val="00E067C0"/>
    <w:rsid w:val="00E06FFC"/>
    <w:rsid w:val="00E07B5C"/>
    <w:rsid w:val="00E106D6"/>
    <w:rsid w:val="00E10DC1"/>
    <w:rsid w:val="00E177F4"/>
    <w:rsid w:val="00E2151C"/>
    <w:rsid w:val="00E256E8"/>
    <w:rsid w:val="00E366EB"/>
    <w:rsid w:val="00E376D9"/>
    <w:rsid w:val="00E41417"/>
    <w:rsid w:val="00E41FFE"/>
    <w:rsid w:val="00E42EB8"/>
    <w:rsid w:val="00E437C2"/>
    <w:rsid w:val="00E445C3"/>
    <w:rsid w:val="00E4673D"/>
    <w:rsid w:val="00E5768C"/>
    <w:rsid w:val="00E71903"/>
    <w:rsid w:val="00E728EE"/>
    <w:rsid w:val="00E8274E"/>
    <w:rsid w:val="00E84BAE"/>
    <w:rsid w:val="00E8572D"/>
    <w:rsid w:val="00E900BA"/>
    <w:rsid w:val="00E90F93"/>
    <w:rsid w:val="00E97DBA"/>
    <w:rsid w:val="00EA28B5"/>
    <w:rsid w:val="00EA4121"/>
    <w:rsid w:val="00EA7320"/>
    <w:rsid w:val="00EA7C1A"/>
    <w:rsid w:val="00EB105D"/>
    <w:rsid w:val="00EC2B43"/>
    <w:rsid w:val="00ED473C"/>
    <w:rsid w:val="00EE157D"/>
    <w:rsid w:val="00EE276A"/>
    <w:rsid w:val="00EE5894"/>
    <w:rsid w:val="00EE6206"/>
    <w:rsid w:val="00EE6C15"/>
    <w:rsid w:val="00EF0A5C"/>
    <w:rsid w:val="00EF296B"/>
    <w:rsid w:val="00EF341A"/>
    <w:rsid w:val="00EF5FD7"/>
    <w:rsid w:val="00F12485"/>
    <w:rsid w:val="00F14263"/>
    <w:rsid w:val="00F229F2"/>
    <w:rsid w:val="00F22B03"/>
    <w:rsid w:val="00F25E22"/>
    <w:rsid w:val="00F3019E"/>
    <w:rsid w:val="00F365C4"/>
    <w:rsid w:val="00F40DBC"/>
    <w:rsid w:val="00F41B7D"/>
    <w:rsid w:val="00F45099"/>
    <w:rsid w:val="00F51898"/>
    <w:rsid w:val="00F522A2"/>
    <w:rsid w:val="00F530A9"/>
    <w:rsid w:val="00F650E3"/>
    <w:rsid w:val="00F675F7"/>
    <w:rsid w:val="00F74609"/>
    <w:rsid w:val="00F76CDA"/>
    <w:rsid w:val="00F81266"/>
    <w:rsid w:val="00F8145B"/>
    <w:rsid w:val="00F90FB2"/>
    <w:rsid w:val="00F9471A"/>
    <w:rsid w:val="00FA05F8"/>
    <w:rsid w:val="00FA2FDC"/>
    <w:rsid w:val="00FB2E0C"/>
    <w:rsid w:val="00FB3525"/>
    <w:rsid w:val="00FB3C9D"/>
    <w:rsid w:val="00FB561A"/>
    <w:rsid w:val="00FB77A8"/>
    <w:rsid w:val="00FC3B2F"/>
    <w:rsid w:val="00FD21A9"/>
    <w:rsid w:val="00FD3836"/>
    <w:rsid w:val="00FD5CB2"/>
    <w:rsid w:val="00FD5FDA"/>
    <w:rsid w:val="00FE34FC"/>
    <w:rsid w:val="00FE771A"/>
    <w:rsid w:val="00FF4160"/>
    <w:rsid w:val="00FF439A"/>
    <w:rsid w:val="00FF4451"/>
    <w:rsid w:val="00FF5DD6"/>
    <w:rsid w:val="00FF74B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AB7C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535"/>
    <w:pPr>
      <w:tabs>
        <w:tab w:val="center" w:pos="4513"/>
        <w:tab w:val="right" w:pos="9026"/>
      </w:tabs>
    </w:pPr>
  </w:style>
  <w:style w:type="character" w:customStyle="1" w:styleId="HeaderChar">
    <w:name w:val="Header Char"/>
    <w:basedOn w:val="DefaultParagraphFont"/>
    <w:link w:val="Header"/>
    <w:uiPriority w:val="99"/>
    <w:rsid w:val="00D44535"/>
  </w:style>
  <w:style w:type="character" w:styleId="PageNumber">
    <w:name w:val="page number"/>
    <w:basedOn w:val="DefaultParagraphFont"/>
    <w:uiPriority w:val="99"/>
    <w:semiHidden/>
    <w:unhideWhenUsed/>
    <w:rsid w:val="00D44535"/>
  </w:style>
  <w:style w:type="paragraph" w:styleId="ListParagraph">
    <w:name w:val="List Paragraph"/>
    <w:basedOn w:val="Normal"/>
    <w:uiPriority w:val="34"/>
    <w:qFormat/>
    <w:rsid w:val="00750DE0"/>
    <w:pPr>
      <w:ind w:left="720"/>
      <w:contextualSpacing/>
    </w:pPr>
  </w:style>
  <w:style w:type="paragraph" w:styleId="FootnoteText">
    <w:name w:val="footnote text"/>
    <w:basedOn w:val="Normal"/>
    <w:link w:val="FootnoteTextChar"/>
    <w:uiPriority w:val="99"/>
    <w:unhideWhenUsed/>
    <w:rsid w:val="00C43EF4"/>
  </w:style>
  <w:style w:type="character" w:customStyle="1" w:styleId="FootnoteTextChar">
    <w:name w:val="Footnote Text Char"/>
    <w:basedOn w:val="DefaultParagraphFont"/>
    <w:link w:val="FootnoteText"/>
    <w:uiPriority w:val="99"/>
    <w:rsid w:val="00C43EF4"/>
  </w:style>
  <w:style w:type="character" w:styleId="FootnoteReference">
    <w:name w:val="footnote reference"/>
    <w:basedOn w:val="DefaultParagraphFont"/>
    <w:uiPriority w:val="99"/>
    <w:unhideWhenUsed/>
    <w:rsid w:val="00C43EF4"/>
    <w:rPr>
      <w:vertAlign w:val="superscript"/>
    </w:rPr>
  </w:style>
  <w:style w:type="character" w:customStyle="1" w:styleId="Italics">
    <w:name w:val="#Italics"/>
    <w:uiPriority w:val="1"/>
    <w:qFormat/>
    <w:rsid w:val="008216E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TotalTime>
  <Pages>19</Pages>
  <Words>5521</Words>
  <Characters>31476</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191</cp:revision>
  <dcterms:created xsi:type="dcterms:W3CDTF">2017-10-06T11:28:00Z</dcterms:created>
  <dcterms:modified xsi:type="dcterms:W3CDTF">2017-10-10T22:01:00Z</dcterms:modified>
</cp:coreProperties>
</file>