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4EFEE" w14:textId="1A3739E2" w:rsidR="00F85702" w:rsidRPr="00F85702" w:rsidRDefault="00F85702" w:rsidP="00F85702">
      <w:pPr>
        <w:spacing w:line="276" w:lineRule="auto"/>
        <w:rPr>
          <w:rFonts w:asciiTheme="majorHAnsi" w:hAnsiTheme="majorHAnsi"/>
          <w:i/>
          <w:sz w:val="28"/>
          <w:szCs w:val="28"/>
        </w:rPr>
      </w:pPr>
      <w:r w:rsidRPr="00F85702">
        <w:rPr>
          <w:rFonts w:asciiTheme="majorHAnsi" w:hAnsiTheme="majorHAnsi"/>
          <w:i/>
          <w:sz w:val="28"/>
          <w:szCs w:val="28"/>
        </w:rPr>
        <w:t>[speech version</w:t>
      </w:r>
      <w:r w:rsidR="00135A55">
        <w:rPr>
          <w:rFonts w:asciiTheme="majorHAnsi" w:hAnsiTheme="majorHAnsi"/>
          <w:i/>
          <w:sz w:val="28"/>
          <w:szCs w:val="28"/>
        </w:rPr>
        <w:t>—not the full paper</w:t>
      </w:r>
      <w:r w:rsidRPr="00F85702">
        <w:rPr>
          <w:rFonts w:asciiTheme="majorHAnsi" w:hAnsiTheme="majorHAnsi"/>
          <w:i/>
          <w:sz w:val="28"/>
          <w:szCs w:val="28"/>
        </w:rPr>
        <w:t>]</w:t>
      </w:r>
    </w:p>
    <w:p w14:paraId="3553113D" w14:textId="3055854F" w:rsidR="00E55347" w:rsidRPr="00F85702" w:rsidRDefault="00324114" w:rsidP="00F85702">
      <w:pPr>
        <w:spacing w:line="276" w:lineRule="auto"/>
        <w:rPr>
          <w:sz w:val="36"/>
          <w:szCs w:val="36"/>
        </w:rPr>
      </w:pPr>
      <w:r w:rsidRPr="00F85702">
        <w:rPr>
          <w:b/>
          <w:sz w:val="36"/>
          <w:szCs w:val="36"/>
        </w:rPr>
        <w:t xml:space="preserve">Higher Education as Self-Formation </w:t>
      </w:r>
    </w:p>
    <w:p w14:paraId="046C1DFF" w14:textId="77777777" w:rsidR="00F85702" w:rsidRPr="004C7E02" w:rsidRDefault="00F85702" w:rsidP="00F85702">
      <w:pPr>
        <w:spacing w:line="276" w:lineRule="auto"/>
      </w:pPr>
    </w:p>
    <w:p w14:paraId="42953628" w14:textId="714B7C5D" w:rsidR="00324114" w:rsidRPr="00F85702" w:rsidRDefault="00324114" w:rsidP="00F85702">
      <w:pPr>
        <w:spacing w:line="276" w:lineRule="auto"/>
        <w:rPr>
          <w:sz w:val="28"/>
          <w:szCs w:val="28"/>
        </w:rPr>
      </w:pPr>
      <w:r w:rsidRPr="00F85702">
        <w:rPr>
          <w:sz w:val="28"/>
          <w:szCs w:val="28"/>
        </w:rPr>
        <w:t>Simon Marginson</w:t>
      </w:r>
    </w:p>
    <w:p w14:paraId="19174570" w14:textId="77777777" w:rsidR="004C7E02" w:rsidRDefault="004C7E02" w:rsidP="00F85702">
      <w:pPr>
        <w:spacing w:line="276" w:lineRule="auto"/>
      </w:pPr>
    </w:p>
    <w:p w14:paraId="20AE8F01" w14:textId="4B39D34D" w:rsidR="00F85702" w:rsidRPr="004C7E02" w:rsidRDefault="00F85702" w:rsidP="00F85702">
      <w:pPr>
        <w:spacing w:line="276" w:lineRule="auto"/>
      </w:pPr>
      <w:r w:rsidRPr="004C7E02">
        <w:t>ESRC/HEFCE Centre for Global Higher Education</w:t>
      </w:r>
    </w:p>
    <w:p w14:paraId="77EEE1D6" w14:textId="648C2342" w:rsidR="00324114" w:rsidRPr="004C7E02" w:rsidRDefault="00324114" w:rsidP="00F85702">
      <w:pPr>
        <w:spacing w:line="276" w:lineRule="auto"/>
      </w:pPr>
      <w:r w:rsidRPr="004C7E02">
        <w:t xml:space="preserve">UCL </w:t>
      </w:r>
      <w:r w:rsidR="004C7E02">
        <w:t>Institute of Education</w:t>
      </w:r>
      <w:r w:rsidRPr="004C7E02">
        <w:t xml:space="preserve">, </w:t>
      </w:r>
      <w:r w:rsidR="00B9573B">
        <w:t>U</w:t>
      </w:r>
      <w:bookmarkStart w:id="0" w:name="_GoBack"/>
      <w:bookmarkEnd w:id="0"/>
      <w:r w:rsidR="00B9573B">
        <w:t xml:space="preserve">niversity College London, </w:t>
      </w:r>
      <w:r w:rsidRPr="004C7E02">
        <w:t>29 November 2017</w:t>
      </w:r>
    </w:p>
    <w:p w14:paraId="4EC925D4" w14:textId="77777777" w:rsidR="00E55347" w:rsidRPr="00F85702" w:rsidRDefault="00E55347" w:rsidP="00F85702">
      <w:pPr>
        <w:pBdr>
          <w:bottom w:val="single" w:sz="4" w:space="1" w:color="auto"/>
        </w:pBdr>
        <w:spacing w:line="276" w:lineRule="auto"/>
        <w:rPr>
          <w:sz w:val="28"/>
          <w:szCs w:val="28"/>
        </w:rPr>
      </w:pPr>
    </w:p>
    <w:p w14:paraId="542A0DD8" w14:textId="77777777" w:rsidR="00E55347" w:rsidRPr="00F85702" w:rsidRDefault="00E55347" w:rsidP="00F85702">
      <w:pPr>
        <w:spacing w:line="276" w:lineRule="auto"/>
      </w:pPr>
    </w:p>
    <w:p w14:paraId="18788919" w14:textId="4416E38D" w:rsidR="00324114" w:rsidRPr="00F85702" w:rsidRDefault="00C12D5E" w:rsidP="00F85702">
      <w:pPr>
        <w:spacing w:line="276" w:lineRule="auto"/>
        <w:rPr>
          <w:b/>
        </w:rPr>
      </w:pPr>
      <w:r w:rsidRPr="00F85702">
        <w:rPr>
          <w:b/>
        </w:rPr>
        <w:t>Introduction</w:t>
      </w:r>
    </w:p>
    <w:p w14:paraId="66B4E089" w14:textId="77777777" w:rsidR="00C12D5E" w:rsidRPr="00F85702" w:rsidRDefault="00C12D5E" w:rsidP="00F85702">
      <w:pPr>
        <w:spacing w:line="276" w:lineRule="auto"/>
      </w:pPr>
    </w:p>
    <w:p w14:paraId="140649B6" w14:textId="285F204C" w:rsidR="002855DF" w:rsidRPr="00F85702" w:rsidRDefault="00AA759F" w:rsidP="00F85702">
      <w:pPr>
        <w:spacing w:line="276" w:lineRule="auto"/>
      </w:pPr>
      <w:r w:rsidRPr="00F85702">
        <w:t>B</w:t>
      </w:r>
      <w:r w:rsidR="00B650AC" w:rsidRPr="00F85702">
        <w:t>etween 2004 and 20</w:t>
      </w:r>
      <w:r w:rsidR="00BD52E7" w:rsidRPr="00F85702">
        <w:t xml:space="preserve">09, together with colleagues, I was engaged in data collection among international students in Australia and New Zealand. </w:t>
      </w:r>
      <w:r w:rsidRPr="00F85702">
        <w:t>W</w:t>
      </w:r>
      <w:r w:rsidR="00BD52E7" w:rsidRPr="00F85702">
        <w:t xml:space="preserve">e </w:t>
      </w:r>
      <w:r w:rsidR="00782FB5" w:rsidRPr="00F85702">
        <w:t>interviewed</w:t>
      </w:r>
      <w:r w:rsidR="00BD52E7" w:rsidRPr="00F85702">
        <w:t xml:space="preserve"> almost 300 </w:t>
      </w:r>
      <w:r w:rsidR="00782FB5" w:rsidRPr="00F85702">
        <w:t>students</w:t>
      </w:r>
      <w:r w:rsidRPr="00F85702">
        <w:t xml:space="preserve">; four </w:t>
      </w:r>
      <w:r w:rsidR="00381E02" w:rsidRPr="00F85702">
        <w:t>fifths from East</w:t>
      </w:r>
      <w:r w:rsidR="002B2CB7" w:rsidRPr="00F85702">
        <w:t xml:space="preserve"> Asia</w:t>
      </w:r>
      <w:r w:rsidR="00381E02" w:rsidRPr="00F85702">
        <w:t>, Southeast</w:t>
      </w:r>
      <w:r w:rsidR="002B2CB7" w:rsidRPr="00F85702">
        <w:t xml:space="preserve"> Asia</w:t>
      </w:r>
      <w:r w:rsidR="00381E02" w:rsidRPr="00F85702">
        <w:t xml:space="preserve"> and South </w:t>
      </w:r>
      <w:r w:rsidR="002B2CB7" w:rsidRPr="00F85702">
        <w:t xml:space="preserve">Asia, </w:t>
      </w:r>
      <w:r w:rsidR="00891718" w:rsidRPr="00F85702">
        <w:t xml:space="preserve">all </w:t>
      </w:r>
      <w:r w:rsidR="00E55801" w:rsidRPr="00F85702">
        <w:t>in degree length programmes</w:t>
      </w:r>
      <w:r w:rsidR="00381E02" w:rsidRPr="00F85702">
        <w:t xml:space="preserve">. </w:t>
      </w:r>
      <w:r w:rsidR="002B2CB7" w:rsidRPr="00F85702">
        <w:t>E</w:t>
      </w:r>
      <w:r w:rsidR="00782FB5" w:rsidRPr="00F85702">
        <w:t xml:space="preserve">xtended semi-structured interviews </w:t>
      </w:r>
      <w:r w:rsidR="002B2CB7" w:rsidRPr="00F85702">
        <w:t>are</w:t>
      </w:r>
      <w:r w:rsidR="00782FB5" w:rsidRPr="00F85702">
        <w:t xml:space="preserve"> a conversation in which the object of the research, the interviewee, </w:t>
      </w:r>
      <w:r w:rsidR="00FA10F3" w:rsidRPr="00F85702">
        <w:t>has some scope</w:t>
      </w:r>
      <w:r w:rsidR="00782FB5" w:rsidRPr="00F85702">
        <w:t xml:space="preserve"> introduce new concepts and unexpected topic</w:t>
      </w:r>
      <w:r w:rsidR="00BF267C" w:rsidRPr="00F85702">
        <w:t>s</w:t>
      </w:r>
      <w:r w:rsidR="00782FB5" w:rsidRPr="00F85702">
        <w:t xml:space="preserve"> </w:t>
      </w:r>
      <w:r w:rsidR="002B2CB7" w:rsidRPr="00F85702">
        <w:t xml:space="preserve">and </w:t>
      </w:r>
      <w:r w:rsidR="00782FB5" w:rsidRPr="00F85702">
        <w:t>becom</w:t>
      </w:r>
      <w:r w:rsidR="00FA10F3" w:rsidRPr="00F85702">
        <w:t>e</w:t>
      </w:r>
      <w:r w:rsidR="00782FB5" w:rsidRPr="00F85702">
        <w:t xml:space="preserve"> </w:t>
      </w:r>
      <w:r w:rsidR="00E439CC" w:rsidRPr="00F85702">
        <w:t>a subject</w:t>
      </w:r>
      <w:r w:rsidR="00782FB5" w:rsidRPr="00F85702">
        <w:t xml:space="preserve"> of research. </w:t>
      </w:r>
      <w:r w:rsidR="00D21790" w:rsidRPr="00F85702">
        <w:t xml:space="preserve">This </w:t>
      </w:r>
      <w:r w:rsidR="00BF267C" w:rsidRPr="00F85702">
        <w:t xml:space="preserve">methodological </w:t>
      </w:r>
      <w:r w:rsidR="00F369D3" w:rsidRPr="00F85702">
        <w:t xml:space="preserve">framing </w:t>
      </w:r>
      <w:r w:rsidR="00D21790" w:rsidRPr="00F85702">
        <w:t xml:space="preserve">helped us to think differently about </w:t>
      </w:r>
      <w:r w:rsidR="00F369D3" w:rsidRPr="00F85702">
        <w:t xml:space="preserve">the students and </w:t>
      </w:r>
      <w:r w:rsidR="00BF267C" w:rsidRPr="00F85702">
        <w:t>their</w:t>
      </w:r>
      <w:r w:rsidR="00F369D3" w:rsidRPr="00F85702">
        <w:t xml:space="preserve"> education. </w:t>
      </w:r>
    </w:p>
    <w:p w14:paraId="5921CD1A" w14:textId="34953120" w:rsidR="00151EC8" w:rsidRPr="00F85702" w:rsidRDefault="00E95D03" w:rsidP="00F85702">
      <w:pPr>
        <w:pStyle w:val="p1"/>
        <w:spacing w:line="276" w:lineRule="auto"/>
        <w:ind w:firstLine="454"/>
        <w:rPr>
          <w:rFonts w:asciiTheme="minorHAnsi" w:hAnsiTheme="minorHAnsi"/>
          <w:sz w:val="24"/>
          <w:szCs w:val="24"/>
        </w:rPr>
      </w:pPr>
      <w:r w:rsidRPr="00F85702">
        <w:rPr>
          <w:rFonts w:asciiTheme="minorHAnsi" w:hAnsiTheme="minorHAnsi"/>
          <w:sz w:val="24"/>
          <w:szCs w:val="24"/>
        </w:rPr>
        <w:t>Social science normally sees international students as marginal subjects struggling to cope</w:t>
      </w:r>
      <w:r w:rsidR="009F367D" w:rsidRPr="00F85702">
        <w:rPr>
          <w:rFonts w:asciiTheme="minorHAnsi" w:hAnsiTheme="minorHAnsi"/>
          <w:sz w:val="24"/>
          <w:szCs w:val="24"/>
        </w:rPr>
        <w:t xml:space="preserve">. </w:t>
      </w:r>
      <w:r w:rsidRPr="00F85702">
        <w:rPr>
          <w:rFonts w:asciiTheme="minorHAnsi" w:hAnsiTheme="minorHAnsi"/>
          <w:sz w:val="24"/>
          <w:szCs w:val="24"/>
        </w:rPr>
        <w:t>In contrast we found, as did</w:t>
      </w:r>
      <w:r w:rsidR="00174991" w:rsidRPr="00F85702">
        <w:rPr>
          <w:rFonts w:asciiTheme="minorHAnsi" w:hAnsiTheme="minorHAnsi"/>
          <w:sz w:val="24"/>
          <w:szCs w:val="24"/>
        </w:rPr>
        <w:t xml:space="preserve"> Catherine Montgomery </w:t>
      </w:r>
      <w:r w:rsidR="008E3E7E" w:rsidRPr="00F85702">
        <w:rPr>
          <w:rFonts w:asciiTheme="minorHAnsi" w:hAnsiTheme="minorHAnsi"/>
          <w:sz w:val="24"/>
          <w:szCs w:val="24"/>
        </w:rPr>
        <w:t xml:space="preserve">in </w:t>
      </w:r>
      <w:r w:rsidR="00174991" w:rsidRPr="00F85702">
        <w:rPr>
          <w:rFonts w:asciiTheme="minorHAnsi" w:hAnsiTheme="minorHAnsi"/>
          <w:sz w:val="24"/>
          <w:szCs w:val="24"/>
        </w:rPr>
        <w:t>her ethnographic study of international students</w:t>
      </w:r>
      <w:r w:rsidR="005E38C0" w:rsidRPr="00F85702">
        <w:rPr>
          <w:rFonts w:asciiTheme="minorHAnsi" w:hAnsiTheme="minorHAnsi"/>
          <w:sz w:val="24"/>
          <w:szCs w:val="24"/>
        </w:rPr>
        <w:t xml:space="preserve"> in</w:t>
      </w:r>
      <w:r w:rsidR="00174991" w:rsidRPr="00F85702">
        <w:rPr>
          <w:rFonts w:asciiTheme="minorHAnsi" w:hAnsiTheme="minorHAnsi"/>
          <w:sz w:val="24"/>
          <w:szCs w:val="24"/>
        </w:rPr>
        <w:t xml:space="preserve"> UK</w:t>
      </w:r>
      <w:r w:rsidR="008E3E7E" w:rsidRPr="00F85702">
        <w:rPr>
          <w:rFonts w:asciiTheme="minorHAnsi" w:hAnsiTheme="minorHAnsi"/>
          <w:sz w:val="24"/>
          <w:szCs w:val="24"/>
        </w:rPr>
        <w:t xml:space="preserve"> </w:t>
      </w:r>
      <w:r w:rsidR="005E38C0" w:rsidRPr="00F85702">
        <w:rPr>
          <w:rFonts w:asciiTheme="minorHAnsi" w:hAnsiTheme="minorHAnsi"/>
          <w:sz w:val="24"/>
          <w:szCs w:val="24"/>
        </w:rPr>
        <w:t>conducted at the same time,</w:t>
      </w:r>
      <w:r w:rsidR="00174991" w:rsidRPr="00F85702">
        <w:rPr>
          <w:rStyle w:val="FootnoteReference"/>
          <w:rFonts w:asciiTheme="minorHAnsi" w:hAnsiTheme="minorHAnsi"/>
          <w:sz w:val="24"/>
          <w:szCs w:val="24"/>
        </w:rPr>
        <w:t xml:space="preserve"> </w:t>
      </w:r>
      <w:r w:rsidR="00174991" w:rsidRPr="00F85702">
        <w:rPr>
          <w:rStyle w:val="FootnoteReference"/>
          <w:rFonts w:asciiTheme="minorHAnsi" w:hAnsiTheme="minorHAnsi"/>
          <w:sz w:val="24"/>
          <w:szCs w:val="24"/>
        </w:rPr>
        <w:footnoteReference w:id="1"/>
      </w:r>
      <w:r w:rsidR="00174991" w:rsidRPr="00F85702">
        <w:rPr>
          <w:rFonts w:asciiTheme="minorHAnsi" w:hAnsiTheme="minorHAnsi"/>
          <w:sz w:val="24"/>
          <w:szCs w:val="24"/>
        </w:rPr>
        <w:t xml:space="preserve"> </w:t>
      </w:r>
      <w:r w:rsidR="00174991" w:rsidRPr="00F85702">
        <w:rPr>
          <w:rFonts w:asciiTheme="minorHAnsi" w:hAnsiTheme="minorHAnsi"/>
          <w:i/>
          <w:sz w:val="24"/>
          <w:szCs w:val="24"/>
        </w:rPr>
        <w:t>strong agents</w:t>
      </w:r>
      <w:r w:rsidR="00174991" w:rsidRPr="00F85702">
        <w:rPr>
          <w:rFonts w:asciiTheme="minorHAnsi" w:hAnsiTheme="minorHAnsi"/>
          <w:sz w:val="24"/>
          <w:szCs w:val="24"/>
        </w:rPr>
        <w:t xml:space="preserve"> </w:t>
      </w:r>
      <w:r w:rsidR="00AB3479" w:rsidRPr="00F85702">
        <w:rPr>
          <w:rFonts w:asciiTheme="minorHAnsi" w:hAnsiTheme="minorHAnsi"/>
          <w:sz w:val="24"/>
          <w:szCs w:val="24"/>
        </w:rPr>
        <w:t xml:space="preserve">that were </w:t>
      </w:r>
      <w:r w:rsidR="00174991" w:rsidRPr="00F85702">
        <w:rPr>
          <w:rFonts w:asciiTheme="minorHAnsi" w:hAnsiTheme="minorHAnsi"/>
          <w:sz w:val="24"/>
          <w:szCs w:val="24"/>
        </w:rPr>
        <w:t>piloting the course of their own lives</w:t>
      </w:r>
      <w:r w:rsidR="008E3E7E" w:rsidRPr="00F85702">
        <w:rPr>
          <w:rFonts w:asciiTheme="minorHAnsi" w:hAnsiTheme="minorHAnsi"/>
          <w:sz w:val="24"/>
          <w:szCs w:val="24"/>
        </w:rPr>
        <w:t xml:space="preserve">, </w:t>
      </w:r>
      <w:r w:rsidR="00AB3479" w:rsidRPr="00F85702">
        <w:rPr>
          <w:rFonts w:asciiTheme="minorHAnsi" w:hAnsiTheme="minorHAnsi"/>
          <w:sz w:val="24"/>
          <w:szCs w:val="24"/>
        </w:rPr>
        <w:t xml:space="preserve">though </w:t>
      </w:r>
      <w:r w:rsidR="005E38C0" w:rsidRPr="00F85702">
        <w:rPr>
          <w:rFonts w:asciiTheme="minorHAnsi" w:hAnsiTheme="minorHAnsi"/>
          <w:sz w:val="24"/>
          <w:szCs w:val="24"/>
        </w:rPr>
        <w:t>under circumstances they did not control</w:t>
      </w:r>
      <w:r w:rsidR="00174991" w:rsidRPr="00F85702">
        <w:rPr>
          <w:rFonts w:asciiTheme="minorHAnsi" w:hAnsiTheme="minorHAnsi"/>
          <w:sz w:val="24"/>
          <w:szCs w:val="24"/>
        </w:rPr>
        <w:t xml:space="preserve">. </w:t>
      </w:r>
      <w:r w:rsidR="009F367D" w:rsidRPr="00F85702">
        <w:rPr>
          <w:rFonts w:asciiTheme="minorHAnsi" w:hAnsiTheme="minorHAnsi"/>
          <w:sz w:val="24"/>
          <w:szCs w:val="24"/>
        </w:rPr>
        <w:t>The</w:t>
      </w:r>
      <w:r w:rsidR="00174991" w:rsidRPr="00F85702">
        <w:rPr>
          <w:rFonts w:asciiTheme="minorHAnsi" w:hAnsiTheme="minorHAnsi"/>
          <w:sz w:val="24"/>
          <w:szCs w:val="24"/>
        </w:rPr>
        <w:t>se</w:t>
      </w:r>
      <w:r w:rsidR="003F0800" w:rsidRPr="00F85702">
        <w:rPr>
          <w:rFonts w:asciiTheme="minorHAnsi" w:hAnsiTheme="minorHAnsi"/>
          <w:sz w:val="24"/>
          <w:szCs w:val="24"/>
        </w:rPr>
        <w:t xml:space="preserve"> students</w:t>
      </w:r>
      <w:r w:rsidR="009F367D" w:rsidRPr="00F85702">
        <w:rPr>
          <w:rFonts w:asciiTheme="minorHAnsi" w:hAnsiTheme="minorHAnsi"/>
          <w:sz w:val="24"/>
          <w:szCs w:val="24"/>
        </w:rPr>
        <w:t xml:space="preserve"> were engaged </w:t>
      </w:r>
      <w:r w:rsidR="00036566" w:rsidRPr="00F85702">
        <w:rPr>
          <w:rFonts w:asciiTheme="minorHAnsi" w:hAnsiTheme="minorHAnsi"/>
          <w:sz w:val="24"/>
          <w:szCs w:val="24"/>
        </w:rPr>
        <w:t xml:space="preserve">not in formation </w:t>
      </w:r>
      <w:r w:rsidR="00AB3479" w:rsidRPr="00F85702">
        <w:rPr>
          <w:rFonts w:asciiTheme="minorHAnsi" w:hAnsiTheme="minorHAnsi"/>
          <w:sz w:val="24"/>
          <w:szCs w:val="24"/>
        </w:rPr>
        <w:t>by others so much as</w:t>
      </w:r>
      <w:r w:rsidR="009F367D" w:rsidRPr="00F85702">
        <w:rPr>
          <w:rFonts w:asciiTheme="minorHAnsi" w:hAnsiTheme="minorHAnsi"/>
          <w:sz w:val="24"/>
          <w:szCs w:val="24"/>
        </w:rPr>
        <w:t xml:space="preserve"> </w:t>
      </w:r>
      <w:r w:rsidR="009F367D" w:rsidRPr="00F85702">
        <w:rPr>
          <w:rFonts w:asciiTheme="minorHAnsi" w:hAnsiTheme="minorHAnsi"/>
          <w:i/>
          <w:sz w:val="24"/>
          <w:szCs w:val="24"/>
        </w:rPr>
        <w:t>self-formation</w:t>
      </w:r>
      <w:r w:rsidR="009F367D" w:rsidRPr="00F85702">
        <w:rPr>
          <w:rFonts w:asciiTheme="minorHAnsi" w:hAnsiTheme="minorHAnsi"/>
          <w:sz w:val="24"/>
          <w:szCs w:val="24"/>
        </w:rPr>
        <w:t xml:space="preserve">. </w:t>
      </w:r>
      <w:r w:rsidR="003F0800" w:rsidRPr="00F85702">
        <w:rPr>
          <w:rFonts w:asciiTheme="minorHAnsi" w:hAnsiTheme="minorHAnsi"/>
          <w:sz w:val="24"/>
          <w:szCs w:val="24"/>
        </w:rPr>
        <w:t>And s</w:t>
      </w:r>
      <w:r w:rsidR="00353C90" w:rsidRPr="00F85702">
        <w:rPr>
          <w:rFonts w:asciiTheme="minorHAnsi" w:hAnsiTheme="minorHAnsi"/>
          <w:sz w:val="24"/>
          <w:szCs w:val="24"/>
        </w:rPr>
        <w:t xml:space="preserve">ome </w:t>
      </w:r>
      <w:r w:rsidR="008E3E7E" w:rsidRPr="00F85702">
        <w:rPr>
          <w:rFonts w:asciiTheme="minorHAnsi" w:hAnsiTheme="minorHAnsi"/>
          <w:sz w:val="24"/>
          <w:szCs w:val="24"/>
        </w:rPr>
        <w:t xml:space="preserve">of them </w:t>
      </w:r>
      <w:r w:rsidR="00353C90" w:rsidRPr="00F85702">
        <w:rPr>
          <w:rFonts w:asciiTheme="minorHAnsi" w:hAnsiTheme="minorHAnsi"/>
          <w:sz w:val="24"/>
          <w:szCs w:val="24"/>
        </w:rPr>
        <w:t xml:space="preserve">spoke brilliantly, reflexively, about the joys and terrors of self-formation as a </w:t>
      </w:r>
      <w:r w:rsidR="008E3E7E" w:rsidRPr="00F85702">
        <w:rPr>
          <w:rFonts w:asciiTheme="minorHAnsi" w:hAnsiTheme="minorHAnsi"/>
          <w:sz w:val="24"/>
          <w:szCs w:val="24"/>
        </w:rPr>
        <w:t>practice</w:t>
      </w:r>
      <w:r w:rsidR="00353C90" w:rsidRPr="00F85702">
        <w:rPr>
          <w:rFonts w:asciiTheme="minorHAnsi" w:hAnsiTheme="minorHAnsi"/>
          <w:sz w:val="24"/>
          <w:szCs w:val="24"/>
        </w:rPr>
        <w:t xml:space="preserve"> of</w:t>
      </w:r>
      <w:r w:rsidR="008E3E7E" w:rsidRPr="00F85702">
        <w:rPr>
          <w:rFonts w:asciiTheme="minorHAnsi" w:hAnsiTheme="minorHAnsi"/>
          <w:sz w:val="24"/>
          <w:szCs w:val="24"/>
        </w:rPr>
        <w:t xml:space="preserve"> self-determining human</w:t>
      </w:r>
      <w:r w:rsidR="00353C90" w:rsidRPr="00F85702">
        <w:rPr>
          <w:rFonts w:asciiTheme="minorHAnsi" w:hAnsiTheme="minorHAnsi"/>
          <w:sz w:val="24"/>
          <w:szCs w:val="24"/>
        </w:rPr>
        <w:t xml:space="preserve"> </w:t>
      </w:r>
      <w:r w:rsidR="00353C90" w:rsidRPr="00F85702">
        <w:rPr>
          <w:rFonts w:asciiTheme="minorHAnsi" w:hAnsiTheme="minorHAnsi"/>
          <w:i/>
          <w:sz w:val="24"/>
          <w:szCs w:val="24"/>
        </w:rPr>
        <w:t>freedom</w:t>
      </w:r>
      <w:r w:rsidR="00353C90" w:rsidRPr="00F85702">
        <w:rPr>
          <w:rFonts w:asciiTheme="minorHAnsi" w:hAnsiTheme="minorHAnsi"/>
          <w:sz w:val="24"/>
          <w:szCs w:val="24"/>
        </w:rPr>
        <w:t>.</w:t>
      </w:r>
      <w:r w:rsidR="00532D7C" w:rsidRPr="00F85702">
        <w:rPr>
          <w:rStyle w:val="FootnoteReference"/>
          <w:rFonts w:asciiTheme="minorHAnsi" w:hAnsiTheme="minorHAnsi"/>
          <w:sz w:val="24"/>
          <w:szCs w:val="24"/>
        </w:rPr>
        <w:footnoteReference w:id="2"/>
      </w:r>
      <w:r w:rsidR="00353C90" w:rsidRPr="00F85702">
        <w:rPr>
          <w:rFonts w:asciiTheme="minorHAnsi" w:hAnsiTheme="minorHAnsi"/>
          <w:sz w:val="24"/>
          <w:szCs w:val="24"/>
        </w:rPr>
        <w:t xml:space="preserve"> </w:t>
      </w:r>
    </w:p>
    <w:p w14:paraId="0EB019A3" w14:textId="70D990FF" w:rsidR="00C155E5" w:rsidRPr="00F85702" w:rsidRDefault="00BF267C" w:rsidP="00F85702">
      <w:pPr>
        <w:pStyle w:val="p1"/>
        <w:spacing w:line="276" w:lineRule="auto"/>
        <w:rPr>
          <w:rFonts w:asciiTheme="minorHAnsi" w:hAnsiTheme="minorHAnsi"/>
          <w:sz w:val="24"/>
          <w:szCs w:val="24"/>
        </w:rPr>
      </w:pPr>
      <w:r w:rsidRPr="00F85702">
        <w:rPr>
          <w:rFonts w:asciiTheme="minorHAnsi" w:hAnsiTheme="minorHAnsi"/>
          <w:sz w:val="24"/>
          <w:szCs w:val="24"/>
        </w:rPr>
        <w:tab/>
      </w:r>
      <w:r w:rsidR="00C155E5" w:rsidRPr="00F85702">
        <w:rPr>
          <w:rFonts w:asciiTheme="minorHAnsi" w:hAnsiTheme="minorHAnsi"/>
          <w:sz w:val="24"/>
          <w:szCs w:val="24"/>
        </w:rPr>
        <w:t xml:space="preserve">The research also suggested to me that the notion of students as reflexive self-determining persons, using higher education to augment their selves and advance their freedoms, might apply to all students, not just international. </w:t>
      </w:r>
    </w:p>
    <w:p w14:paraId="66FB8E6F" w14:textId="1E212F62" w:rsidR="00255965" w:rsidRPr="00F85702" w:rsidRDefault="00AB3479" w:rsidP="00F85702">
      <w:pPr>
        <w:pStyle w:val="p1"/>
        <w:spacing w:line="276" w:lineRule="auto"/>
        <w:ind w:firstLine="454"/>
        <w:rPr>
          <w:rFonts w:asciiTheme="minorHAnsi" w:hAnsiTheme="minorHAnsi"/>
          <w:sz w:val="24"/>
          <w:szCs w:val="24"/>
        </w:rPr>
      </w:pPr>
      <w:r w:rsidRPr="00F85702">
        <w:rPr>
          <w:rFonts w:asciiTheme="minorHAnsi" w:hAnsiTheme="minorHAnsi"/>
          <w:sz w:val="24"/>
          <w:szCs w:val="24"/>
        </w:rPr>
        <w:t>It</w:t>
      </w:r>
      <w:r w:rsidR="00255965" w:rsidRPr="00F85702">
        <w:rPr>
          <w:rFonts w:asciiTheme="minorHAnsi" w:hAnsiTheme="minorHAnsi"/>
          <w:sz w:val="24"/>
          <w:szCs w:val="24"/>
        </w:rPr>
        <w:t xml:space="preserve"> is this </w:t>
      </w:r>
      <w:r w:rsidRPr="00F85702">
        <w:rPr>
          <w:rFonts w:asciiTheme="minorHAnsi" w:hAnsiTheme="minorHAnsi"/>
          <w:sz w:val="24"/>
          <w:szCs w:val="24"/>
        </w:rPr>
        <w:t>insight I want to dev</w:t>
      </w:r>
      <w:r w:rsidR="00C155E5" w:rsidRPr="00F85702">
        <w:rPr>
          <w:rFonts w:asciiTheme="minorHAnsi" w:hAnsiTheme="minorHAnsi"/>
          <w:sz w:val="24"/>
          <w:szCs w:val="24"/>
        </w:rPr>
        <w:t>e</w:t>
      </w:r>
      <w:r w:rsidRPr="00F85702">
        <w:rPr>
          <w:rFonts w:asciiTheme="minorHAnsi" w:hAnsiTheme="minorHAnsi"/>
          <w:sz w:val="24"/>
          <w:szCs w:val="24"/>
        </w:rPr>
        <w:t>lop</w:t>
      </w:r>
      <w:r w:rsidR="00255965" w:rsidRPr="00F85702">
        <w:rPr>
          <w:rFonts w:asciiTheme="minorHAnsi" w:hAnsiTheme="minorHAnsi"/>
          <w:sz w:val="24"/>
          <w:szCs w:val="24"/>
        </w:rPr>
        <w:t xml:space="preserve"> this evening</w:t>
      </w:r>
      <w:r w:rsidR="002B2EC4" w:rsidRPr="00F85702">
        <w:rPr>
          <w:rFonts w:asciiTheme="minorHAnsi" w:hAnsiTheme="minorHAnsi"/>
          <w:sz w:val="24"/>
          <w:szCs w:val="24"/>
        </w:rPr>
        <w:t xml:space="preserve">: </w:t>
      </w:r>
      <w:r w:rsidR="00255965" w:rsidRPr="00F85702">
        <w:rPr>
          <w:rFonts w:asciiTheme="minorHAnsi" w:hAnsiTheme="minorHAnsi"/>
          <w:sz w:val="24"/>
          <w:szCs w:val="24"/>
        </w:rPr>
        <w:t xml:space="preserve">the simple, far-reaching idea of </w:t>
      </w:r>
      <w:r w:rsidR="00255965" w:rsidRPr="00F85702">
        <w:rPr>
          <w:rFonts w:asciiTheme="minorHAnsi" w:hAnsiTheme="minorHAnsi"/>
          <w:i/>
          <w:sz w:val="24"/>
          <w:szCs w:val="24"/>
        </w:rPr>
        <w:t>higher education as self-formation</w:t>
      </w:r>
      <w:r w:rsidR="0046783F" w:rsidRPr="00F85702">
        <w:rPr>
          <w:rFonts w:asciiTheme="minorHAnsi" w:hAnsiTheme="minorHAnsi"/>
          <w:i/>
          <w:sz w:val="24"/>
          <w:szCs w:val="24"/>
        </w:rPr>
        <w:t>,</w:t>
      </w:r>
      <w:r w:rsidR="00255965" w:rsidRPr="00F85702">
        <w:rPr>
          <w:rFonts w:asciiTheme="minorHAnsi" w:hAnsiTheme="minorHAnsi"/>
          <w:i/>
          <w:sz w:val="24"/>
          <w:szCs w:val="24"/>
        </w:rPr>
        <w:t xml:space="preserve"> and the expansion of freedom</w:t>
      </w:r>
      <w:r w:rsidR="00255965" w:rsidRPr="00F85702">
        <w:rPr>
          <w:rFonts w:asciiTheme="minorHAnsi" w:hAnsiTheme="minorHAnsi"/>
          <w:sz w:val="24"/>
          <w:szCs w:val="24"/>
        </w:rPr>
        <w:t>. I believe that</w:t>
      </w:r>
      <w:r w:rsidR="00D13564" w:rsidRPr="00F85702">
        <w:rPr>
          <w:rFonts w:asciiTheme="minorHAnsi" w:hAnsiTheme="minorHAnsi"/>
          <w:sz w:val="24"/>
          <w:szCs w:val="24"/>
        </w:rPr>
        <w:t xml:space="preserve"> the </w:t>
      </w:r>
      <w:r w:rsidR="002B2EC4" w:rsidRPr="00F85702">
        <w:rPr>
          <w:rFonts w:asciiTheme="minorHAnsi" w:hAnsiTheme="minorHAnsi"/>
          <w:sz w:val="24"/>
          <w:szCs w:val="24"/>
        </w:rPr>
        <w:t>idea</w:t>
      </w:r>
      <w:r w:rsidR="00D13564" w:rsidRPr="00F85702">
        <w:rPr>
          <w:rFonts w:asciiTheme="minorHAnsi" w:hAnsiTheme="minorHAnsi"/>
          <w:sz w:val="24"/>
          <w:szCs w:val="24"/>
        </w:rPr>
        <w:t xml:space="preserve"> of</w:t>
      </w:r>
      <w:r w:rsidR="00255965" w:rsidRPr="00F85702">
        <w:rPr>
          <w:rFonts w:asciiTheme="minorHAnsi" w:hAnsiTheme="minorHAnsi"/>
          <w:sz w:val="24"/>
          <w:szCs w:val="24"/>
        </w:rPr>
        <w:t xml:space="preserve"> </w:t>
      </w:r>
      <w:r w:rsidR="00D13564" w:rsidRPr="00F85702">
        <w:rPr>
          <w:rFonts w:asciiTheme="minorHAnsi" w:hAnsiTheme="minorHAnsi"/>
          <w:sz w:val="24"/>
          <w:szCs w:val="24"/>
        </w:rPr>
        <w:t>self-formation</w:t>
      </w:r>
      <w:r w:rsidR="003B76F3" w:rsidRPr="00F85702">
        <w:rPr>
          <w:rFonts w:asciiTheme="minorHAnsi" w:hAnsiTheme="minorHAnsi"/>
          <w:sz w:val="24"/>
          <w:szCs w:val="24"/>
        </w:rPr>
        <w:t xml:space="preserve"> </w:t>
      </w:r>
      <w:r w:rsidR="00392AA7" w:rsidRPr="00F85702">
        <w:rPr>
          <w:rFonts w:asciiTheme="minorHAnsi" w:hAnsiTheme="minorHAnsi"/>
          <w:sz w:val="24"/>
          <w:szCs w:val="24"/>
        </w:rPr>
        <w:t xml:space="preserve">as freedom </w:t>
      </w:r>
      <w:r w:rsidR="003B76F3" w:rsidRPr="00F85702">
        <w:rPr>
          <w:rFonts w:asciiTheme="minorHAnsi" w:hAnsiTheme="minorHAnsi"/>
          <w:sz w:val="24"/>
          <w:szCs w:val="24"/>
        </w:rPr>
        <w:t>contain</w:t>
      </w:r>
      <w:r w:rsidR="00392AA7" w:rsidRPr="00F85702">
        <w:rPr>
          <w:rFonts w:asciiTheme="minorHAnsi" w:hAnsiTheme="minorHAnsi"/>
          <w:sz w:val="24"/>
          <w:szCs w:val="24"/>
        </w:rPr>
        <w:t>s</w:t>
      </w:r>
      <w:r w:rsidR="00255965" w:rsidRPr="00F85702">
        <w:rPr>
          <w:rFonts w:asciiTheme="minorHAnsi" w:hAnsiTheme="minorHAnsi"/>
          <w:sz w:val="24"/>
          <w:szCs w:val="24"/>
        </w:rPr>
        <w:t xml:space="preserve"> all we might want from the </w:t>
      </w:r>
      <w:r w:rsidR="00173D51" w:rsidRPr="00F85702">
        <w:rPr>
          <w:rFonts w:asciiTheme="minorHAnsi" w:hAnsiTheme="minorHAnsi"/>
          <w:sz w:val="24"/>
          <w:szCs w:val="24"/>
        </w:rPr>
        <w:t xml:space="preserve">higher </w:t>
      </w:r>
      <w:r w:rsidR="00255965" w:rsidRPr="00F85702">
        <w:rPr>
          <w:rFonts w:asciiTheme="minorHAnsi" w:hAnsiTheme="minorHAnsi"/>
          <w:sz w:val="24"/>
          <w:szCs w:val="24"/>
        </w:rPr>
        <w:t>educational process</w:t>
      </w:r>
      <w:r w:rsidR="002B2EC4" w:rsidRPr="00F85702">
        <w:rPr>
          <w:rFonts w:asciiTheme="minorHAnsi" w:hAnsiTheme="minorHAnsi"/>
          <w:sz w:val="24"/>
          <w:szCs w:val="24"/>
        </w:rPr>
        <w:t>—and that this orientation to students and to learning</w:t>
      </w:r>
      <w:r w:rsidR="00953984" w:rsidRPr="00F85702">
        <w:rPr>
          <w:rFonts w:asciiTheme="minorHAnsi" w:hAnsiTheme="minorHAnsi"/>
          <w:sz w:val="24"/>
          <w:szCs w:val="24"/>
        </w:rPr>
        <w:t>-in-society</w:t>
      </w:r>
      <w:r w:rsidR="002B2EC4" w:rsidRPr="00F85702">
        <w:rPr>
          <w:rFonts w:asciiTheme="minorHAnsi" w:hAnsiTheme="minorHAnsi"/>
          <w:sz w:val="24"/>
          <w:szCs w:val="24"/>
        </w:rPr>
        <w:t xml:space="preserve"> is </w:t>
      </w:r>
      <w:r w:rsidR="00953984" w:rsidRPr="00F85702">
        <w:rPr>
          <w:rFonts w:asciiTheme="minorHAnsi" w:hAnsiTheme="minorHAnsi"/>
          <w:sz w:val="24"/>
          <w:szCs w:val="24"/>
        </w:rPr>
        <w:t xml:space="preserve">potentially </w:t>
      </w:r>
      <w:r w:rsidR="002B2EC4" w:rsidRPr="00F85702">
        <w:rPr>
          <w:rFonts w:asciiTheme="minorHAnsi" w:hAnsiTheme="minorHAnsi"/>
          <w:sz w:val="24"/>
          <w:szCs w:val="24"/>
        </w:rPr>
        <w:t>superior to the alternatives</w:t>
      </w:r>
      <w:r w:rsidR="00255965" w:rsidRPr="00F85702">
        <w:rPr>
          <w:rFonts w:asciiTheme="minorHAnsi" w:hAnsiTheme="minorHAnsi"/>
          <w:sz w:val="24"/>
          <w:szCs w:val="24"/>
        </w:rPr>
        <w:t xml:space="preserve">. </w:t>
      </w:r>
    </w:p>
    <w:p w14:paraId="3A853D3D" w14:textId="6297B2C0" w:rsidR="00173D51" w:rsidRPr="00F85702" w:rsidRDefault="00173D51" w:rsidP="00F85702">
      <w:pPr>
        <w:widowControl w:val="0"/>
        <w:autoSpaceDE w:val="0"/>
        <w:autoSpaceDN w:val="0"/>
        <w:adjustRightInd w:val="0"/>
        <w:spacing w:line="276" w:lineRule="auto"/>
        <w:rPr>
          <w:rFonts w:cs="Times New Roman"/>
        </w:rPr>
      </w:pPr>
      <w:r w:rsidRPr="00F85702">
        <w:rPr>
          <w:rFonts w:cs="Times New Roman"/>
        </w:rPr>
        <w:tab/>
        <w:t xml:space="preserve">Higher education as self-formation rests on the irreducible fact that while learning is conditioned by external factors, </w:t>
      </w:r>
      <w:r w:rsidR="00C155E5" w:rsidRPr="00F85702">
        <w:rPr>
          <w:rFonts w:cs="Times New Roman"/>
        </w:rPr>
        <w:t xml:space="preserve">by </w:t>
      </w:r>
      <w:r w:rsidRPr="00F85702">
        <w:rPr>
          <w:rFonts w:cs="Times New Roman"/>
        </w:rPr>
        <w:t xml:space="preserve">the </w:t>
      </w:r>
      <w:r w:rsidR="00816FFC" w:rsidRPr="00F85702">
        <w:rPr>
          <w:rFonts w:cs="Times New Roman"/>
        </w:rPr>
        <w:t xml:space="preserve">learner’s </w:t>
      </w:r>
      <w:r w:rsidR="00954161" w:rsidRPr="00F85702">
        <w:rPr>
          <w:rFonts w:cs="Times New Roman"/>
        </w:rPr>
        <w:t xml:space="preserve">background and </w:t>
      </w:r>
      <w:r w:rsidRPr="00F85702">
        <w:rPr>
          <w:rFonts w:cs="Times New Roman"/>
        </w:rPr>
        <w:t>resources, the institution</w:t>
      </w:r>
      <w:r w:rsidR="00C155E5" w:rsidRPr="00F85702">
        <w:rPr>
          <w:rFonts w:cs="Times New Roman"/>
        </w:rPr>
        <w:t>, opportunities</w:t>
      </w:r>
      <w:r w:rsidRPr="00F85702">
        <w:rPr>
          <w:rFonts w:cs="Times New Roman"/>
        </w:rPr>
        <w:t xml:space="preserve"> and other circumstances, only the learner </w:t>
      </w:r>
      <w:r w:rsidR="00410B1E" w:rsidRPr="00F85702">
        <w:rPr>
          <w:rFonts w:cs="Times New Roman"/>
        </w:rPr>
        <w:t>does the</w:t>
      </w:r>
      <w:r w:rsidR="00954161" w:rsidRPr="00F85702">
        <w:rPr>
          <w:rFonts w:cs="Times New Roman"/>
        </w:rPr>
        <w:t xml:space="preserve"> learn</w:t>
      </w:r>
      <w:r w:rsidR="00410B1E" w:rsidRPr="00F85702">
        <w:rPr>
          <w:rFonts w:cs="Times New Roman"/>
        </w:rPr>
        <w:t>ing</w:t>
      </w:r>
      <w:r w:rsidR="00816FFC" w:rsidRPr="00F85702">
        <w:rPr>
          <w:rFonts w:cs="Times New Roman"/>
        </w:rPr>
        <w:t>. It is also consistent with modernity</w:t>
      </w:r>
      <w:r w:rsidR="00954161" w:rsidRPr="00F85702">
        <w:rPr>
          <w:rFonts w:cs="Times New Roman"/>
        </w:rPr>
        <w:t xml:space="preserve"> itself</w:t>
      </w:r>
      <w:r w:rsidR="00816FFC" w:rsidRPr="00F85702">
        <w:rPr>
          <w:rFonts w:cs="Times New Roman"/>
        </w:rPr>
        <w:t xml:space="preserve">, which </w:t>
      </w:r>
      <w:r w:rsidR="00954161" w:rsidRPr="00F85702">
        <w:rPr>
          <w:rFonts w:cs="Times New Roman"/>
        </w:rPr>
        <w:t xml:space="preserve">for several intersecting reasons, including universal </w:t>
      </w:r>
      <w:r w:rsidR="00954161" w:rsidRPr="00F85702">
        <w:rPr>
          <w:rFonts w:cs="Times New Roman"/>
        </w:rPr>
        <w:lastRenderedPageBreak/>
        <w:t xml:space="preserve">markets, political democracy and mass education, </w:t>
      </w:r>
      <w:r w:rsidR="00816FFC" w:rsidRPr="00F85702">
        <w:rPr>
          <w:rFonts w:cs="Times New Roman"/>
        </w:rPr>
        <w:t>foregrounds identity and agency</w:t>
      </w:r>
      <w:r w:rsidR="00954161" w:rsidRPr="00F85702">
        <w:rPr>
          <w:rFonts w:cs="Times New Roman"/>
        </w:rPr>
        <w:t xml:space="preserve">. </w:t>
      </w:r>
      <w:r w:rsidR="008D7D1C" w:rsidRPr="00F85702">
        <w:t>Autonomous agency has been called the key concept of modernity.</w:t>
      </w:r>
      <w:r w:rsidR="008D7D1C" w:rsidRPr="00F85702">
        <w:rPr>
          <w:rStyle w:val="FootnoteReference"/>
        </w:rPr>
        <w:footnoteReference w:id="3"/>
      </w:r>
      <w:r w:rsidR="008D7D1C" w:rsidRPr="00F85702">
        <w:t xml:space="preserve"> </w:t>
      </w:r>
      <w:r w:rsidR="00C155E5" w:rsidRPr="00F85702">
        <w:rPr>
          <w:rFonts w:cs="Times New Roman"/>
        </w:rPr>
        <w:t>For</w:t>
      </w:r>
      <w:r w:rsidR="00C33009" w:rsidRPr="00F85702">
        <w:rPr>
          <w:rFonts w:cs="Times New Roman"/>
        </w:rPr>
        <w:t xml:space="preserve"> Anthony Giddens</w:t>
      </w:r>
      <w:r w:rsidR="00C155E5" w:rsidRPr="00F85702">
        <w:rPr>
          <w:rFonts w:cs="Times New Roman"/>
        </w:rPr>
        <w:t xml:space="preserve">, </w:t>
      </w:r>
      <w:r w:rsidR="00C33009" w:rsidRPr="00F85702">
        <w:rPr>
          <w:rFonts w:cs="Times New Roman"/>
        </w:rPr>
        <w:t>m</w:t>
      </w:r>
      <w:r w:rsidR="008D7D1C" w:rsidRPr="00F85702">
        <w:rPr>
          <w:rFonts w:cs="Times New Roman"/>
        </w:rPr>
        <w:t>odern life is</w:t>
      </w:r>
      <w:r w:rsidR="00816FFC" w:rsidRPr="00F85702">
        <w:rPr>
          <w:rFonts w:cs="Times New Roman"/>
        </w:rPr>
        <w:t xml:space="preserve"> a never-ending </w:t>
      </w:r>
      <w:r w:rsidR="00155BEB" w:rsidRPr="00F85702">
        <w:rPr>
          <w:rFonts w:cs="Times New Roman"/>
        </w:rPr>
        <w:t>‘reflexive project of the</w:t>
      </w:r>
      <w:r w:rsidR="00816FFC" w:rsidRPr="00F85702">
        <w:rPr>
          <w:rFonts w:cs="Times New Roman"/>
        </w:rPr>
        <w:t xml:space="preserve"> self</w:t>
      </w:r>
      <w:r w:rsidR="00155BEB" w:rsidRPr="00F85702">
        <w:rPr>
          <w:rFonts w:cs="Times New Roman"/>
        </w:rPr>
        <w:t>’</w:t>
      </w:r>
      <w:r w:rsidR="00816FFC" w:rsidRPr="00F85702">
        <w:rPr>
          <w:rFonts w:cs="Times New Roman"/>
        </w:rPr>
        <w:t>.</w:t>
      </w:r>
      <w:r w:rsidR="00155BEB" w:rsidRPr="00F85702">
        <w:rPr>
          <w:rStyle w:val="FootnoteReference"/>
          <w:rFonts w:cs="Times New Roman"/>
        </w:rPr>
        <w:footnoteReference w:id="4"/>
      </w:r>
      <w:r w:rsidR="00816FFC" w:rsidRPr="00F85702">
        <w:rPr>
          <w:rFonts w:cs="Times New Roman"/>
        </w:rPr>
        <w:t xml:space="preserve"> Consider career, consumption, conversation in social networks, </w:t>
      </w:r>
      <w:r w:rsidR="00392AA7" w:rsidRPr="00F85702">
        <w:rPr>
          <w:rFonts w:cs="Times New Roman"/>
        </w:rPr>
        <w:t xml:space="preserve">fashion, </w:t>
      </w:r>
      <w:r w:rsidR="00954161" w:rsidRPr="00F85702">
        <w:rPr>
          <w:rFonts w:cs="Times New Roman"/>
        </w:rPr>
        <w:t xml:space="preserve">body </w:t>
      </w:r>
      <w:r w:rsidR="00392AA7" w:rsidRPr="00F85702">
        <w:rPr>
          <w:rFonts w:cs="Times New Roman"/>
        </w:rPr>
        <w:t xml:space="preserve">management, </w:t>
      </w:r>
      <w:r w:rsidR="00816FFC" w:rsidRPr="00F85702">
        <w:rPr>
          <w:rFonts w:cs="Times New Roman"/>
        </w:rPr>
        <w:t xml:space="preserve">cultural </w:t>
      </w:r>
      <w:r w:rsidR="00954161" w:rsidRPr="00F85702">
        <w:rPr>
          <w:rFonts w:cs="Times New Roman"/>
        </w:rPr>
        <w:t>labels</w:t>
      </w:r>
      <w:r w:rsidR="00392AA7" w:rsidRPr="00F85702">
        <w:rPr>
          <w:rFonts w:cs="Times New Roman"/>
        </w:rPr>
        <w:t>,</w:t>
      </w:r>
      <w:r w:rsidR="00816FFC" w:rsidRPr="00F85702">
        <w:rPr>
          <w:rFonts w:cs="Times New Roman"/>
        </w:rPr>
        <w:t xml:space="preserve"> the identity politics of left and right</w:t>
      </w:r>
      <w:r w:rsidR="00392AA7" w:rsidRPr="00F85702">
        <w:rPr>
          <w:rFonts w:cs="Times New Roman"/>
        </w:rPr>
        <w:t xml:space="preserve">, </w:t>
      </w:r>
      <w:r w:rsidR="008D7D1C" w:rsidRPr="00F85702">
        <w:rPr>
          <w:rFonts w:cs="Times New Roman"/>
        </w:rPr>
        <w:t xml:space="preserve">even </w:t>
      </w:r>
      <w:r w:rsidR="009D383A" w:rsidRPr="00F85702">
        <w:rPr>
          <w:rFonts w:cs="Times New Roman"/>
        </w:rPr>
        <w:t xml:space="preserve">the </w:t>
      </w:r>
      <w:r w:rsidR="008D7D1C" w:rsidRPr="00F85702">
        <w:rPr>
          <w:rFonts w:cs="Times New Roman"/>
        </w:rPr>
        <w:t xml:space="preserve">self matching </w:t>
      </w:r>
      <w:r w:rsidR="00C155E5" w:rsidRPr="00F85702">
        <w:rPr>
          <w:rFonts w:cs="Times New Roman"/>
        </w:rPr>
        <w:t xml:space="preserve">the </w:t>
      </w:r>
      <w:r w:rsidR="008D7D1C" w:rsidRPr="00F85702">
        <w:rPr>
          <w:rFonts w:cs="Times New Roman"/>
        </w:rPr>
        <w:t>self</w:t>
      </w:r>
      <w:r w:rsidR="00954161" w:rsidRPr="00F85702">
        <w:rPr>
          <w:rFonts w:cs="Times New Roman"/>
        </w:rPr>
        <w:t xml:space="preserve"> in</w:t>
      </w:r>
      <w:r w:rsidR="00392AA7" w:rsidRPr="00F85702">
        <w:rPr>
          <w:rFonts w:cs="Times New Roman"/>
        </w:rPr>
        <w:t xml:space="preserve"> dating </w:t>
      </w:r>
      <w:r w:rsidR="00C33009" w:rsidRPr="00F85702">
        <w:rPr>
          <w:rFonts w:cs="Times New Roman"/>
        </w:rPr>
        <w:t>web</w:t>
      </w:r>
      <w:r w:rsidR="00392AA7" w:rsidRPr="00F85702">
        <w:rPr>
          <w:rFonts w:cs="Times New Roman"/>
        </w:rPr>
        <w:t xml:space="preserve">sites. </w:t>
      </w:r>
      <w:r w:rsidR="00C155E5" w:rsidRPr="00F85702">
        <w:rPr>
          <w:rFonts w:cs="Times New Roman"/>
        </w:rPr>
        <w:t xml:space="preserve">Here </w:t>
      </w:r>
      <w:r w:rsidR="00392AA7" w:rsidRPr="00F85702">
        <w:rPr>
          <w:rFonts w:cs="Times New Roman"/>
        </w:rPr>
        <w:t xml:space="preserve">mainstream </w:t>
      </w:r>
      <w:r w:rsidR="00C155E5" w:rsidRPr="00F85702">
        <w:rPr>
          <w:rFonts w:cs="Times New Roman"/>
        </w:rPr>
        <w:t xml:space="preserve">educational </w:t>
      </w:r>
      <w:r w:rsidR="00392AA7" w:rsidRPr="00F85702">
        <w:rPr>
          <w:rFonts w:cs="Times New Roman"/>
        </w:rPr>
        <w:t xml:space="preserve">psychology and economics, </w:t>
      </w:r>
      <w:r w:rsidR="00C155E5" w:rsidRPr="00F85702">
        <w:rPr>
          <w:rFonts w:cs="Times New Roman"/>
        </w:rPr>
        <w:t>have not been especially modern, or democratic. They model the student a</w:t>
      </w:r>
      <w:r w:rsidR="00392AA7" w:rsidRPr="00F85702">
        <w:rPr>
          <w:rFonts w:cs="Times New Roman"/>
        </w:rPr>
        <w:t xml:space="preserve">s an empty vessel </w:t>
      </w:r>
      <w:r w:rsidR="00954161" w:rsidRPr="00F85702">
        <w:rPr>
          <w:rFonts w:cs="Times New Roman"/>
        </w:rPr>
        <w:t>for</w:t>
      </w:r>
      <w:r w:rsidR="00392AA7" w:rsidRPr="00F85702">
        <w:rPr>
          <w:rFonts w:cs="Times New Roman"/>
        </w:rPr>
        <w:t xml:space="preserve"> others </w:t>
      </w:r>
      <w:r w:rsidR="00954161" w:rsidRPr="00F85702">
        <w:rPr>
          <w:rFonts w:cs="Times New Roman"/>
        </w:rPr>
        <w:t>to</w:t>
      </w:r>
      <w:r w:rsidR="00392AA7" w:rsidRPr="00F85702">
        <w:rPr>
          <w:rFonts w:cs="Times New Roman"/>
        </w:rPr>
        <w:t xml:space="preserve"> fill, and </w:t>
      </w:r>
      <w:r w:rsidR="00C155E5" w:rsidRPr="00F85702">
        <w:rPr>
          <w:rFonts w:cs="Times New Roman"/>
        </w:rPr>
        <w:t xml:space="preserve">state that </w:t>
      </w:r>
      <w:r w:rsidR="00392AA7" w:rsidRPr="00F85702">
        <w:rPr>
          <w:rFonts w:cs="Times New Roman"/>
        </w:rPr>
        <w:t xml:space="preserve">the value of the vessel once filled </w:t>
      </w:r>
      <w:r w:rsidR="00C155E5" w:rsidRPr="00F85702">
        <w:rPr>
          <w:rFonts w:cs="Times New Roman"/>
        </w:rPr>
        <w:t>is</w:t>
      </w:r>
      <w:r w:rsidR="00392AA7" w:rsidRPr="00F85702">
        <w:rPr>
          <w:rFonts w:cs="Times New Roman"/>
        </w:rPr>
        <w:t xml:space="preserve"> </w:t>
      </w:r>
      <w:r w:rsidR="00954161" w:rsidRPr="00F85702">
        <w:rPr>
          <w:rFonts w:cs="Times New Roman"/>
        </w:rPr>
        <w:t>shaped</w:t>
      </w:r>
      <w:r w:rsidR="00392AA7" w:rsidRPr="00F85702">
        <w:rPr>
          <w:rFonts w:cs="Times New Roman"/>
        </w:rPr>
        <w:t xml:space="preserve"> by market exchange</w:t>
      </w:r>
      <w:r w:rsidR="00954161" w:rsidRPr="00F85702">
        <w:rPr>
          <w:rFonts w:cs="Times New Roman"/>
        </w:rPr>
        <w:t xml:space="preserve"> and</w:t>
      </w:r>
      <w:r w:rsidR="00392AA7" w:rsidRPr="00F85702">
        <w:rPr>
          <w:rFonts w:cs="Times New Roman"/>
        </w:rPr>
        <w:t xml:space="preserve"> not</w:t>
      </w:r>
      <w:r w:rsidR="00C155E5" w:rsidRPr="00F85702">
        <w:rPr>
          <w:rFonts w:cs="Times New Roman"/>
        </w:rPr>
        <w:t xml:space="preserve"> by</w:t>
      </w:r>
      <w:r w:rsidR="00392AA7" w:rsidRPr="00F85702">
        <w:rPr>
          <w:rFonts w:cs="Times New Roman"/>
        </w:rPr>
        <w:t xml:space="preserve"> </w:t>
      </w:r>
      <w:r w:rsidR="00272BE0" w:rsidRPr="00F85702">
        <w:rPr>
          <w:rFonts w:cs="Times New Roman"/>
        </w:rPr>
        <w:t xml:space="preserve">the </w:t>
      </w:r>
      <w:r w:rsidR="00392AA7" w:rsidRPr="00F85702">
        <w:rPr>
          <w:rFonts w:cs="Times New Roman"/>
        </w:rPr>
        <w:t xml:space="preserve">graduate’s </w:t>
      </w:r>
      <w:r w:rsidR="00954161" w:rsidRPr="00F85702">
        <w:rPr>
          <w:rFonts w:cs="Times New Roman"/>
        </w:rPr>
        <w:t xml:space="preserve">own </w:t>
      </w:r>
      <w:r w:rsidR="00392AA7" w:rsidRPr="00F85702">
        <w:rPr>
          <w:rFonts w:cs="Times New Roman"/>
        </w:rPr>
        <w:t xml:space="preserve">objectives.  </w:t>
      </w:r>
    </w:p>
    <w:p w14:paraId="2F71F5C3" w14:textId="56345782" w:rsidR="00255965" w:rsidRPr="00F85702" w:rsidRDefault="00C155E5" w:rsidP="00F85702">
      <w:pPr>
        <w:widowControl w:val="0"/>
        <w:autoSpaceDE w:val="0"/>
        <w:autoSpaceDN w:val="0"/>
        <w:adjustRightInd w:val="0"/>
        <w:spacing w:line="276" w:lineRule="auto"/>
        <w:ind w:firstLine="454"/>
        <w:rPr>
          <w:color w:val="000000" w:themeColor="text1"/>
        </w:rPr>
      </w:pPr>
      <w:r w:rsidRPr="00F85702">
        <w:rPr>
          <w:rFonts w:cs="Times New Roman"/>
        </w:rPr>
        <w:t>T</w:t>
      </w:r>
      <w:r w:rsidR="004805AC" w:rsidRPr="00F85702">
        <w:rPr>
          <w:rFonts w:cs="Times New Roman"/>
        </w:rPr>
        <w:t>he remain</w:t>
      </w:r>
      <w:r w:rsidR="002923E0" w:rsidRPr="00F85702">
        <w:rPr>
          <w:rFonts w:cs="Times New Roman"/>
        </w:rPr>
        <w:t xml:space="preserve">der of the </w:t>
      </w:r>
      <w:r w:rsidRPr="00F85702">
        <w:rPr>
          <w:rFonts w:cs="Times New Roman"/>
        </w:rPr>
        <w:t>lecture</w:t>
      </w:r>
      <w:r w:rsidR="002B2EC4" w:rsidRPr="00F85702">
        <w:rPr>
          <w:rFonts w:cs="Times New Roman"/>
        </w:rPr>
        <w:t xml:space="preserve"> will attempt to ground the ide</w:t>
      </w:r>
      <w:r w:rsidR="004615DE" w:rsidRPr="00F85702">
        <w:rPr>
          <w:rFonts w:cs="Times New Roman"/>
        </w:rPr>
        <w:t>a</w:t>
      </w:r>
      <w:r w:rsidR="00953984" w:rsidRPr="00F85702">
        <w:rPr>
          <w:rFonts w:cs="Times New Roman"/>
        </w:rPr>
        <w:t xml:space="preserve"> </w:t>
      </w:r>
      <w:r w:rsidR="002B2EC4" w:rsidRPr="00F85702">
        <w:rPr>
          <w:rFonts w:cs="Times New Roman"/>
        </w:rPr>
        <w:t>of higher education as self-formation in freedom</w:t>
      </w:r>
      <w:r w:rsidR="004615DE" w:rsidRPr="00F85702">
        <w:rPr>
          <w:rFonts w:cs="Times New Roman"/>
        </w:rPr>
        <w:t xml:space="preserve">. </w:t>
      </w:r>
      <w:r w:rsidRPr="00F85702">
        <w:rPr>
          <w:rFonts w:cs="Times New Roman"/>
        </w:rPr>
        <w:t>It</w:t>
      </w:r>
      <w:r w:rsidR="005F7CE8" w:rsidRPr="00F85702">
        <w:rPr>
          <w:rFonts w:cs="Times New Roman"/>
        </w:rPr>
        <w:t xml:space="preserve"> work</w:t>
      </w:r>
      <w:r w:rsidRPr="00F85702">
        <w:rPr>
          <w:rFonts w:cs="Times New Roman"/>
        </w:rPr>
        <w:t>s</w:t>
      </w:r>
      <w:r w:rsidR="005F7CE8" w:rsidRPr="00F85702">
        <w:rPr>
          <w:rFonts w:cs="Times New Roman"/>
        </w:rPr>
        <w:t xml:space="preserve"> largely in educational philosophy, while drawing also on empirical </w:t>
      </w:r>
      <w:r w:rsidRPr="00F85702">
        <w:rPr>
          <w:rFonts w:cs="Times New Roman"/>
        </w:rPr>
        <w:t xml:space="preserve">social science </w:t>
      </w:r>
      <w:r w:rsidR="005F7CE8" w:rsidRPr="00F85702">
        <w:rPr>
          <w:rFonts w:cs="Times New Roman"/>
        </w:rPr>
        <w:t xml:space="preserve">examples. </w:t>
      </w:r>
      <w:r w:rsidR="004615DE" w:rsidRPr="00F85702">
        <w:rPr>
          <w:rFonts w:cs="Times New Roman"/>
        </w:rPr>
        <w:t>F</w:t>
      </w:r>
      <w:r w:rsidR="002371B4" w:rsidRPr="00F85702">
        <w:rPr>
          <w:rFonts w:cs="Times New Roman"/>
        </w:rPr>
        <w:t>irst</w:t>
      </w:r>
      <w:r w:rsidR="005F7CE8" w:rsidRPr="00F85702">
        <w:rPr>
          <w:rFonts w:cs="Times New Roman"/>
        </w:rPr>
        <w:t>,</w:t>
      </w:r>
      <w:r w:rsidR="002371B4" w:rsidRPr="00F85702">
        <w:rPr>
          <w:rFonts w:cs="Times New Roman"/>
        </w:rPr>
        <w:t xml:space="preserve"> </w:t>
      </w:r>
      <w:r w:rsidR="002923E0" w:rsidRPr="00F85702">
        <w:rPr>
          <w:rFonts w:cs="Times New Roman"/>
        </w:rPr>
        <w:t xml:space="preserve">I </w:t>
      </w:r>
      <w:r w:rsidR="005F7CE8" w:rsidRPr="00F85702">
        <w:rPr>
          <w:rFonts w:cs="Times New Roman"/>
        </w:rPr>
        <w:t>discuss</w:t>
      </w:r>
      <w:r w:rsidR="00C33009" w:rsidRPr="00F85702">
        <w:rPr>
          <w:rFonts w:cs="Times New Roman"/>
        </w:rPr>
        <w:t xml:space="preserve"> </w:t>
      </w:r>
      <w:r w:rsidR="005F7CE8" w:rsidRPr="00F85702">
        <w:rPr>
          <w:rFonts w:cs="Times New Roman"/>
        </w:rPr>
        <w:t>self-forming freedom in</w:t>
      </w:r>
      <w:r w:rsidR="00953984" w:rsidRPr="00F85702">
        <w:rPr>
          <w:rFonts w:cs="Times New Roman"/>
        </w:rPr>
        <w:t xml:space="preserve"> Amartya Sen and Michel Foucault</w:t>
      </w:r>
      <w:r w:rsidR="005F7CE8" w:rsidRPr="00F85702">
        <w:rPr>
          <w:rFonts w:cs="Times New Roman"/>
        </w:rPr>
        <w:t xml:space="preserve">. </w:t>
      </w:r>
      <w:r w:rsidR="002923E0" w:rsidRPr="00F85702">
        <w:rPr>
          <w:rFonts w:cs="Times New Roman"/>
        </w:rPr>
        <w:t>Second</w:t>
      </w:r>
      <w:r w:rsidR="005F7CE8" w:rsidRPr="00F85702">
        <w:rPr>
          <w:rFonts w:cs="Times New Roman"/>
        </w:rPr>
        <w:t>,</w:t>
      </w:r>
      <w:r w:rsidR="002923E0" w:rsidRPr="00F85702">
        <w:rPr>
          <w:rFonts w:cs="Times New Roman"/>
        </w:rPr>
        <w:t xml:space="preserve"> I review </w:t>
      </w:r>
      <w:r w:rsidR="00C33009" w:rsidRPr="00F85702">
        <w:rPr>
          <w:rFonts w:cs="Times New Roman"/>
        </w:rPr>
        <w:t xml:space="preserve">Confucian self-cultivation through learning, </w:t>
      </w:r>
      <w:r w:rsidR="003B76F3" w:rsidRPr="00F85702">
        <w:rPr>
          <w:rFonts w:cs="Times New Roman"/>
        </w:rPr>
        <w:t>t</w:t>
      </w:r>
      <w:r w:rsidR="00C33009" w:rsidRPr="00F85702">
        <w:rPr>
          <w:rFonts w:cs="Times New Roman"/>
        </w:rPr>
        <w:t>he Bildung tradition in Germany and</w:t>
      </w:r>
      <w:r w:rsidR="003B76F3" w:rsidRPr="00F85702">
        <w:rPr>
          <w:rFonts w:cs="Times New Roman"/>
        </w:rPr>
        <w:t xml:space="preserve"> the </w:t>
      </w:r>
      <w:r w:rsidR="004805AC" w:rsidRPr="00F85702">
        <w:rPr>
          <w:rFonts w:cs="Times New Roman"/>
        </w:rPr>
        <w:t xml:space="preserve">American </w:t>
      </w:r>
      <w:r w:rsidR="003B76F3" w:rsidRPr="00F85702">
        <w:rPr>
          <w:rFonts w:cs="Times New Roman"/>
        </w:rPr>
        <w:t>pragmatists</w:t>
      </w:r>
      <w:r w:rsidR="008636D1" w:rsidRPr="00F85702">
        <w:rPr>
          <w:rFonts w:cs="Times New Roman"/>
        </w:rPr>
        <w:t>; t</w:t>
      </w:r>
      <w:r w:rsidR="003B76F3" w:rsidRPr="00F85702">
        <w:rPr>
          <w:rFonts w:cs="Times New Roman"/>
        </w:rPr>
        <w:t>ouch</w:t>
      </w:r>
      <w:r w:rsidR="008636D1" w:rsidRPr="00F85702">
        <w:rPr>
          <w:rFonts w:cs="Times New Roman"/>
        </w:rPr>
        <w:t>ing</w:t>
      </w:r>
      <w:r w:rsidR="003B76F3" w:rsidRPr="00F85702">
        <w:rPr>
          <w:rFonts w:cs="Times New Roman"/>
        </w:rPr>
        <w:t xml:space="preserve"> </w:t>
      </w:r>
      <w:r w:rsidR="005F7CE8" w:rsidRPr="00F85702">
        <w:rPr>
          <w:rFonts w:cs="Times New Roman"/>
        </w:rPr>
        <w:t xml:space="preserve">also </w:t>
      </w:r>
      <w:r w:rsidR="003B76F3" w:rsidRPr="00F85702">
        <w:rPr>
          <w:rFonts w:cs="Times New Roman"/>
        </w:rPr>
        <w:t xml:space="preserve">on the immersion in knowledge </w:t>
      </w:r>
      <w:r w:rsidR="005F7CE8" w:rsidRPr="00F85702">
        <w:rPr>
          <w:rFonts w:cs="Times New Roman"/>
        </w:rPr>
        <w:t>fundamental</w:t>
      </w:r>
      <w:r w:rsidR="004805AC" w:rsidRPr="00F85702">
        <w:rPr>
          <w:rFonts w:cs="Times New Roman"/>
        </w:rPr>
        <w:t xml:space="preserve"> to</w:t>
      </w:r>
      <w:r w:rsidR="003B76F3" w:rsidRPr="00F85702">
        <w:rPr>
          <w:rFonts w:cs="Times New Roman"/>
        </w:rPr>
        <w:t xml:space="preserve"> higher educatio</w:t>
      </w:r>
      <w:r w:rsidR="004805AC" w:rsidRPr="00F85702">
        <w:rPr>
          <w:rFonts w:cs="Times New Roman"/>
        </w:rPr>
        <w:t>n</w:t>
      </w:r>
      <w:r w:rsidR="008636D1" w:rsidRPr="00F85702">
        <w:rPr>
          <w:rFonts w:cs="Times New Roman"/>
        </w:rPr>
        <w:t>. Third, I consider</w:t>
      </w:r>
      <w:r w:rsidR="003B76F3" w:rsidRPr="00F85702">
        <w:rPr>
          <w:rFonts w:cs="Times New Roman"/>
        </w:rPr>
        <w:t xml:space="preserve"> the most difficult piece of the puzzle, the relation between </w:t>
      </w:r>
      <w:r w:rsidR="0017529C" w:rsidRPr="00F85702">
        <w:rPr>
          <w:rFonts w:cs="Times New Roman"/>
        </w:rPr>
        <w:t xml:space="preserve">individual </w:t>
      </w:r>
      <w:r w:rsidR="003B76F3" w:rsidRPr="00F85702">
        <w:rPr>
          <w:rFonts w:cs="Times New Roman"/>
        </w:rPr>
        <w:t>self-formation and social formation</w:t>
      </w:r>
      <w:r w:rsidR="008636D1" w:rsidRPr="00F85702">
        <w:rPr>
          <w:rFonts w:cs="Times New Roman"/>
        </w:rPr>
        <w:t xml:space="preserve">, </w:t>
      </w:r>
      <w:r w:rsidRPr="00F85702">
        <w:rPr>
          <w:rFonts w:cs="Times New Roman"/>
        </w:rPr>
        <w:t>which I call</w:t>
      </w:r>
      <w:r w:rsidR="008636D1" w:rsidRPr="00F85702">
        <w:rPr>
          <w:rFonts w:cs="Times New Roman"/>
        </w:rPr>
        <w:t xml:space="preserve"> socially-nested self-formation</w:t>
      </w:r>
      <w:r w:rsidR="003B76F3" w:rsidRPr="00F85702">
        <w:rPr>
          <w:rFonts w:cs="Times New Roman"/>
        </w:rPr>
        <w:t xml:space="preserve">. </w:t>
      </w:r>
      <w:r w:rsidR="0017529C" w:rsidRPr="00F85702">
        <w:rPr>
          <w:rFonts w:cs="Times New Roman"/>
        </w:rPr>
        <w:t>Finally, I</w:t>
      </w:r>
      <w:r w:rsidR="004805AC" w:rsidRPr="00F85702">
        <w:rPr>
          <w:rFonts w:cs="Times New Roman"/>
        </w:rPr>
        <w:t xml:space="preserve"> compare</w:t>
      </w:r>
      <w:r w:rsidR="002371B4" w:rsidRPr="00F85702">
        <w:rPr>
          <w:rFonts w:cs="Times New Roman"/>
        </w:rPr>
        <w:t xml:space="preserve"> higher education as self-formation </w:t>
      </w:r>
      <w:r w:rsidR="004805AC" w:rsidRPr="00F85702">
        <w:rPr>
          <w:rFonts w:cs="Times New Roman"/>
        </w:rPr>
        <w:t>to other constructions of the student trajectory such as investment in human capital, or social position, and the student-as-consumer.</w:t>
      </w:r>
      <w:r w:rsidR="005D2315" w:rsidRPr="00F85702">
        <w:rPr>
          <w:rFonts w:cs="Times New Roman"/>
        </w:rPr>
        <w:t xml:space="preserve"> </w:t>
      </w:r>
      <w:r w:rsidRPr="00F85702">
        <w:rPr>
          <w:rFonts w:cs="Times New Roman"/>
        </w:rPr>
        <w:t>S</w:t>
      </w:r>
      <w:r w:rsidR="005D2315" w:rsidRPr="00F85702">
        <w:rPr>
          <w:rFonts w:cs="Times New Roman"/>
        </w:rPr>
        <w:t>elf-formation does what the consumption paradigm pretends to do, but does not do</w:t>
      </w:r>
      <w:r w:rsidR="0017529C" w:rsidRPr="00F85702">
        <w:rPr>
          <w:rFonts w:cs="Times New Roman"/>
        </w:rPr>
        <w:t>. It</w:t>
      </w:r>
      <w:r w:rsidR="005D2315" w:rsidRPr="00F85702">
        <w:rPr>
          <w:rFonts w:cs="Times New Roman"/>
        </w:rPr>
        <w:t xml:space="preserve"> put</w:t>
      </w:r>
      <w:r w:rsidR="0017529C" w:rsidRPr="00F85702">
        <w:rPr>
          <w:rFonts w:cs="Times New Roman"/>
        </w:rPr>
        <w:t>s</w:t>
      </w:r>
      <w:r w:rsidR="005D2315" w:rsidRPr="00F85702">
        <w:rPr>
          <w:rFonts w:cs="Times New Roman"/>
        </w:rPr>
        <w:t xml:space="preserve"> the student at the centre of the frame. </w:t>
      </w:r>
    </w:p>
    <w:p w14:paraId="38EB4464" w14:textId="17B7AEF7" w:rsidR="00A3166B" w:rsidRPr="00F85702" w:rsidRDefault="00A3166B" w:rsidP="00F85702">
      <w:pPr>
        <w:pStyle w:val="p1"/>
        <w:spacing w:line="276" w:lineRule="auto"/>
        <w:rPr>
          <w:rFonts w:asciiTheme="minorHAnsi" w:hAnsiTheme="minorHAnsi"/>
          <w:color w:val="000000" w:themeColor="text1"/>
          <w:sz w:val="24"/>
          <w:szCs w:val="24"/>
        </w:rPr>
      </w:pPr>
    </w:p>
    <w:p w14:paraId="310309BC" w14:textId="1FFCE73F" w:rsidR="00010751" w:rsidRPr="00F85702" w:rsidRDefault="00637175" w:rsidP="00F85702">
      <w:pPr>
        <w:pStyle w:val="p1"/>
        <w:spacing w:line="276" w:lineRule="auto"/>
        <w:rPr>
          <w:rFonts w:asciiTheme="minorHAnsi" w:hAnsiTheme="minorHAnsi"/>
          <w:b/>
          <w:color w:val="000000" w:themeColor="text1"/>
          <w:sz w:val="24"/>
          <w:szCs w:val="24"/>
        </w:rPr>
      </w:pPr>
      <w:r w:rsidRPr="00F85702">
        <w:rPr>
          <w:rFonts w:asciiTheme="minorHAnsi" w:hAnsiTheme="minorHAnsi"/>
          <w:b/>
          <w:color w:val="000000" w:themeColor="text1"/>
          <w:sz w:val="24"/>
          <w:szCs w:val="24"/>
        </w:rPr>
        <w:t>Agency f</w:t>
      </w:r>
      <w:r w:rsidR="00410B1E" w:rsidRPr="00F85702">
        <w:rPr>
          <w:rFonts w:asciiTheme="minorHAnsi" w:hAnsiTheme="minorHAnsi"/>
          <w:b/>
          <w:color w:val="000000" w:themeColor="text1"/>
          <w:sz w:val="24"/>
          <w:szCs w:val="24"/>
        </w:rPr>
        <w:t>reedom</w:t>
      </w:r>
    </w:p>
    <w:p w14:paraId="14C055E3" w14:textId="77777777" w:rsidR="00410B1E" w:rsidRPr="00F85702" w:rsidRDefault="00410B1E" w:rsidP="00F85702">
      <w:pPr>
        <w:pStyle w:val="p1"/>
        <w:spacing w:line="276" w:lineRule="auto"/>
        <w:rPr>
          <w:rFonts w:asciiTheme="minorHAnsi" w:hAnsiTheme="minorHAnsi"/>
          <w:color w:val="000000" w:themeColor="text1"/>
          <w:sz w:val="24"/>
          <w:szCs w:val="24"/>
        </w:rPr>
      </w:pPr>
    </w:p>
    <w:p w14:paraId="1DD535B6" w14:textId="164614F0" w:rsidR="00410B1E" w:rsidRPr="00F85702" w:rsidRDefault="007827A5" w:rsidP="00F85702">
      <w:pPr>
        <w:pStyle w:val="p1"/>
        <w:spacing w:line="276" w:lineRule="auto"/>
        <w:rPr>
          <w:rFonts w:asciiTheme="minorHAnsi" w:hAnsiTheme="minorHAnsi"/>
          <w:color w:val="000000" w:themeColor="text1"/>
          <w:sz w:val="24"/>
          <w:szCs w:val="24"/>
        </w:rPr>
      </w:pPr>
      <w:r w:rsidRPr="00F85702">
        <w:rPr>
          <w:rFonts w:asciiTheme="minorHAnsi" w:hAnsiTheme="minorHAnsi"/>
          <w:color w:val="000000" w:themeColor="text1"/>
          <w:sz w:val="24"/>
          <w:szCs w:val="24"/>
        </w:rPr>
        <w:t>What</w:t>
      </w:r>
      <w:r w:rsidR="005D2315" w:rsidRPr="00F85702">
        <w:rPr>
          <w:rFonts w:asciiTheme="minorHAnsi" w:hAnsiTheme="minorHAnsi"/>
          <w:color w:val="000000" w:themeColor="text1"/>
          <w:sz w:val="24"/>
          <w:szCs w:val="24"/>
        </w:rPr>
        <w:t xml:space="preserve"> idea is more </w:t>
      </w:r>
      <w:r w:rsidR="005F7CE8" w:rsidRPr="00F85702">
        <w:rPr>
          <w:rFonts w:asciiTheme="minorHAnsi" w:hAnsiTheme="minorHAnsi"/>
          <w:color w:val="000000" w:themeColor="text1"/>
          <w:sz w:val="24"/>
          <w:szCs w:val="24"/>
        </w:rPr>
        <w:t>potent</w:t>
      </w:r>
      <w:r w:rsidR="005D2315" w:rsidRPr="00F85702">
        <w:rPr>
          <w:rFonts w:asciiTheme="minorHAnsi" w:hAnsiTheme="minorHAnsi"/>
          <w:color w:val="000000" w:themeColor="text1"/>
          <w:sz w:val="24"/>
          <w:szCs w:val="24"/>
        </w:rPr>
        <w:t xml:space="preserve"> </w:t>
      </w:r>
      <w:r w:rsidRPr="00F85702">
        <w:rPr>
          <w:rFonts w:asciiTheme="minorHAnsi" w:hAnsiTheme="minorHAnsi"/>
          <w:color w:val="000000" w:themeColor="text1"/>
          <w:sz w:val="24"/>
          <w:szCs w:val="24"/>
        </w:rPr>
        <w:t>than freedom?</w:t>
      </w:r>
      <w:r w:rsidR="005D2315" w:rsidRPr="00F85702">
        <w:rPr>
          <w:rFonts w:asciiTheme="minorHAnsi" w:hAnsiTheme="minorHAnsi"/>
          <w:color w:val="000000" w:themeColor="text1"/>
          <w:sz w:val="24"/>
          <w:szCs w:val="24"/>
        </w:rPr>
        <w:t xml:space="preserve"> </w:t>
      </w:r>
      <w:r w:rsidR="005F7CE8" w:rsidRPr="00F85702">
        <w:rPr>
          <w:rFonts w:asciiTheme="minorHAnsi" w:hAnsiTheme="minorHAnsi"/>
          <w:color w:val="000000" w:themeColor="text1"/>
          <w:sz w:val="24"/>
          <w:szCs w:val="24"/>
        </w:rPr>
        <w:t>In institutions devoted to education we</w:t>
      </w:r>
      <w:r w:rsidR="005D2315" w:rsidRPr="00F85702">
        <w:rPr>
          <w:rFonts w:asciiTheme="minorHAnsi" w:hAnsiTheme="minorHAnsi"/>
          <w:color w:val="000000" w:themeColor="text1"/>
          <w:sz w:val="24"/>
          <w:szCs w:val="24"/>
        </w:rPr>
        <w:t xml:space="preserve"> </w:t>
      </w:r>
      <w:r w:rsidR="005F7CE8" w:rsidRPr="00F85702">
        <w:rPr>
          <w:rFonts w:asciiTheme="minorHAnsi" w:hAnsiTheme="minorHAnsi"/>
          <w:color w:val="000000" w:themeColor="text1"/>
          <w:sz w:val="24"/>
          <w:szCs w:val="24"/>
        </w:rPr>
        <w:t>care</w:t>
      </w:r>
      <w:r w:rsidR="005D2315" w:rsidRPr="00F85702">
        <w:rPr>
          <w:rFonts w:asciiTheme="minorHAnsi" w:hAnsiTheme="minorHAnsi"/>
          <w:color w:val="000000" w:themeColor="text1"/>
          <w:sz w:val="24"/>
          <w:szCs w:val="24"/>
        </w:rPr>
        <w:t xml:space="preserve"> </w:t>
      </w:r>
      <w:r w:rsidR="005F7CE8" w:rsidRPr="00F85702">
        <w:rPr>
          <w:rFonts w:asciiTheme="minorHAnsi" w:hAnsiTheme="minorHAnsi"/>
          <w:color w:val="000000" w:themeColor="text1"/>
          <w:sz w:val="24"/>
          <w:szCs w:val="24"/>
        </w:rPr>
        <w:t xml:space="preserve">also </w:t>
      </w:r>
      <w:r w:rsidR="005D2315" w:rsidRPr="00F85702">
        <w:rPr>
          <w:rFonts w:asciiTheme="minorHAnsi" w:hAnsiTheme="minorHAnsi"/>
          <w:color w:val="000000" w:themeColor="text1"/>
          <w:sz w:val="24"/>
          <w:szCs w:val="24"/>
        </w:rPr>
        <w:t>about equality</w:t>
      </w:r>
      <w:r w:rsidR="005F7CE8" w:rsidRPr="00F85702">
        <w:rPr>
          <w:rFonts w:asciiTheme="minorHAnsi" w:hAnsiTheme="minorHAnsi"/>
          <w:color w:val="000000" w:themeColor="text1"/>
          <w:sz w:val="24"/>
          <w:szCs w:val="24"/>
        </w:rPr>
        <w:t xml:space="preserve"> and solidarity,</w:t>
      </w:r>
      <w:r w:rsidR="005D2315" w:rsidRPr="00F85702">
        <w:rPr>
          <w:rFonts w:asciiTheme="minorHAnsi" w:hAnsiTheme="minorHAnsi"/>
          <w:color w:val="000000" w:themeColor="text1"/>
          <w:sz w:val="24"/>
          <w:szCs w:val="24"/>
        </w:rPr>
        <w:t xml:space="preserve"> </w:t>
      </w:r>
      <w:r w:rsidR="005F7CE8" w:rsidRPr="00F85702">
        <w:rPr>
          <w:rFonts w:asciiTheme="minorHAnsi" w:hAnsiTheme="minorHAnsi"/>
          <w:color w:val="000000" w:themeColor="text1"/>
          <w:sz w:val="24"/>
          <w:szCs w:val="24"/>
        </w:rPr>
        <w:t>yet</w:t>
      </w:r>
      <w:r w:rsidR="005D2315" w:rsidRPr="00F85702">
        <w:rPr>
          <w:rFonts w:asciiTheme="minorHAnsi" w:hAnsiTheme="minorHAnsi"/>
          <w:color w:val="000000" w:themeColor="text1"/>
          <w:sz w:val="24"/>
          <w:szCs w:val="24"/>
        </w:rPr>
        <w:t xml:space="preserve"> </w:t>
      </w:r>
      <w:r w:rsidR="005F7CE8" w:rsidRPr="00F85702">
        <w:rPr>
          <w:rFonts w:asciiTheme="minorHAnsi" w:hAnsiTheme="minorHAnsi"/>
          <w:color w:val="000000" w:themeColor="text1"/>
          <w:sz w:val="24"/>
          <w:szCs w:val="24"/>
        </w:rPr>
        <w:t xml:space="preserve">mostly because </w:t>
      </w:r>
      <w:r w:rsidR="005D2315" w:rsidRPr="00F85702">
        <w:rPr>
          <w:rFonts w:asciiTheme="minorHAnsi" w:hAnsiTheme="minorHAnsi"/>
          <w:color w:val="000000" w:themeColor="text1"/>
          <w:sz w:val="24"/>
          <w:szCs w:val="24"/>
        </w:rPr>
        <w:t xml:space="preserve">we want </w:t>
      </w:r>
      <w:r w:rsidRPr="00F85702">
        <w:rPr>
          <w:rFonts w:asciiTheme="minorHAnsi" w:hAnsiTheme="minorHAnsi"/>
          <w:color w:val="000000" w:themeColor="text1"/>
          <w:sz w:val="24"/>
          <w:szCs w:val="24"/>
        </w:rPr>
        <w:t>all to</w:t>
      </w:r>
      <w:r w:rsidR="005D2315" w:rsidRPr="00F85702">
        <w:rPr>
          <w:rFonts w:asciiTheme="minorHAnsi" w:hAnsiTheme="minorHAnsi"/>
          <w:color w:val="000000" w:themeColor="text1"/>
          <w:sz w:val="24"/>
          <w:szCs w:val="24"/>
        </w:rPr>
        <w:t xml:space="preserve"> access </w:t>
      </w:r>
      <w:r w:rsidR="004615DE" w:rsidRPr="00F85702">
        <w:rPr>
          <w:rFonts w:asciiTheme="minorHAnsi" w:hAnsiTheme="minorHAnsi"/>
          <w:color w:val="000000" w:themeColor="text1"/>
          <w:sz w:val="24"/>
          <w:szCs w:val="24"/>
        </w:rPr>
        <w:t>freedom</w:t>
      </w:r>
      <w:r w:rsidRPr="00F85702">
        <w:rPr>
          <w:rFonts w:asciiTheme="minorHAnsi" w:hAnsiTheme="minorHAnsi"/>
          <w:color w:val="000000" w:themeColor="text1"/>
          <w:sz w:val="24"/>
          <w:szCs w:val="24"/>
        </w:rPr>
        <w:t xml:space="preserve"> and its</w:t>
      </w:r>
      <w:r w:rsidR="004615DE" w:rsidRPr="00F85702">
        <w:rPr>
          <w:rFonts w:asciiTheme="minorHAnsi" w:hAnsiTheme="minorHAnsi"/>
          <w:color w:val="000000" w:themeColor="text1"/>
          <w:sz w:val="24"/>
          <w:szCs w:val="24"/>
        </w:rPr>
        <w:t xml:space="preserve"> conditions and means</w:t>
      </w:r>
      <w:r w:rsidR="005D2315" w:rsidRPr="00F85702">
        <w:rPr>
          <w:rFonts w:asciiTheme="minorHAnsi" w:hAnsiTheme="minorHAnsi"/>
          <w:color w:val="000000" w:themeColor="text1"/>
          <w:sz w:val="24"/>
          <w:szCs w:val="24"/>
        </w:rPr>
        <w:t xml:space="preserve">. </w:t>
      </w:r>
      <w:r w:rsidR="004615DE" w:rsidRPr="00F85702">
        <w:rPr>
          <w:rFonts w:asciiTheme="minorHAnsi" w:hAnsiTheme="minorHAnsi"/>
          <w:color w:val="000000" w:themeColor="text1"/>
          <w:sz w:val="24"/>
          <w:szCs w:val="24"/>
        </w:rPr>
        <w:t>F</w:t>
      </w:r>
      <w:r w:rsidR="005D2315" w:rsidRPr="00F85702">
        <w:rPr>
          <w:rFonts w:asciiTheme="minorHAnsi" w:hAnsiTheme="minorHAnsi"/>
          <w:color w:val="000000" w:themeColor="text1"/>
          <w:sz w:val="24"/>
          <w:szCs w:val="24"/>
        </w:rPr>
        <w:t xml:space="preserve">reedom is the </w:t>
      </w:r>
      <w:r w:rsidR="00C73257" w:rsidRPr="00F85702">
        <w:rPr>
          <w:rFonts w:asciiTheme="minorHAnsi" w:hAnsiTheme="minorHAnsi"/>
          <w:color w:val="000000" w:themeColor="text1"/>
          <w:sz w:val="24"/>
          <w:szCs w:val="24"/>
        </w:rPr>
        <w:t>heart</w:t>
      </w:r>
      <w:r w:rsidR="005D2315" w:rsidRPr="00F85702">
        <w:rPr>
          <w:rFonts w:asciiTheme="minorHAnsi" w:hAnsiTheme="minorHAnsi"/>
          <w:color w:val="000000" w:themeColor="text1"/>
          <w:sz w:val="24"/>
          <w:szCs w:val="24"/>
        </w:rPr>
        <w:t xml:space="preserve"> of </w:t>
      </w:r>
      <w:r w:rsidR="009030A7" w:rsidRPr="00F85702">
        <w:rPr>
          <w:rFonts w:asciiTheme="minorHAnsi" w:hAnsiTheme="minorHAnsi"/>
          <w:color w:val="000000" w:themeColor="text1"/>
          <w:sz w:val="24"/>
          <w:szCs w:val="24"/>
        </w:rPr>
        <w:t>the political</w:t>
      </w:r>
      <w:r w:rsidR="005D2315" w:rsidRPr="00F85702">
        <w:rPr>
          <w:rFonts w:asciiTheme="minorHAnsi" w:hAnsiTheme="minorHAnsi"/>
          <w:color w:val="000000" w:themeColor="text1"/>
          <w:sz w:val="24"/>
          <w:szCs w:val="24"/>
        </w:rPr>
        <w:t xml:space="preserve"> culture</w:t>
      </w:r>
      <w:r w:rsidR="009030A7" w:rsidRPr="00F85702">
        <w:rPr>
          <w:rFonts w:asciiTheme="minorHAnsi" w:hAnsiTheme="minorHAnsi"/>
          <w:color w:val="000000" w:themeColor="text1"/>
          <w:sz w:val="24"/>
          <w:szCs w:val="24"/>
        </w:rPr>
        <w:t xml:space="preserve">s shaped by the French Revolution, including </w:t>
      </w:r>
      <w:r w:rsidRPr="00F85702">
        <w:rPr>
          <w:rFonts w:asciiTheme="minorHAnsi" w:hAnsiTheme="minorHAnsi"/>
          <w:color w:val="000000" w:themeColor="text1"/>
          <w:sz w:val="24"/>
          <w:szCs w:val="24"/>
        </w:rPr>
        <w:t xml:space="preserve">those of </w:t>
      </w:r>
      <w:r w:rsidR="009030A7" w:rsidRPr="00F85702">
        <w:rPr>
          <w:rFonts w:asciiTheme="minorHAnsi" w:hAnsiTheme="minorHAnsi"/>
          <w:color w:val="000000" w:themeColor="text1"/>
          <w:sz w:val="24"/>
          <w:szCs w:val="24"/>
        </w:rPr>
        <w:t>Anglo-America</w:t>
      </w:r>
      <w:r w:rsidRPr="00F85702">
        <w:rPr>
          <w:rFonts w:asciiTheme="minorHAnsi" w:hAnsiTheme="minorHAnsi"/>
          <w:color w:val="000000" w:themeColor="text1"/>
          <w:sz w:val="24"/>
          <w:szCs w:val="24"/>
        </w:rPr>
        <w:t xml:space="preserve">. </w:t>
      </w:r>
      <w:r w:rsidR="009030A7" w:rsidRPr="00F85702">
        <w:rPr>
          <w:rFonts w:asciiTheme="minorHAnsi" w:hAnsiTheme="minorHAnsi"/>
          <w:color w:val="000000" w:themeColor="text1"/>
          <w:sz w:val="24"/>
          <w:szCs w:val="24"/>
        </w:rPr>
        <w:t>This drives</w:t>
      </w:r>
      <w:r w:rsidR="00C73257" w:rsidRPr="00F85702">
        <w:rPr>
          <w:rFonts w:asciiTheme="minorHAnsi" w:hAnsiTheme="minorHAnsi"/>
          <w:color w:val="000000" w:themeColor="text1"/>
          <w:sz w:val="24"/>
          <w:szCs w:val="24"/>
        </w:rPr>
        <w:t xml:space="preserve"> the</w:t>
      </w:r>
      <w:r w:rsidR="005D2315" w:rsidRPr="00F85702">
        <w:rPr>
          <w:rFonts w:asciiTheme="minorHAnsi" w:hAnsiTheme="minorHAnsi"/>
          <w:color w:val="000000" w:themeColor="text1"/>
          <w:sz w:val="24"/>
          <w:szCs w:val="24"/>
        </w:rPr>
        <w:t xml:space="preserve"> </w:t>
      </w:r>
      <w:r w:rsidR="00C73257" w:rsidRPr="00F85702">
        <w:rPr>
          <w:rFonts w:asciiTheme="minorHAnsi" w:hAnsiTheme="minorHAnsi"/>
          <w:color w:val="000000" w:themeColor="text1"/>
          <w:sz w:val="24"/>
          <w:szCs w:val="24"/>
        </w:rPr>
        <w:t>never wholly resolved</w:t>
      </w:r>
      <w:r w:rsidR="005D2315" w:rsidRPr="00F85702">
        <w:rPr>
          <w:rFonts w:asciiTheme="minorHAnsi" w:hAnsiTheme="minorHAnsi"/>
          <w:color w:val="000000" w:themeColor="text1"/>
          <w:sz w:val="24"/>
          <w:szCs w:val="24"/>
        </w:rPr>
        <w:t xml:space="preserve"> tension between</w:t>
      </w:r>
      <w:r w:rsidR="009030A7" w:rsidRPr="00F85702">
        <w:rPr>
          <w:rFonts w:asciiTheme="minorHAnsi" w:hAnsiTheme="minorHAnsi"/>
          <w:color w:val="000000" w:themeColor="text1"/>
          <w:sz w:val="24"/>
          <w:szCs w:val="24"/>
        </w:rPr>
        <w:t xml:space="preserve"> the</w:t>
      </w:r>
      <w:r w:rsidR="005D2315" w:rsidRPr="00F85702">
        <w:rPr>
          <w:rFonts w:asciiTheme="minorHAnsi" w:hAnsiTheme="minorHAnsi"/>
          <w:color w:val="000000" w:themeColor="text1"/>
          <w:sz w:val="24"/>
          <w:szCs w:val="24"/>
        </w:rPr>
        <w:t xml:space="preserve"> individual and </w:t>
      </w:r>
      <w:r w:rsidR="009030A7" w:rsidRPr="00F85702">
        <w:rPr>
          <w:rFonts w:asciiTheme="minorHAnsi" w:hAnsiTheme="minorHAnsi"/>
          <w:color w:val="000000" w:themeColor="text1"/>
          <w:sz w:val="24"/>
          <w:szCs w:val="24"/>
        </w:rPr>
        <w:t xml:space="preserve">the </w:t>
      </w:r>
      <w:r w:rsidR="005D2315" w:rsidRPr="00F85702">
        <w:rPr>
          <w:rFonts w:asciiTheme="minorHAnsi" w:hAnsiTheme="minorHAnsi"/>
          <w:color w:val="000000" w:themeColor="text1"/>
          <w:sz w:val="24"/>
          <w:szCs w:val="24"/>
        </w:rPr>
        <w:t>social</w:t>
      </w:r>
      <w:r w:rsidR="009030A7" w:rsidRPr="00F85702">
        <w:rPr>
          <w:rFonts w:asciiTheme="minorHAnsi" w:hAnsiTheme="minorHAnsi"/>
          <w:color w:val="000000" w:themeColor="text1"/>
          <w:sz w:val="24"/>
          <w:szCs w:val="24"/>
        </w:rPr>
        <w:t xml:space="preserve"> </w:t>
      </w:r>
      <w:r w:rsidR="006E2095" w:rsidRPr="00F85702">
        <w:rPr>
          <w:rFonts w:asciiTheme="minorHAnsi" w:hAnsiTheme="minorHAnsi"/>
          <w:color w:val="000000" w:themeColor="text1"/>
          <w:sz w:val="24"/>
          <w:szCs w:val="24"/>
        </w:rPr>
        <w:t xml:space="preserve">that is </w:t>
      </w:r>
      <w:r w:rsidR="009030A7" w:rsidRPr="00F85702">
        <w:rPr>
          <w:rFonts w:asciiTheme="minorHAnsi" w:hAnsiTheme="minorHAnsi"/>
          <w:color w:val="000000" w:themeColor="text1"/>
          <w:sz w:val="24"/>
          <w:szCs w:val="24"/>
        </w:rPr>
        <w:t>inherent in th</w:t>
      </w:r>
      <w:r w:rsidR="009D383A" w:rsidRPr="00F85702">
        <w:rPr>
          <w:rFonts w:asciiTheme="minorHAnsi" w:hAnsiTheme="minorHAnsi"/>
          <w:color w:val="000000" w:themeColor="text1"/>
          <w:sz w:val="24"/>
          <w:szCs w:val="24"/>
        </w:rPr>
        <w:t>ose</w:t>
      </w:r>
      <w:r w:rsidR="009030A7" w:rsidRPr="00F85702">
        <w:rPr>
          <w:rFonts w:asciiTheme="minorHAnsi" w:hAnsiTheme="minorHAnsi"/>
          <w:color w:val="000000" w:themeColor="text1"/>
          <w:sz w:val="24"/>
          <w:szCs w:val="24"/>
        </w:rPr>
        <w:t xml:space="preserve"> political culture</w:t>
      </w:r>
      <w:r w:rsidR="009D383A" w:rsidRPr="00F85702">
        <w:rPr>
          <w:rFonts w:asciiTheme="minorHAnsi" w:hAnsiTheme="minorHAnsi"/>
          <w:color w:val="000000" w:themeColor="text1"/>
          <w:sz w:val="24"/>
          <w:szCs w:val="24"/>
        </w:rPr>
        <w:t>s</w:t>
      </w:r>
      <w:r w:rsidR="005D2315" w:rsidRPr="00F85702">
        <w:rPr>
          <w:rFonts w:asciiTheme="minorHAnsi" w:hAnsiTheme="minorHAnsi"/>
          <w:color w:val="000000" w:themeColor="text1"/>
          <w:sz w:val="24"/>
          <w:szCs w:val="24"/>
        </w:rPr>
        <w:t>.</w:t>
      </w:r>
    </w:p>
    <w:p w14:paraId="24BE1346" w14:textId="45947FD5" w:rsidR="00637175" w:rsidRPr="00F85702" w:rsidRDefault="00C73257" w:rsidP="00F85702">
      <w:pPr>
        <w:pStyle w:val="p1"/>
        <w:spacing w:line="276" w:lineRule="auto"/>
        <w:rPr>
          <w:rFonts w:asciiTheme="minorHAnsi" w:hAnsiTheme="minorHAnsi"/>
          <w:sz w:val="24"/>
          <w:szCs w:val="24"/>
        </w:rPr>
      </w:pPr>
      <w:r w:rsidRPr="00F85702">
        <w:rPr>
          <w:rFonts w:asciiTheme="minorHAnsi" w:hAnsiTheme="minorHAnsi"/>
          <w:color w:val="000000" w:themeColor="text1"/>
          <w:sz w:val="24"/>
          <w:szCs w:val="24"/>
        </w:rPr>
        <w:tab/>
      </w:r>
      <w:r w:rsidR="007827A5" w:rsidRPr="00F85702">
        <w:rPr>
          <w:rFonts w:asciiTheme="minorHAnsi" w:hAnsiTheme="minorHAnsi"/>
          <w:color w:val="000000" w:themeColor="text1"/>
          <w:sz w:val="24"/>
          <w:szCs w:val="24"/>
        </w:rPr>
        <w:t>T</w:t>
      </w:r>
      <w:r w:rsidR="00610250" w:rsidRPr="00F85702">
        <w:rPr>
          <w:rFonts w:asciiTheme="minorHAnsi" w:hAnsiTheme="minorHAnsi"/>
          <w:color w:val="000000" w:themeColor="text1"/>
          <w:sz w:val="24"/>
          <w:szCs w:val="24"/>
        </w:rPr>
        <w:t>he</w:t>
      </w:r>
      <w:r w:rsidR="007827A5" w:rsidRPr="00F85702">
        <w:rPr>
          <w:rFonts w:asciiTheme="minorHAnsi" w:hAnsiTheme="minorHAnsi"/>
          <w:color w:val="000000" w:themeColor="text1"/>
          <w:sz w:val="24"/>
          <w:szCs w:val="24"/>
        </w:rPr>
        <w:t>re are many accounts of freedom but</w:t>
      </w:r>
      <w:r w:rsidR="00637175" w:rsidRPr="00F85702">
        <w:rPr>
          <w:rFonts w:asciiTheme="minorHAnsi" w:hAnsiTheme="minorHAnsi"/>
          <w:color w:val="000000" w:themeColor="text1"/>
          <w:sz w:val="24"/>
          <w:szCs w:val="24"/>
        </w:rPr>
        <w:t xml:space="preserve"> </w:t>
      </w:r>
      <w:r w:rsidR="001A59F9" w:rsidRPr="00F85702">
        <w:rPr>
          <w:rFonts w:asciiTheme="minorHAnsi" w:hAnsiTheme="minorHAnsi"/>
          <w:color w:val="000000" w:themeColor="text1"/>
          <w:sz w:val="24"/>
          <w:szCs w:val="24"/>
        </w:rPr>
        <w:t xml:space="preserve">I find </w:t>
      </w:r>
      <w:r w:rsidR="00610250" w:rsidRPr="00F85702">
        <w:rPr>
          <w:rFonts w:asciiTheme="minorHAnsi" w:hAnsiTheme="minorHAnsi"/>
          <w:color w:val="000000" w:themeColor="text1"/>
          <w:sz w:val="24"/>
          <w:szCs w:val="24"/>
        </w:rPr>
        <w:t xml:space="preserve">Amartya Sen’s </w:t>
      </w:r>
      <w:r w:rsidR="00610250" w:rsidRPr="00F85702">
        <w:rPr>
          <w:rFonts w:asciiTheme="minorHAnsi" w:hAnsiTheme="minorHAnsi"/>
          <w:sz w:val="24"/>
          <w:szCs w:val="24"/>
        </w:rPr>
        <w:t>account of self-determination</w:t>
      </w:r>
      <w:r w:rsidR="00610250" w:rsidRPr="00F85702">
        <w:rPr>
          <w:rFonts w:asciiTheme="minorHAnsi" w:hAnsiTheme="minorHAnsi"/>
          <w:color w:val="000000" w:themeColor="text1"/>
          <w:sz w:val="24"/>
          <w:szCs w:val="24"/>
        </w:rPr>
        <w:t xml:space="preserve"> </w:t>
      </w:r>
      <w:r w:rsidR="001A59F9" w:rsidRPr="00F85702">
        <w:rPr>
          <w:rFonts w:asciiTheme="minorHAnsi" w:hAnsiTheme="minorHAnsi"/>
          <w:color w:val="000000" w:themeColor="text1"/>
          <w:sz w:val="24"/>
          <w:szCs w:val="24"/>
        </w:rPr>
        <w:t>to be</w:t>
      </w:r>
      <w:r w:rsidR="00610250" w:rsidRPr="00F85702">
        <w:rPr>
          <w:rFonts w:asciiTheme="minorHAnsi" w:hAnsiTheme="minorHAnsi"/>
          <w:color w:val="000000" w:themeColor="text1"/>
          <w:sz w:val="24"/>
          <w:szCs w:val="24"/>
        </w:rPr>
        <w:t xml:space="preserve"> especially helpful. </w:t>
      </w:r>
      <w:r w:rsidR="00610250" w:rsidRPr="00F85702">
        <w:rPr>
          <w:rFonts w:asciiTheme="minorHAnsi" w:hAnsiTheme="minorHAnsi"/>
          <w:sz w:val="24"/>
          <w:szCs w:val="24"/>
        </w:rPr>
        <w:t xml:space="preserve">If identity is what a person understands themselves or others to be, </w:t>
      </w:r>
      <w:r w:rsidR="00BA693E" w:rsidRPr="00F85702">
        <w:rPr>
          <w:rFonts w:asciiTheme="minorHAnsi" w:hAnsiTheme="minorHAnsi"/>
          <w:sz w:val="24"/>
          <w:szCs w:val="24"/>
        </w:rPr>
        <w:t>an ‘agent’, states Sen, is ‘</w:t>
      </w:r>
      <w:r w:rsidR="00610250" w:rsidRPr="00F85702">
        <w:rPr>
          <w:rFonts w:asciiTheme="minorHAnsi" w:hAnsiTheme="minorHAnsi"/>
          <w:sz w:val="24"/>
          <w:szCs w:val="24"/>
        </w:rPr>
        <w:t>someone who acts and brings about change</w:t>
      </w:r>
      <w:r w:rsidR="007827A5" w:rsidRPr="00F85702">
        <w:rPr>
          <w:rFonts w:asciiTheme="minorHAnsi" w:hAnsiTheme="minorHAnsi"/>
          <w:sz w:val="24"/>
          <w:szCs w:val="24"/>
        </w:rPr>
        <w:t xml:space="preserve">’. The </w:t>
      </w:r>
      <w:r w:rsidR="00610250" w:rsidRPr="00F85702">
        <w:rPr>
          <w:rFonts w:asciiTheme="minorHAnsi" w:hAnsiTheme="minorHAnsi"/>
          <w:sz w:val="24"/>
          <w:szCs w:val="24"/>
        </w:rPr>
        <w:t xml:space="preserve">achievements </w:t>
      </w:r>
      <w:r w:rsidR="007827A5" w:rsidRPr="00F85702">
        <w:rPr>
          <w:rFonts w:asciiTheme="minorHAnsi" w:hAnsiTheme="minorHAnsi"/>
          <w:sz w:val="24"/>
          <w:szCs w:val="24"/>
        </w:rPr>
        <w:t>of the agent ‘</w:t>
      </w:r>
      <w:r w:rsidR="00610250" w:rsidRPr="00F85702">
        <w:rPr>
          <w:rFonts w:asciiTheme="minorHAnsi" w:hAnsiTheme="minorHAnsi"/>
          <w:sz w:val="24"/>
          <w:szCs w:val="24"/>
        </w:rPr>
        <w:t>can be judged in terms of her own values and objectives, whether or not</w:t>
      </w:r>
      <w:r w:rsidR="00BA693E" w:rsidRPr="00F85702">
        <w:rPr>
          <w:rFonts w:asciiTheme="minorHAnsi" w:hAnsiTheme="minorHAnsi"/>
          <w:sz w:val="24"/>
          <w:szCs w:val="24"/>
        </w:rPr>
        <w:t xml:space="preserve"> </w:t>
      </w:r>
      <w:r w:rsidR="00610250" w:rsidRPr="00F85702">
        <w:rPr>
          <w:rFonts w:asciiTheme="minorHAnsi" w:hAnsiTheme="minorHAnsi"/>
          <w:sz w:val="24"/>
          <w:szCs w:val="24"/>
        </w:rPr>
        <w:t>we assess them in terms of</w:t>
      </w:r>
      <w:r w:rsidR="00BA693E" w:rsidRPr="00F85702">
        <w:rPr>
          <w:rFonts w:asciiTheme="minorHAnsi" w:hAnsiTheme="minorHAnsi"/>
          <w:sz w:val="24"/>
          <w:szCs w:val="24"/>
        </w:rPr>
        <w:t xml:space="preserve"> some external criteria as well.’</w:t>
      </w:r>
      <w:r w:rsidR="00BA693E" w:rsidRPr="00F85702">
        <w:rPr>
          <w:rStyle w:val="FootnoteReference"/>
          <w:rFonts w:asciiTheme="minorHAnsi" w:hAnsiTheme="minorHAnsi"/>
          <w:sz w:val="24"/>
          <w:szCs w:val="24"/>
        </w:rPr>
        <w:footnoteReference w:id="5"/>
      </w:r>
      <w:r w:rsidR="00610250" w:rsidRPr="00F85702">
        <w:rPr>
          <w:rFonts w:asciiTheme="minorHAnsi" w:hAnsiTheme="minorHAnsi"/>
          <w:sz w:val="24"/>
          <w:szCs w:val="24"/>
        </w:rPr>
        <w:t>.</w:t>
      </w:r>
      <w:r w:rsidR="00637175" w:rsidRPr="00F85702">
        <w:rPr>
          <w:rFonts w:asciiTheme="minorHAnsi" w:hAnsiTheme="minorHAnsi"/>
          <w:sz w:val="24"/>
          <w:szCs w:val="24"/>
        </w:rPr>
        <w:t xml:space="preserve"> </w:t>
      </w:r>
      <w:r w:rsidR="007827A5" w:rsidRPr="00F85702">
        <w:rPr>
          <w:rFonts w:asciiTheme="minorHAnsi" w:hAnsiTheme="minorHAnsi"/>
          <w:sz w:val="24"/>
          <w:szCs w:val="24"/>
        </w:rPr>
        <w:t>‘R</w:t>
      </w:r>
      <w:r w:rsidR="006222D7" w:rsidRPr="00F85702">
        <w:rPr>
          <w:rFonts w:asciiTheme="minorHAnsi" w:hAnsiTheme="minorHAnsi"/>
          <w:sz w:val="24"/>
          <w:szCs w:val="24"/>
        </w:rPr>
        <w:t>esponsible adults must be in charge of their own well-being</w:t>
      </w:r>
      <w:r w:rsidR="007827A5" w:rsidRPr="00F85702">
        <w:rPr>
          <w:rFonts w:asciiTheme="minorHAnsi" w:hAnsiTheme="minorHAnsi"/>
          <w:sz w:val="24"/>
          <w:szCs w:val="24"/>
        </w:rPr>
        <w:t>’, says Sen</w:t>
      </w:r>
      <w:r w:rsidR="006222D7" w:rsidRPr="00F85702">
        <w:rPr>
          <w:rFonts w:asciiTheme="minorHAnsi" w:hAnsiTheme="minorHAnsi"/>
          <w:sz w:val="24"/>
          <w:szCs w:val="24"/>
        </w:rPr>
        <w:t xml:space="preserve">; </w:t>
      </w:r>
      <w:r w:rsidR="007827A5" w:rsidRPr="00F85702">
        <w:rPr>
          <w:rFonts w:asciiTheme="minorHAnsi" w:hAnsiTheme="minorHAnsi"/>
          <w:sz w:val="24"/>
          <w:szCs w:val="24"/>
        </w:rPr>
        <w:t>‘</w:t>
      </w:r>
      <w:r w:rsidR="006222D7" w:rsidRPr="00F85702">
        <w:rPr>
          <w:rFonts w:asciiTheme="minorHAnsi" w:hAnsiTheme="minorHAnsi"/>
          <w:sz w:val="24"/>
          <w:szCs w:val="24"/>
        </w:rPr>
        <w:t xml:space="preserve">it is for them to decide how to use their capabilities.’ The </w:t>
      </w:r>
      <w:r w:rsidR="007827A5" w:rsidRPr="00F85702">
        <w:rPr>
          <w:rFonts w:asciiTheme="minorHAnsi" w:hAnsiTheme="minorHAnsi"/>
          <w:sz w:val="24"/>
          <w:szCs w:val="24"/>
        </w:rPr>
        <w:t>first</w:t>
      </w:r>
      <w:r w:rsidR="006222D7" w:rsidRPr="00F85702">
        <w:rPr>
          <w:rFonts w:asciiTheme="minorHAnsi" w:hAnsiTheme="minorHAnsi"/>
          <w:sz w:val="24"/>
          <w:szCs w:val="24"/>
        </w:rPr>
        <w:t xml:space="preserve"> step in understanding self-formation in higher education is to assume students are self-responsible adults</w:t>
      </w:r>
      <w:r w:rsidR="007827A5" w:rsidRPr="00F85702">
        <w:rPr>
          <w:rFonts w:asciiTheme="minorHAnsi" w:hAnsiTheme="minorHAnsi"/>
          <w:sz w:val="24"/>
          <w:szCs w:val="24"/>
        </w:rPr>
        <w:t>,</w:t>
      </w:r>
      <w:r w:rsidR="00210635" w:rsidRPr="00F85702">
        <w:rPr>
          <w:rFonts w:asciiTheme="minorHAnsi" w:hAnsiTheme="minorHAnsi"/>
          <w:sz w:val="24"/>
          <w:szCs w:val="24"/>
        </w:rPr>
        <w:t xml:space="preserve"> </w:t>
      </w:r>
      <w:r w:rsidR="007827A5" w:rsidRPr="00F85702">
        <w:rPr>
          <w:rFonts w:asciiTheme="minorHAnsi" w:hAnsiTheme="minorHAnsi"/>
          <w:sz w:val="24"/>
          <w:szCs w:val="24"/>
        </w:rPr>
        <w:t>not</w:t>
      </w:r>
      <w:r w:rsidR="006222D7" w:rsidRPr="00F85702">
        <w:rPr>
          <w:rFonts w:asciiTheme="minorHAnsi" w:hAnsiTheme="minorHAnsi"/>
          <w:sz w:val="24"/>
          <w:szCs w:val="24"/>
        </w:rPr>
        <w:t xml:space="preserve"> children.</w:t>
      </w:r>
    </w:p>
    <w:p w14:paraId="59C1BFE5" w14:textId="66041429" w:rsidR="00210635" w:rsidRPr="00F85702" w:rsidRDefault="007827A5" w:rsidP="00F85702">
      <w:pPr>
        <w:spacing w:line="276" w:lineRule="auto"/>
        <w:ind w:firstLine="454"/>
        <w:rPr>
          <w:rFonts w:eastAsia="Times New Roman" w:cs="Times New Roman"/>
          <w:lang w:eastAsia="en-GB"/>
        </w:rPr>
      </w:pPr>
      <w:r w:rsidRPr="00F85702">
        <w:t>Beyond that</w:t>
      </w:r>
      <w:r w:rsidR="00637175" w:rsidRPr="00F85702">
        <w:t xml:space="preserve"> </w:t>
      </w:r>
      <w:r w:rsidR="00610250" w:rsidRPr="00F85702">
        <w:t xml:space="preserve">Sen’s notion of freedom </w:t>
      </w:r>
      <w:r w:rsidR="00637175" w:rsidRPr="00F85702">
        <w:t>ha</w:t>
      </w:r>
      <w:r w:rsidR="00610250" w:rsidRPr="00F85702">
        <w:t>s three elements. First, the freedom of the</w:t>
      </w:r>
      <w:r w:rsidR="00A420CD" w:rsidRPr="00F85702">
        <w:t xml:space="preserve"> </w:t>
      </w:r>
      <w:r w:rsidR="00610250" w:rsidRPr="00F85702">
        <w:t>individual from external threat, coercion,</w:t>
      </w:r>
      <w:r w:rsidR="00A420CD" w:rsidRPr="00F85702">
        <w:t xml:space="preserve"> or constraint. Sen calls this ‘</w:t>
      </w:r>
      <w:r w:rsidR="00610250" w:rsidRPr="00F85702">
        <w:t>control freedom</w:t>
      </w:r>
      <w:r w:rsidR="00A420CD" w:rsidRPr="00F85702">
        <w:t xml:space="preserve">’ </w:t>
      </w:r>
      <w:r w:rsidR="00610250" w:rsidRPr="00F85702">
        <w:t xml:space="preserve">and </w:t>
      </w:r>
      <w:r w:rsidR="00610250" w:rsidRPr="00F85702">
        <w:lastRenderedPageBreak/>
        <w:t>it roughly corresponds to negative freedom in Isaiah Berlin.</w:t>
      </w:r>
      <w:r w:rsidR="004612F9" w:rsidRPr="00F85702">
        <w:rPr>
          <w:rStyle w:val="FootnoteReference"/>
        </w:rPr>
        <w:footnoteReference w:id="6"/>
      </w:r>
      <w:r w:rsidR="00610250" w:rsidRPr="00F85702">
        <w:t xml:space="preserve"> Second, freedom as the</w:t>
      </w:r>
      <w:r w:rsidR="00A420CD" w:rsidRPr="00F85702">
        <w:t xml:space="preserve"> </w:t>
      </w:r>
      <w:r w:rsidR="00610250" w:rsidRPr="00F85702">
        <w:t>capacity of the individual to act, which depends on capa</w:t>
      </w:r>
      <w:r w:rsidR="003D013D" w:rsidRPr="00F85702">
        <w:t>bilities</w:t>
      </w:r>
      <w:r w:rsidR="00610250" w:rsidRPr="00F85702">
        <w:t xml:space="preserve"> and resources, and on</w:t>
      </w:r>
      <w:r w:rsidR="00A420CD" w:rsidRPr="00F85702">
        <w:t xml:space="preserve"> s</w:t>
      </w:r>
      <w:r w:rsidR="00610250" w:rsidRPr="00F85702">
        <w:t>ocial arrangements that enable people to put their choices into practice. Sen calls this</w:t>
      </w:r>
      <w:r w:rsidR="00A420CD" w:rsidRPr="00F85702">
        <w:t xml:space="preserve"> ‘</w:t>
      </w:r>
      <w:r w:rsidR="00610250" w:rsidRPr="00F85702">
        <w:t>freedom as power,</w:t>
      </w:r>
      <w:r w:rsidR="00A420CD" w:rsidRPr="00F85702">
        <w:t>’</w:t>
      </w:r>
      <w:r w:rsidR="00610250" w:rsidRPr="00F85702">
        <w:t xml:space="preserve"> and in </w:t>
      </w:r>
      <w:r w:rsidR="00A420CD" w:rsidRPr="00F85702">
        <w:t>later work ‘</w:t>
      </w:r>
      <w:r w:rsidR="00610250" w:rsidRPr="00F85702">
        <w:t>effective freedom.</w:t>
      </w:r>
      <w:r w:rsidR="00A420CD" w:rsidRPr="00F85702">
        <w:t xml:space="preserve">’ </w:t>
      </w:r>
      <w:r w:rsidR="00610250" w:rsidRPr="00F85702">
        <w:t>Others call it positive</w:t>
      </w:r>
      <w:r w:rsidR="00A420CD" w:rsidRPr="00F85702">
        <w:t xml:space="preserve"> </w:t>
      </w:r>
      <w:r w:rsidR="00610250" w:rsidRPr="00F85702">
        <w:t>freedom</w:t>
      </w:r>
      <w:r w:rsidR="00A420CD" w:rsidRPr="00F85702">
        <w:t>.</w:t>
      </w:r>
      <w:r w:rsidR="00A420CD" w:rsidRPr="00F85702">
        <w:rPr>
          <w:rStyle w:val="FootnoteReference"/>
        </w:rPr>
        <w:footnoteReference w:id="7"/>
      </w:r>
      <w:r w:rsidR="00A420CD" w:rsidRPr="00F85702">
        <w:t xml:space="preserve"> Third, ‘</w:t>
      </w:r>
      <w:r w:rsidR="00610250" w:rsidRPr="00F85702">
        <w:t>agency freedom,</w:t>
      </w:r>
      <w:r w:rsidR="00A420CD" w:rsidRPr="00F85702">
        <w:t>’</w:t>
      </w:r>
      <w:r w:rsidR="00610250" w:rsidRPr="00F85702">
        <w:t xml:space="preserve"> the active human will, the seat of</w:t>
      </w:r>
      <w:r w:rsidR="00A420CD" w:rsidRPr="00F85702">
        <w:t xml:space="preserve"> </w:t>
      </w:r>
      <w:r w:rsidR="00610250" w:rsidRPr="00F85702">
        <w:t>self-directed conscious action, which guides reflexive self-formation and the self-negotiation</w:t>
      </w:r>
      <w:r w:rsidR="00A420CD" w:rsidRPr="00F85702">
        <w:t xml:space="preserve"> </w:t>
      </w:r>
      <w:r w:rsidR="00610250" w:rsidRPr="00F85702">
        <w:t xml:space="preserve">of identity. </w:t>
      </w:r>
      <w:r w:rsidR="0016154F" w:rsidRPr="00F85702">
        <w:t>Agency</w:t>
      </w:r>
      <w:r w:rsidR="00A420CD" w:rsidRPr="00F85702">
        <w:t xml:space="preserve"> is </w:t>
      </w:r>
      <w:r w:rsidR="008B6FFE" w:rsidRPr="00F85702">
        <w:t xml:space="preserve">about being ‘master of my fate’ and ‘captain of my soul’, as </w:t>
      </w:r>
      <w:r w:rsidRPr="00F85702">
        <w:t xml:space="preserve">in </w:t>
      </w:r>
      <w:r w:rsidRPr="00F85702">
        <w:rPr>
          <w:i/>
        </w:rPr>
        <w:t>Invictus,</w:t>
      </w:r>
      <w:r w:rsidRPr="00F85702">
        <w:t xml:space="preserve"> </w:t>
      </w:r>
      <w:r w:rsidR="009D383A" w:rsidRPr="00F85702">
        <w:t xml:space="preserve">the poem </w:t>
      </w:r>
      <w:r w:rsidRPr="00F85702">
        <w:t xml:space="preserve">by </w:t>
      </w:r>
      <w:r w:rsidRPr="00F85702">
        <w:rPr>
          <w:rFonts w:eastAsia="Times New Roman" w:cs="Arial"/>
          <w:color w:val="222222"/>
          <w:shd w:val="clear" w:color="auto" w:fill="FFFFFF"/>
          <w:lang w:eastAsia="en-GB"/>
        </w:rPr>
        <w:t>William Ernest Henley</w:t>
      </w:r>
      <w:r w:rsidRPr="00F85702">
        <w:t xml:space="preserve"> </w:t>
      </w:r>
      <w:r w:rsidR="009D383A" w:rsidRPr="00F85702">
        <w:t xml:space="preserve">that sustained </w:t>
      </w:r>
      <w:r w:rsidR="008B6FFE" w:rsidRPr="00F85702">
        <w:t>Nelson Mandela</w:t>
      </w:r>
      <w:r w:rsidRPr="00F85702">
        <w:t xml:space="preserve"> </w:t>
      </w:r>
      <w:r w:rsidR="009D383A" w:rsidRPr="00F85702">
        <w:t>during his 27 years in South African prison</w:t>
      </w:r>
      <w:r w:rsidR="009D383A" w:rsidRPr="00F85702">
        <w:rPr>
          <w:rFonts w:eastAsia="Times New Roman" w:cs="Arial"/>
          <w:color w:val="222222"/>
          <w:shd w:val="clear" w:color="auto" w:fill="FFFFFF"/>
          <w:lang w:eastAsia="en-GB"/>
        </w:rPr>
        <w:t>.</w:t>
      </w:r>
      <w:r w:rsidR="009D383A" w:rsidRPr="00F85702">
        <w:rPr>
          <w:rStyle w:val="FootnoteReference"/>
          <w:rFonts w:eastAsia="Times New Roman" w:cs="Arial"/>
          <w:color w:val="222222"/>
          <w:shd w:val="clear" w:color="auto" w:fill="FFFFFF"/>
          <w:lang w:eastAsia="en-GB"/>
        </w:rPr>
        <w:footnoteReference w:id="8"/>
      </w:r>
      <w:r w:rsidR="008B6FFE" w:rsidRPr="00F85702">
        <w:t xml:space="preserve"> </w:t>
      </w:r>
      <w:r w:rsidR="0016154F" w:rsidRPr="00F85702">
        <w:t xml:space="preserve">Agency freedom </w:t>
      </w:r>
      <w:r w:rsidR="00C93EE8" w:rsidRPr="00F85702">
        <w:t>move</w:t>
      </w:r>
      <w:r w:rsidR="0016154F" w:rsidRPr="00F85702">
        <w:t>s</w:t>
      </w:r>
      <w:r w:rsidR="00C93EE8" w:rsidRPr="00F85702">
        <w:t xml:space="preserve"> beyond</w:t>
      </w:r>
      <w:r w:rsidR="008B6FFE" w:rsidRPr="00F85702">
        <w:t xml:space="preserve"> a</w:t>
      </w:r>
      <w:r w:rsidR="00A420CD" w:rsidRPr="00F85702">
        <w:t xml:space="preserve"> utilitarian calculus </w:t>
      </w:r>
      <w:r w:rsidR="00C13A22" w:rsidRPr="00F85702">
        <w:t>of</w:t>
      </w:r>
      <w:r w:rsidR="00A420CD" w:rsidRPr="00F85702">
        <w:t xml:space="preserve"> net economic </w:t>
      </w:r>
      <w:r w:rsidR="00C13A22" w:rsidRPr="00F85702">
        <w:t>advantage</w:t>
      </w:r>
      <w:r w:rsidR="00C93EE8" w:rsidRPr="00F85702">
        <w:t xml:space="preserve"> to</w:t>
      </w:r>
      <w:r w:rsidR="00A420CD" w:rsidRPr="00F85702">
        <w:t xml:space="preserve"> </w:t>
      </w:r>
      <w:r w:rsidR="0016154F" w:rsidRPr="00F85702">
        <w:t>take in</w:t>
      </w:r>
      <w:r w:rsidR="004612F9" w:rsidRPr="00F85702">
        <w:t xml:space="preserve"> </w:t>
      </w:r>
      <w:r w:rsidR="00C13A22" w:rsidRPr="00F85702">
        <w:t>virtue</w:t>
      </w:r>
      <w:r w:rsidR="0016154F" w:rsidRPr="00F85702">
        <w:t>,</w:t>
      </w:r>
      <w:r w:rsidR="00C13A22" w:rsidRPr="00F85702">
        <w:t xml:space="preserve"> </w:t>
      </w:r>
      <w:r w:rsidR="0016154F" w:rsidRPr="00F85702">
        <w:t xml:space="preserve">including </w:t>
      </w:r>
      <w:r w:rsidR="00A420CD" w:rsidRPr="00F85702">
        <w:t>status, dignity, family, friends, making things, satisfying work, the scope to realize forms of life</w:t>
      </w:r>
      <w:r w:rsidR="004612F9" w:rsidRPr="00F85702">
        <w:t xml:space="preserve">, and shared </w:t>
      </w:r>
      <w:r w:rsidR="00A420CD" w:rsidRPr="00F85702">
        <w:t xml:space="preserve">collective </w:t>
      </w:r>
      <w:r w:rsidR="00C13A22" w:rsidRPr="00F85702">
        <w:t xml:space="preserve">goods </w:t>
      </w:r>
      <w:r w:rsidR="00A420CD" w:rsidRPr="00F85702">
        <w:t>as well as individual goods.</w:t>
      </w:r>
      <w:r w:rsidR="00637175" w:rsidRPr="00F85702">
        <w:t xml:space="preserve"> </w:t>
      </w:r>
      <w:r w:rsidRPr="00F85702">
        <w:t>Sen’s three elements of freedom are interdependent. Control freedom and effective freedom are defensive and proactive moments of agency.</w:t>
      </w:r>
    </w:p>
    <w:p w14:paraId="4C449EEE" w14:textId="10C2109A" w:rsidR="00637175" w:rsidRPr="00F85702" w:rsidRDefault="00210635" w:rsidP="00F85702">
      <w:pPr>
        <w:pStyle w:val="p1"/>
        <w:spacing w:line="276" w:lineRule="auto"/>
        <w:ind w:firstLine="454"/>
        <w:rPr>
          <w:rFonts w:asciiTheme="minorHAnsi" w:hAnsiTheme="minorHAnsi"/>
          <w:sz w:val="24"/>
          <w:szCs w:val="24"/>
        </w:rPr>
      </w:pPr>
      <w:r w:rsidRPr="00F85702">
        <w:rPr>
          <w:rFonts w:asciiTheme="minorHAnsi" w:hAnsiTheme="minorHAnsi"/>
          <w:sz w:val="24"/>
          <w:szCs w:val="24"/>
        </w:rPr>
        <w:t xml:space="preserve">Sen also </w:t>
      </w:r>
      <w:r w:rsidR="001C2061" w:rsidRPr="00F85702">
        <w:rPr>
          <w:rFonts w:asciiTheme="minorHAnsi" w:hAnsiTheme="minorHAnsi"/>
          <w:sz w:val="24"/>
          <w:szCs w:val="24"/>
        </w:rPr>
        <w:t>state</w:t>
      </w:r>
      <w:r w:rsidRPr="00F85702">
        <w:rPr>
          <w:rFonts w:asciiTheme="minorHAnsi" w:hAnsiTheme="minorHAnsi"/>
          <w:sz w:val="24"/>
          <w:szCs w:val="24"/>
        </w:rPr>
        <w:t>s that a person’s capabilities ‘depend on the nature of the social arrangements, which can be crucial for individual freedoms.’</w:t>
      </w:r>
      <w:r w:rsidRPr="00F85702">
        <w:rPr>
          <w:rStyle w:val="FootnoteReference"/>
          <w:rFonts w:asciiTheme="minorHAnsi" w:hAnsiTheme="minorHAnsi"/>
          <w:sz w:val="24"/>
          <w:szCs w:val="24"/>
        </w:rPr>
        <w:footnoteReference w:id="9"/>
      </w:r>
      <w:r w:rsidRPr="00F85702">
        <w:rPr>
          <w:rFonts w:asciiTheme="minorHAnsi" w:hAnsiTheme="minorHAnsi"/>
          <w:sz w:val="24"/>
          <w:szCs w:val="24"/>
        </w:rPr>
        <w:t xml:space="preserve"> Inequality, poverty and discrimination </w:t>
      </w:r>
      <w:r w:rsidR="00534492" w:rsidRPr="00F85702">
        <w:rPr>
          <w:rFonts w:asciiTheme="minorHAnsi" w:hAnsiTheme="minorHAnsi"/>
          <w:sz w:val="24"/>
          <w:szCs w:val="24"/>
        </w:rPr>
        <w:t>stratify</w:t>
      </w:r>
      <w:r w:rsidRPr="00F85702">
        <w:rPr>
          <w:rFonts w:asciiTheme="minorHAnsi" w:hAnsiTheme="minorHAnsi"/>
          <w:sz w:val="24"/>
          <w:szCs w:val="24"/>
        </w:rPr>
        <w:t xml:space="preserve"> the agency of individuals and groups. Yet </w:t>
      </w:r>
      <w:r w:rsidR="006B66BF" w:rsidRPr="00F85702">
        <w:rPr>
          <w:rFonts w:asciiTheme="minorHAnsi" w:hAnsiTheme="minorHAnsi"/>
          <w:sz w:val="24"/>
          <w:szCs w:val="24"/>
        </w:rPr>
        <w:t xml:space="preserve">in </w:t>
      </w:r>
      <w:r w:rsidRPr="00F85702">
        <w:rPr>
          <w:rFonts w:asciiTheme="minorHAnsi" w:hAnsiTheme="minorHAnsi"/>
          <w:sz w:val="24"/>
          <w:szCs w:val="24"/>
        </w:rPr>
        <w:t>the agency perspective</w:t>
      </w:r>
      <w:r w:rsidR="00F5745E" w:rsidRPr="00F85702">
        <w:rPr>
          <w:rFonts w:asciiTheme="minorHAnsi" w:hAnsiTheme="minorHAnsi"/>
          <w:sz w:val="24"/>
          <w:szCs w:val="24"/>
        </w:rPr>
        <w:t>,</w:t>
      </w:r>
      <w:r w:rsidRPr="00F85702">
        <w:rPr>
          <w:rFonts w:asciiTheme="minorHAnsi" w:hAnsiTheme="minorHAnsi"/>
          <w:sz w:val="24"/>
          <w:szCs w:val="24"/>
        </w:rPr>
        <w:t xml:space="preserve"> structural determination is </w:t>
      </w:r>
      <w:r w:rsidR="007827A5" w:rsidRPr="00F85702">
        <w:rPr>
          <w:rFonts w:asciiTheme="minorHAnsi" w:hAnsiTheme="minorHAnsi"/>
          <w:sz w:val="24"/>
          <w:szCs w:val="24"/>
        </w:rPr>
        <w:t>never</w:t>
      </w:r>
      <w:r w:rsidRPr="00F85702">
        <w:rPr>
          <w:rFonts w:asciiTheme="minorHAnsi" w:hAnsiTheme="minorHAnsi"/>
          <w:sz w:val="24"/>
          <w:szCs w:val="24"/>
        </w:rPr>
        <w:t xml:space="preserve"> absolute</w:t>
      </w:r>
      <w:r w:rsidR="006B66BF" w:rsidRPr="00F85702">
        <w:rPr>
          <w:rFonts w:asciiTheme="minorHAnsi" w:hAnsiTheme="minorHAnsi"/>
          <w:sz w:val="24"/>
          <w:szCs w:val="24"/>
        </w:rPr>
        <w:t>.</w:t>
      </w:r>
      <w:r w:rsidRPr="00F85702">
        <w:rPr>
          <w:rFonts w:asciiTheme="minorHAnsi" w:hAnsiTheme="minorHAnsi"/>
          <w:sz w:val="24"/>
          <w:szCs w:val="24"/>
        </w:rPr>
        <w:t xml:space="preserve"> </w:t>
      </w:r>
      <w:r w:rsidR="007827A5" w:rsidRPr="00F85702">
        <w:rPr>
          <w:rFonts w:asciiTheme="minorHAnsi" w:hAnsiTheme="minorHAnsi"/>
          <w:sz w:val="24"/>
          <w:szCs w:val="24"/>
        </w:rPr>
        <w:t>It is disrupted by contingency and by agency</w:t>
      </w:r>
      <w:r w:rsidR="00F5745E" w:rsidRPr="00F85702">
        <w:rPr>
          <w:rFonts w:asciiTheme="minorHAnsi" w:hAnsiTheme="minorHAnsi"/>
          <w:sz w:val="24"/>
          <w:szCs w:val="24"/>
        </w:rPr>
        <w:t>.</w:t>
      </w:r>
      <w:r w:rsidR="00F5745E" w:rsidRPr="00F85702">
        <w:rPr>
          <w:rStyle w:val="FootnoteReference"/>
          <w:rFonts w:asciiTheme="minorHAnsi" w:hAnsiTheme="minorHAnsi"/>
          <w:sz w:val="24"/>
          <w:szCs w:val="24"/>
        </w:rPr>
        <w:footnoteReference w:id="10"/>
      </w:r>
      <w:r w:rsidR="00F5745E" w:rsidRPr="00F85702">
        <w:rPr>
          <w:rFonts w:asciiTheme="minorHAnsi" w:hAnsiTheme="minorHAnsi"/>
          <w:sz w:val="24"/>
          <w:szCs w:val="24"/>
        </w:rPr>
        <w:t xml:space="preserve"> </w:t>
      </w:r>
      <w:r w:rsidR="006B66BF" w:rsidRPr="00F85702">
        <w:rPr>
          <w:rFonts w:asciiTheme="minorHAnsi" w:hAnsiTheme="minorHAnsi"/>
          <w:sz w:val="24"/>
          <w:szCs w:val="24"/>
        </w:rPr>
        <w:t>Structures are always partly open</w:t>
      </w:r>
      <w:r w:rsidR="007827A5" w:rsidRPr="00F85702">
        <w:rPr>
          <w:rFonts w:asciiTheme="minorHAnsi" w:hAnsiTheme="minorHAnsi"/>
          <w:sz w:val="24"/>
          <w:szCs w:val="24"/>
        </w:rPr>
        <w:t>. C</w:t>
      </w:r>
      <w:r w:rsidR="006B66BF" w:rsidRPr="00F85702">
        <w:rPr>
          <w:rFonts w:asciiTheme="minorHAnsi" w:hAnsiTheme="minorHAnsi"/>
          <w:sz w:val="24"/>
          <w:szCs w:val="24"/>
        </w:rPr>
        <w:t xml:space="preserve">losed systems sit </w:t>
      </w:r>
      <w:r w:rsidR="001C2061" w:rsidRPr="00F85702">
        <w:rPr>
          <w:rFonts w:asciiTheme="minorHAnsi" w:hAnsiTheme="minorHAnsi"/>
          <w:sz w:val="24"/>
          <w:szCs w:val="24"/>
        </w:rPr>
        <w:t>with</w:t>
      </w:r>
      <w:r w:rsidR="006B66BF" w:rsidRPr="00F85702">
        <w:rPr>
          <w:rFonts w:asciiTheme="minorHAnsi" w:hAnsiTheme="minorHAnsi"/>
          <w:sz w:val="24"/>
          <w:szCs w:val="24"/>
        </w:rPr>
        <w:t>in larger open systems</w:t>
      </w:r>
      <w:r w:rsidR="007827A5" w:rsidRPr="00F85702">
        <w:rPr>
          <w:rFonts w:asciiTheme="minorHAnsi" w:hAnsiTheme="minorHAnsi"/>
          <w:sz w:val="24"/>
          <w:szCs w:val="24"/>
        </w:rPr>
        <w:t xml:space="preserve">. </w:t>
      </w:r>
      <w:r w:rsidR="008D7D1C" w:rsidRPr="00F85702">
        <w:rPr>
          <w:rFonts w:asciiTheme="minorHAnsi" w:hAnsiTheme="minorHAnsi"/>
          <w:sz w:val="24"/>
          <w:szCs w:val="24"/>
        </w:rPr>
        <w:t>Agency is not just a modernist trope, it is the way through for disadvantaged populations, as Sue Clegg points out.</w:t>
      </w:r>
      <w:r w:rsidR="008D7D1C" w:rsidRPr="00F85702">
        <w:rPr>
          <w:rStyle w:val="FootnoteReference"/>
          <w:rFonts w:asciiTheme="minorHAnsi" w:hAnsiTheme="minorHAnsi"/>
          <w:sz w:val="24"/>
          <w:szCs w:val="24"/>
        </w:rPr>
        <w:footnoteReference w:id="11"/>
      </w:r>
      <w:r w:rsidR="008D7D1C" w:rsidRPr="00F85702">
        <w:rPr>
          <w:rFonts w:asciiTheme="minorHAnsi" w:hAnsiTheme="minorHAnsi"/>
          <w:sz w:val="24"/>
          <w:szCs w:val="24"/>
        </w:rPr>
        <w:t xml:space="preserve"> </w:t>
      </w:r>
      <w:r w:rsidR="009F7542" w:rsidRPr="00F85702">
        <w:rPr>
          <w:rFonts w:asciiTheme="minorHAnsi" w:hAnsiTheme="minorHAnsi"/>
          <w:sz w:val="24"/>
          <w:szCs w:val="24"/>
        </w:rPr>
        <w:t xml:space="preserve">Michel Foucault </w:t>
      </w:r>
      <w:r w:rsidR="00F5745E" w:rsidRPr="00F85702">
        <w:rPr>
          <w:rFonts w:asciiTheme="minorHAnsi" w:hAnsiTheme="minorHAnsi"/>
          <w:sz w:val="24"/>
          <w:szCs w:val="24"/>
        </w:rPr>
        <w:t>notes</w:t>
      </w:r>
      <w:r w:rsidR="009F7542" w:rsidRPr="00F85702">
        <w:rPr>
          <w:rFonts w:asciiTheme="minorHAnsi" w:hAnsiTheme="minorHAnsi"/>
          <w:sz w:val="24"/>
          <w:szCs w:val="24"/>
        </w:rPr>
        <w:t xml:space="preserve"> the self is the only object that one can freely will, ‘without having to take into consideration external determinations</w:t>
      </w:r>
      <w:r w:rsidR="00F5745E" w:rsidRPr="00F85702">
        <w:rPr>
          <w:rFonts w:asciiTheme="minorHAnsi" w:hAnsiTheme="minorHAnsi"/>
          <w:sz w:val="24"/>
          <w:szCs w:val="24"/>
        </w:rPr>
        <w:t>.</w:t>
      </w:r>
      <w:r w:rsidR="009F7542" w:rsidRPr="00F85702">
        <w:rPr>
          <w:rFonts w:asciiTheme="minorHAnsi" w:hAnsiTheme="minorHAnsi"/>
          <w:sz w:val="24"/>
          <w:szCs w:val="24"/>
        </w:rPr>
        <w:t>’</w:t>
      </w:r>
      <w:r w:rsidR="001C2061" w:rsidRPr="00F85702">
        <w:rPr>
          <w:rStyle w:val="FootnoteReference"/>
          <w:rFonts w:asciiTheme="minorHAnsi" w:hAnsiTheme="minorHAnsi"/>
          <w:sz w:val="24"/>
          <w:szCs w:val="24"/>
        </w:rPr>
        <w:footnoteReference w:id="12"/>
      </w:r>
      <w:r w:rsidR="001C2061" w:rsidRPr="00F85702">
        <w:rPr>
          <w:rFonts w:asciiTheme="minorHAnsi" w:hAnsiTheme="minorHAnsi"/>
          <w:sz w:val="24"/>
          <w:szCs w:val="24"/>
        </w:rPr>
        <w:t xml:space="preserve"> </w:t>
      </w:r>
      <w:r w:rsidR="00F5745E" w:rsidRPr="00F85702">
        <w:rPr>
          <w:rFonts w:asciiTheme="minorHAnsi" w:hAnsiTheme="minorHAnsi"/>
          <w:sz w:val="24"/>
          <w:szCs w:val="24"/>
        </w:rPr>
        <w:t>He</w:t>
      </w:r>
      <w:r w:rsidR="00B00F28" w:rsidRPr="00F85702">
        <w:rPr>
          <w:rFonts w:asciiTheme="minorHAnsi" w:hAnsiTheme="minorHAnsi"/>
          <w:sz w:val="24"/>
          <w:szCs w:val="24"/>
        </w:rPr>
        <w:t xml:space="preserve"> locates agency ‘in the constant interplay between strategies of power and resistance.’</w:t>
      </w:r>
      <w:r w:rsidR="00B00F28" w:rsidRPr="00F85702">
        <w:rPr>
          <w:rStyle w:val="FootnoteReference"/>
          <w:rFonts w:asciiTheme="minorHAnsi" w:hAnsiTheme="minorHAnsi"/>
          <w:sz w:val="24"/>
          <w:szCs w:val="24"/>
        </w:rPr>
        <w:footnoteReference w:id="13"/>
      </w:r>
      <w:r w:rsidR="00B00F28" w:rsidRPr="00F85702">
        <w:rPr>
          <w:rFonts w:asciiTheme="minorHAnsi" w:hAnsiTheme="minorHAnsi"/>
          <w:sz w:val="24"/>
          <w:szCs w:val="24"/>
        </w:rPr>
        <w:t xml:space="preserve"> </w:t>
      </w:r>
      <w:r w:rsidR="00F5745E" w:rsidRPr="00F85702">
        <w:rPr>
          <w:rFonts w:asciiTheme="minorHAnsi" w:hAnsiTheme="minorHAnsi"/>
          <w:sz w:val="24"/>
          <w:szCs w:val="24"/>
        </w:rPr>
        <w:t>Reflexivity mediates between structure and agency. H</w:t>
      </w:r>
      <w:r w:rsidR="006B66BF" w:rsidRPr="00F85702">
        <w:rPr>
          <w:rFonts w:asciiTheme="minorHAnsi" w:hAnsiTheme="minorHAnsi"/>
          <w:sz w:val="24"/>
          <w:szCs w:val="24"/>
        </w:rPr>
        <w:t>igher education enhances the capacity for reflexivity</w:t>
      </w:r>
      <w:r w:rsidRPr="00F85702">
        <w:rPr>
          <w:rFonts w:asciiTheme="minorHAnsi" w:hAnsiTheme="minorHAnsi"/>
          <w:sz w:val="24"/>
          <w:szCs w:val="24"/>
        </w:rPr>
        <w:t xml:space="preserve">. </w:t>
      </w:r>
      <w:r w:rsidR="001C2061" w:rsidRPr="00F85702">
        <w:rPr>
          <w:rFonts w:asciiTheme="minorHAnsi" w:hAnsiTheme="minorHAnsi"/>
          <w:sz w:val="24"/>
          <w:szCs w:val="24"/>
        </w:rPr>
        <w:t>It grows the space for freedom.</w:t>
      </w:r>
    </w:p>
    <w:p w14:paraId="6FF870F4" w14:textId="72FFA2EE" w:rsidR="00610250" w:rsidRPr="00F85702" w:rsidRDefault="006B66BF" w:rsidP="00F85702">
      <w:pPr>
        <w:pStyle w:val="p1"/>
        <w:spacing w:line="276" w:lineRule="auto"/>
        <w:ind w:firstLine="454"/>
        <w:rPr>
          <w:rFonts w:asciiTheme="minorHAnsi" w:hAnsiTheme="minorHAnsi"/>
          <w:sz w:val="24"/>
          <w:szCs w:val="24"/>
        </w:rPr>
      </w:pPr>
      <w:r w:rsidRPr="00F85702">
        <w:rPr>
          <w:rFonts w:asciiTheme="minorHAnsi" w:hAnsiTheme="minorHAnsi"/>
          <w:sz w:val="24"/>
          <w:szCs w:val="24"/>
        </w:rPr>
        <w:t>In fact</w:t>
      </w:r>
      <w:r w:rsidR="000727BD" w:rsidRPr="00F85702">
        <w:rPr>
          <w:rFonts w:asciiTheme="minorHAnsi" w:hAnsiTheme="minorHAnsi"/>
          <w:sz w:val="24"/>
          <w:szCs w:val="24"/>
        </w:rPr>
        <w:t>,</w:t>
      </w:r>
      <w:r w:rsidRPr="00F85702">
        <w:rPr>
          <w:rFonts w:asciiTheme="minorHAnsi" w:hAnsiTheme="minorHAnsi"/>
          <w:sz w:val="24"/>
          <w:szCs w:val="24"/>
        </w:rPr>
        <w:t xml:space="preserve"> a</w:t>
      </w:r>
      <w:r w:rsidR="00637175" w:rsidRPr="00F85702">
        <w:rPr>
          <w:rFonts w:asciiTheme="minorHAnsi" w:hAnsiTheme="minorHAnsi"/>
          <w:sz w:val="24"/>
          <w:szCs w:val="24"/>
        </w:rPr>
        <w:t xml:space="preserve">ll </w:t>
      </w:r>
      <w:r w:rsidR="000727BD" w:rsidRPr="00F85702">
        <w:rPr>
          <w:rFonts w:asciiTheme="minorHAnsi" w:hAnsiTheme="minorHAnsi"/>
          <w:sz w:val="24"/>
          <w:szCs w:val="24"/>
        </w:rPr>
        <w:t>three</w:t>
      </w:r>
      <w:r w:rsidR="00637175" w:rsidRPr="00F85702">
        <w:rPr>
          <w:rFonts w:asciiTheme="minorHAnsi" w:hAnsiTheme="minorHAnsi"/>
          <w:sz w:val="24"/>
          <w:szCs w:val="24"/>
        </w:rPr>
        <w:t xml:space="preserve"> Sen aspects of freedom are advanced by higher education, </w:t>
      </w:r>
      <w:r w:rsidRPr="00F85702">
        <w:rPr>
          <w:rFonts w:asciiTheme="minorHAnsi" w:hAnsiTheme="minorHAnsi"/>
          <w:sz w:val="24"/>
          <w:szCs w:val="24"/>
        </w:rPr>
        <w:t>especially</w:t>
      </w:r>
      <w:r w:rsidR="00637175" w:rsidRPr="00F85702">
        <w:rPr>
          <w:rFonts w:asciiTheme="minorHAnsi" w:hAnsiTheme="minorHAnsi"/>
          <w:sz w:val="24"/>
          <w:szCs w:val="24"/>
        </w:rPr>
        <w:t xml:space="preserve"> </w:t>
      </w:r>
      <w:r w:rsidR="003D013D" w:rsidRPr="00F85702">
        <w:rPr>
          <w:rFonts w:asciiTheme="minorHAnsi" w:hAnsiTheme="minorHAnsi"/>
          <w:sz w:val="24"/>
          <w:szCs w:val="24"/>
        </w:rPr>
        <w:t xml:space="preserve">effective freedom, the capacity of the individual to act, and agency </w:t>
      </w:r>
      <w:r w:rsidR="00F5745E" w:rsidRPr="00F85702">
        <w:rPr>
          <w:rFonts w:asciiTheme="minorHAnsi" w:hAnsiTheme="minorHAnsi"/>
          <w:sz w:val="24"/>
          <w:szCs w:val="24"/>
        </w:rPr>
        <w:t>of the will</w:t>
      </w:r>
      <w:r w:rsidR="003D013D" w:rsidRPr="00F85702">
        <w:rPr>
          <w:rFonts w:asciiTheme="minorHAnsi" w:hAnsiTheme="minorHAnsi"/>
          <w:sz w:val="24"/>
          <w:szCs w:val="24"/>
        </w:rPr>
        <w:t>.</w:t>
      </w:r>
      <w:r w:rsidR="00637175" w:rsidRPr="00F85702">
        <w:rPr>
          <w:rFonts w:asciiTheme="minorHAnsi" w:hAnsiTheme="minorHAnsi"/>
          <w:sz w:val="24"/>
          <w:szCs w:val="24"/>
        </w:rPr>
        <w:t xml:space="preserve"> </w:t>
      </w:r>
      <w:r w:rsidR="002154E6" w:rsidRPr="00F85702">
        <w:rPr>
          <w:rFonts w:asciiTheme="minorHAnsi" w:hAnsiTheme="minorHAnsi" w:cs="Arial"/>
          <w:sz w:val="24"/>
          <w:szCs w:val="24"/>
          <w:lang w:val="en-US"/>
        </w:rPr>
        <w:t>The</w:t>
      </w:r>
      <w:r w:rsidR="00737D0D" w:rsidRPr="00F85702">
        <w:rPr>
          <w:rFonts w:asciiTheme="minorHAnsi" w:hAnsiTheme="minorHAnsi" w:cs="Arial"/>
          <w:sz w:val="24"/>
          <w:szCs w:val="24"/>
          <w:lang w:val="en-US"/>
        </w:rPr>
        <w:t xml:space="preserve"> OECD publishes data on the contribution of higher education to graduate agency.</w:t>
      </w:r>
      <w:r w:rsidR="00A40244" w:rsidRPr="00F85702">
        <w:rPr>
          <w:rStyle w:val="FootnoteReference"/>
          <w:rFonts w:asciiTheme="minorHAnsi" w:hAnsiTheme="minorHAnsi" w:cs="Arial"/>
          <w:sz w:val="24"/>
          <w:szCs w:val="24"/>
          <w:lang w:val="en-US"/>
        </w:rPr>
        <w:footnoteReference w:id="14"/>
      </w:r>
      <w:r w:rsidR="00737D0D" w:rsidRPr="00F85702">
        <w:rPr>
          <w:rFonts w:asciiTheme="minorHAnsi" w:hAnsiTheme="minorHAnsi" w:cs="Arial"/>
          <w:sz w:val="24"/>
          <w:szCs w:val="24"/>
          <w:lang w:val="en-US"/>
        </w:rPr>
        <w:t xml:space="preserve"> </w:t>
      </w:r>
      <w:r w:rsidR="00F5745E" w:rsidRPr="00F85702">
        <w:rPr>
          <w:rFonts w:asciiTheme="minorHAnsi" w:hAnsiTheme="minorHAnsi" w:cs="Arial"/>
          <w:sz w:val="24"/>
          <w:szCs w:val="24"/>
          <w:lang w:val="en-US"/>
        </w:rPr>
        <w:t>T</w:t>
      </w:r>
      <w:r w:rsidR="00737D0D" w:rsidRPr="00F85702">
        <w:rPr>
          <w:rFonts w:asciiTheme="minorHAnsi" w:hAnsiTheme="minorHAnsi" w:cs="Arial"/>
          <w:sz w:val="24"/>
          <w:szCs w:val="24"/>
          <w:lang w:val="en-US"/>
        </w:rPr>
        <w:t xml:space="preserve">here is a close association between </w:t>
      </w:r>
      <w:r w:rsidR="00F5745E" w:rsidRPr="00F85702">
        <w:rPr>
          <w:rFonts w:asciiTheme="minorHAnsi" w:hAnsiTheme="minorHAnsi" w:cs="Arial"/>
          <w:sz w:val="24"/>
          <w:szCs w:val="24"/>
          <w:lang w:val="en-US"/>
        </w:rPr>
        <w:t xml:space="preserve">degree holding </w:t>
      </w:r>
      <w:r w:rsidR="00737D0D" w:rsidRPr="00F85702">
        <w:rPr>
          <w:rFonts w:asciiTheme="minorHAnsi" w:hAnsiTheme="minorHAnsi" w:cs="Arial"/>
          <w:sz w:val="24"/>
          <w:szCs w:val="24"/>
          <w:lang w:val="en-US"/>
        </w:rPr>
        <w:t xml:space="preserve">and </w:t>
      </w:r>
      <w:r w:rsidR="00F5745E" w:rsidRPr="00F85702">
        <w:rPr>
          <w:rFonts w:asciiTheme="minorHAnsi" w:hAnsiTheme="minorHAnsi" w:cs="Arial"/>
          <w:sz w:val="24"/>
          <w:szCs w:val="24"/>
          <w:lang w:val="en-US"/>
        </w:rPr>
        <w:t xml:space="preserve">having </w:t>
      </w:r>
      <w:r w:rsidR="00737D0D" w:rsidRPr="00F85702">
        <w:rPr>
          <w:rFonts w:asciiTheme="minorHAnsi" w:hAnsiTheme="minorHAnsi" w:cs="Arial"/>
          <w:sz w:val="24"/>
          <w:szCs w:val="24"/>
          <w:lang w:val="en-US"/>
        </w:rPr>
        <w:t>skills in information and communications technology</w:t>
      </w:r>
      <w:r w:rsidR="00F5745E" w:rsidRPr="00F85702">
        <w:rPr>
          <w:rFonts w:asciiTheme="minorHAnsi" w:hAnsiTheme="minorHAnsi" w:cs="Arial"/>
          <w:sz w:val="24"/>
          <w:szCs w:val="24"/>
          <w:lang w:val="en-US"/>
        </w:rPr>
        <w:t>, connecting effectively to government, trusting people, managing money</w:t>
      </w:r>
      <w:r w:rsidR="002154E6" w:rsidRPr="00F85702">
        <w:rPr>
          <w:rFonts w:asciiTheme="minorHAnsi" w:hAnsiTheme="minorHAnsi" w:cs="Arial"/>
          <w:sz w:val="24"/>
          <w:szCs w:val="24"/>
          <w:lang w:val="en-US"/>
        </w:rPr>
        <w:t xml:space="preserve">, and so on. </w:t>
      </w:r>
    </w:p>
    <w:p w14:paraId="380ABEEE" w14:textId="307E9BBE" w:rsidR="00D42423" w:rsidRPr="00F85702" w:rsidRDefault="006E2095" w:rsidP="00F85702">
      <w:pPr>
        <w:pStyle w:val="p1"/>
        <w:spacing w:line="276" w:lineRule="auto"/>
        <w:rPr>
          <w:rFonts w:asciiTheme="minorHAnsi" w:hAnsiTheme="minorHAnsi"/>
          <w:sz w:val="24"/>
          <w:szCs w:val="24"/>
        </w:rPr>
      </w:pPr>
      <w:r w:rsidRPr="00F85702">
        <w:rPr>
          <w:rFonts w:asciiTheme="minorHAnsi" w:hAnsiTheme="minorHAnsi"/>
          <w:sz w:val="24"/>
          <w:szCs w:val="24"/>
        </w:rPr>
        <w:tab/>
        <w:t xml:space="preserve">Let’s turn from Sen to </w:t>
      </w:r>
      <w:r w:rsidR="00E95E4E" w:rsidRPr="00F85702">
        <w:rPr>
          <w:rFonts w:asciiTheme="minorHAnsi" w:hAnsiTheme="minorHAnsi"/>
          <w:sz w:val="24"/>
          <w:szCs w:val="24"/>
        </w:rPr>
        <w:t xml:space="preserve">another way into higher education, self-formation and freedom, </w:t>
      </w:r>
      <w:r w:rsidR="00814048" w:rsidRPr="00F85702">
        <w:rPr>
          <w:rFonts w:asciiTheme="minorHAnsi" w:hAnsiTheme="minorHAnsi"/>
          <w:sz w:val="24"/>
          <w:szCs w:val="24"/>
        </w:rPr>
        <w:t xml:space="preserve">the last three years </w:t>
      </w:r>
      <w:r w:rsidR="00E95E4E" w:rsidRPr="00F85702">
        <w:rPr>
          <w:rFonts w:asciiTheme="minorHAnsi" w:hAnsiTheme="minorHAnsi"/>
          <w:sz w:val="24"/>
          <w:szCs w:val="24"/>
        </w:rPr>
        <w:t>Foucault’s</w:t>
      </w:r>
      <w:r w:rsidR="00814048" w:rsidRPr="00F85702">
        <w:rPr>
          <w:rFonts w:asciiTheme="minorHAnsi" w:hAnsiTheme="minorHAnsi"/>
          <w:sz w:val="24"/>
          <w:szCs w:val="24"/>
        </w:rPr>
        <w:t xml:space="preserve"> lectures </w:t>
      </w:r>
      <w:r w:rsidR="00E95E4E" w:rsidRPr="00F85702">
        <w:rPr>
          <w:rFonts w:asciiTheme="minorHAnsi" w:hAnsiTheme="minorHAnsi"/>
          <w:sz w:val="24"/>
          <w:szCs w:val="24"/>
        </w:rPr>
        <w:t>to the College de France (1981 to 1984)</w:t>
      </w:r>
      <w:r w:rsidRPr="00F85702">
        <w:rPr>
          <w:rFonts w:asciiTheme="minorHAnsi" w:hAnsiTheme="minorHAnsi"/>
          <w:sz w:val="24"/>
          <w:szCs w:val="24"/>
        </w:rPr>
        <w:t xml:space="preserve">. </w:t>
      </w:r>
      <w:r w:rsidR="00814048" w:rsidRPr="00F85702">
        <w:rPr>
          <w:rFonts w:asciiTheme="minorHAnsi" w:hAnsiTheme="minorHAnsi"/>
          <w:sz w:val="24"/>
          <w:szCs w:val="24"/>
        </w:rPr>
        <w:t xml:space="preserve">For </w:t>
      </w:r>
      <w:r w:rsidR="00814048" w:rsidRPr="00F85702">
        <w:rPr>
          <w:rFonts w:asciiTheme="minorHAnsi" w:hAnsiTheme="minorHAnsi"/>
          <w:sz w:val="24"/>
          <w:szCs w:val="24"/>
        </w:rPr>
        <w:lastRenderedPageBreak/>
        <w:t xml:space="preserve">Foucault, as Stephen Ball puts it, </w:t>
      </w:r>
      <w:r w:rsidR="00E95E4E" w:rsidRPr="00F85702">
        <w:rPr>
          <w:rFonts w:asciiTheme="minorHAnsi" w:hAnsiTheme="minorHAnsi"/>
          <w:sz w:val="24"/>
          <w:szCs w:val="24"/>
        </w:rPr>
        <w:t>‘freedom is the capacity and opportunity to participate in one’s self-formation.’</w:t>
      </w:r>
      <w:r w:rsidR="00D42423" w:rsidRPr="00F85702">
        <w:rPr>
          <w:rStyle w:val="FootnoteReference"/>
          <w:rFonts w:asciiTheme="minorHAnsi" w:hAnsiTheme="minorHAnsi"/>
          <w:sz w:val="24"/>
          <w:szCs w:val="24"/>
        </w:rPr>
        <w:footnoteReference w:id="15"/>
      </w:r>
      <w:r w:rsidR="00E95E4E" w:rsidRPr="00F85702">
        <w:rPr>
          <w:rFonts w:asciiTheme="minorHAnsi" w:hAnsiTheme="minorHAnsi"/>
          <w:sz w:val="24"/>
          <w:szCs w:val="24"/>
        </w:rPr>
        <w:t xml:space="preserve"> Foucault </w:t>
      </w:r>
      <w:r w:rsidR="00F5745E" w:rsidRPr="00F85702">
        <w:rPr>
          <w:rFonts w:asciiTheme="minorHAnsi" w:hAnsiTheme="minorHAnsi"/>
          <w:sz w:val="24"/>
          <w:szCs w:val="24"/>
        </w:rPr>
        <w:t xml:space="preserve">knows </w:t>
      </w:r>
      <w:r w:rsidR="00BE2E0C" w:rsidRPr="00F85702">
        <w:rPr>
          <w:rFonts w:asciiTheme="minorHAnsi" w:hAnsiTheme="minorHAnsi"/>
          <w:sz w:val="24"/>
          <w:szCs w:val="24"/>
        </w:rPr>
        <w:t>about</w:t>
      </w:r>
      <w:r w:rsidR="00E95E4E" w:rsidRPr="00F85702">
        <w:rPr>
          <w:rFonts w:asciiTheme="minorHAnsi" w:hAnsiTheme="minorHAnsi"/>
          <w:sz w:val="24"/>
          <w:szCs w:val="24"/>
        </w:rPr>
        <w:t xml:space="preserve"> the openness of the present</w:t>
      </w:r>
      <w:r w:rsidR="00D42423" w:rsidRPr="00F85702">
        <w:rPr>
          <w:rFonts w:asciiTheme="minorHAnsi" w:hAnsiTheme="minorHAnsi"/>
          <w:sz w:val="24"/>
          <w:szCs w:val="24"/>
        </w:rPr>
        <w:t xml:space="preserve">, and </w:t>
      </w:r>
      <w:r w:rsidR="00F5745E" w:rsidRPr="00F85702">
        <w:rPr>
          <w:rFonts w:asciiTheme="minorHAnsi" w:hAnsiTheme="minorHAnsi"/>
          <w:sz w:val="24"/>
          <w:szCs w:val="24"/>
        </w:rPr>
        <w:t>tells</w:t>
      </w:r>
      <w:r w:rsidR="00E95E4E" w:rsidRPr="00F85702">
        <w:rPr>
          <w:rFonts w:asciiTheme="minorHAnsi" w:hAnsiTheme="minorHAnsi"/>
          <w:sz w:val="24"/>
          <w:szCs w:val="24"/>
        </w:rPr>
        <w:t xml:space="preserve"> </w:t>
      </w:r>
      <w:r w:rsidR="00D42423" w:rsidRPr="00F85702">
        <w:rPr>
          <w:rFonts w:asciiTheme="minorHAnsi" w:hAnsiTheme="minorHAnsi"/>
          <w:sz w:val="24"/>
          <w:szCs w:val="24"/>
        </w:rPr>
        <w:t xml:space="preserve">people </w:t>
      </w:r>
      <w:r w:rsidR="00BE2E0C" w:rsidRPr="00F85702">
        <w:rPr>
          <w:rFonts w:asciiTheme="minorHAnsi" w:hAnsiTheme="minorHAnsi"/>
          <w:sz w:val="24"/>
          <w:szCs w:val="24"/>
        </w:rPr>
        <w:t xml:space="preserve">they </w:t>
      </w:r>
      <w:r w:rsidR="00D42423" w:rsidRPr="00F85702">
        <w:rPr>
          <w:rFonts w:asciiTheme="minorHAnsi" w:hAnsiTheme="minorHAnsi"/>
          <w:sz w:val="24"/>
          <w:szCs w:val="24"/>
        </w:rPr>
        <w:t>are ‘</w:t>
      </w:r>
      <w:r w:rsidR="00D319A5" w:rsidRPr="00F85702">
        <w:rPr>
          <w:rFonts w:asciiTheme="minorHAnsi" w:hAnsiTheme="minorHAnsi"/>
          <w:sz w:val="24"/>
          <w:szCs w:val="24"/>
        </w:rPr>
        <w:t xml:space="preserve">much </w:t>
      </w:r>
      <w:r w:rsidR="00D42423" w:rsidRPr="00F85702">
        <w:rPr>
          <w:rFonts w:asciiTheme="minorHAnsi" w:hAnsiTheme="minorHAnsi"/>
          <w:sz w:val="24"/>
          <w:szCs w:val="24"/>
        </w:rPr>
        <w:t xml:space="preserve">freer than they </w:t>
      </w:r>
      <w:r w:rsidR="00D319A5" w:rsidRPr="00F85702">
        <w:rPr>
          <w:rFonts w:asciiTheme="minorHAnsi" w:hAnsiTheme="minorHAnsi"/>
          <w:sz w:val="24"/>
          <w:szCs w:val="24"/>
        </w:rPr>
        <w:t>feel</w:t>
      </w:r>
      <w:r w:rsidR="00D42423" w:rsidRPr="00F85702">
        <w:rPr>
          <w:rFonts w:asciiTheme="minorHAnsi" w:hAnsiTheme="minorHAnsi"/>
          <w:sz w:val="24"/>
          <w:szCs w:val="24"/>
        </w:rPr>
        <w:t>’</w:t>
      </w:r>
      <w:r w:rsidR="00342F61" w:rsidRPr="00F85702">
        <w:rPr>
          <w:rFonts w:asciiTheme="minorHAnsi" w:hAnsiTheme="minorHAnsi"/>
          <w:sz w:val="24"/>
          <w:szCs w:val="24"/>
        </w:rPr>
        <w:t>;</w:t>
      </w:r>
      <w:r w:rsidR="00D42423" w:rsidRPr="00F85702">
        <w:rPr>
          <w:rStyle w:val="FootnoteReference"/>
          <w:rFonts w:asciiTheme="minorHAnsi" w:hAnsiTheme="minorHAnsi"/>
          <w:sz w:val="24"/>
          <w:szCs w:val="24"/>
        </w:rPr>
        <w:footnoteReference w:id="16"/>
      </w:r>
      <w:r w:rsidR="00D42423" w:rsidRPr="00F85702">
        <w:rPr>
          <w:rFonts w:asciiTheme="minorHAnsi" w:hAnsiTheme="minorHAnsi"/>
          <w:sz w:val="24"/>
          <w:szCs w:val="24"/>
        </w:rPr>
        <w:t xml:space="preserve"> </w:t>
      </w:r>
      <w:r w:rsidR="00E95E4E" w:rsidRPr="00F85702">
        <w:rPr>
          <w:rFonts w:asciiTheme="minorHAnsi" w:hAnsiTheme="minorHAnsi"/>
          <w:sz w:val="24"/>
          <w:szCs w:val="24"/>
        </w:rPr>
        <w:t xml:space="preserve">but </w:t>
      </w:r>
      <w:r w:rsidR="00B26888" w:rsidRPr="00F85702">
        <w:rPr>
          <w:rFonts w:asciiTheme="minorHAnsi" w:hAnsiTheme="minorHAnsi"/>
          <w:sz w:val="24"/>
          <w:szCs w:val="24"/>
        </w:rPr>
        <w:t xml:space="preserve">he </w:t>
      </w:r>
      <w:r w:rsidR="00342F61" w:rsidRPr="00F85702">
        <w:rPr>
          <w:rFonts w:asciiTheme="minorHAnsi" w:hAnsiTheme="minorHAnsi"/>
          <w:sz w:val="24"/>
          <w:szCs w:val="24"/>
        </w:rPr>
        <w:t>is at pains to emphasise</w:t>
      </w:r>
      <w:r w:rsidR="00D42423" w:rsidRPr="00F85702">
        <w:rPr>
          <w:rFonts w:asciiTheme="minorHAnsi" w:hAnsiTheme="minorHAnsi"/>
          <w:sz w:val="24"/>
          <w:szCs w:val="24"/>
        </w:rPr>
        <w:t xml:space="preserve"> that </w:t>
      </w:r>
      <w:r w:rsidR="00E95E4E" w:rsidRPr="00F85702">
        <w:rPr>
          <w:rFonts w:asciiTheme="minorHAnsi" w:hAnsiTheme="minorHAnsi"/>
          <w:sz w:val="24"/>
          <w:szCs w:val="24"/>
        </w:rPr>
        <w:t xml:space="preserve">freedom </w:t>
      </w:r>
      <w:r w:rsidR="00D42423" w:rsidRPr="00F85702">
        <w:rPr>
          <w:rFonts w:asciiTheme="minorHAnsi" w:hAnsiTheme="minorHAnsi"/>
          <w:sz w:val="24"/>
          <w:szCs w:val="24"/>
        </w:rPr>
        <w:t>i</w:t>
      </w:r>
      <w:r w:rsidR="00E95E4E" w:rsidRPr="00F85702">
        <w:rPr>
          <w:rFonts w:asciiTheme="minorHAnsi" w:hAnsiTheme="minorHAnsi"/>
          <w:sz w:val="24"/>
          <w:szCs w:val="24"/>
        </w:rPr>
        <w:t>s a process of struggle</w:t>
      </w:r>
      <w:r w:rsidR="00A91A8A" w:rsidRPr="00F85702">
        <w:rPr>
          <w:rStyle w:val="FootnoteReference"/>
          <w:rFonts w:asciiTheme="minorHAnsi" w:hAnsiTheme="minorHAnsi"/>
          <w:sz w:val="24"/>
          <w:szCs w:val="24"/>
        </w:rPr>
        <w:footnoteReference w:id="17"/>
      </w:r>
      <w:r w:rsidR="00D42423" w:rsidRPr="00F85702">
        <w:rPr>
          <w:rFonts w:asciiTheme="minorHAnsi" w:hAnsiTheme="minorHAnsi"/>
          <w:sz w:val="24"/>
          <w:szCs w:val="24"/>
        </w:rPr>
        <w:t xml:space="preserve"> an often arduous </w:t>
      </w:r>
      <w:r w:rsidR="00A91A8A" w:rsidRPr="00F85702">
        <w:rPr>
          <w:rFonts w:asciiTheme="minorHAnsi" w:hAnsiTheme="minorHAnsi"/>
          <w:sz w:val="24"/>
          <w:szCs w:val="24"/>
        </w:rPr>
        <w:t>‘work of the self on the self, an elaboration of the self by the self, a progressive transformation of the self by the self</w:t>
      </w:r>
      <w:r w:rsidR="00E95E4E" w:rsidRPr="00F85702">
        <w:rPr>
          <w:rFonts w:asciiTheme="minorHAnsi" w:hAnsiTheme="minorHAnsi"/>
          <w:sz w:val="24"/>
          <w:szCs w:val="24"/>
        </w:rPr>
        <w:t>.</w:t>
      </w:r>
      <w:r w:rsidR="00A91A8A" w:rsidRPr="00F85702">
        <w:rPr>
          <w:rFonts w:asciiTheme="minorHAnsi" w:hAnsiTheme="minorHAnsi"/>
          <w:sz w:val="24"/>
          <w:szCs w:val="24"/>
        </w:rPr>
        <w:t>’</w:t>
      </w:r>
      <w:r w:rsidR="00A91A8A" w:rsidRPr="00F85702">
        <w:rPr>
          <w:rStyle w:val="FootnoteReference"/>
          <w:rFonts w:asciiTheme="minorHAnsi" w:hAnsiTheme="minorHAnsi"/>
          <w:sz w:val="24"/>
          <w:szCs w:val="24"/>
        </w:rPr>
        <w:footnoteReference w:id="18"/>
      </w:r>
      <w:r w:rsidR="00E95E4E" w:rsidRPr="00F85702">
        <w:rPr>
          <w:rFonts w:asciiTheme="minorHAnsi" w:hAnsiTheme="minorHAnsi"/>
          <w:sz w:val="24"/>
          <w:szCs w:val="24"/>
        </w:rPr>
        <w:t xml:space="preserve"> </w:t>
      </w:r>
    </w:p>
    <w:p w14:paraId="1632F6F0" w14:textId="7E047C06" w:rsidR="00610250" w:rsidRPr="00F85702" w:rsidRDefault="00F5745E" w:rsidP="00F85702">
      <w:pPr>
        <w:pStyle w:val="p1"/>
        <w:spacing w:line="276" w:lineRule="auto"/>
        <w:ind w:firstLine="454"/>
        <w:rPr>
          <w:rFonts w:asciiTheme="minorHAnsi" w:hAnsiTheme="minorHAnsi"/>
          <w:sz w:val="24"/>
          <w:szCs w:val="24"/>
        </w:rPr>
      </w:pPr>
      <w:r w:rsidRPr="00F85702">
        <w:rPr>
          <w:rFonts w:asciiTheme="minorHAnsi" w:hAnsiTheme="minorHAnsi"/>
          <w:sz w:val="24"/>
          <w:szCs w:val="24"/>
        </w:rPr>
        <w:t>In the last lectures</w:t>
      </w:r>
      <w:r w:rsidR="00E95E4E" w:rsidRPr="00F85702">
        <w:rPr>
          <w:rFonts w:asciiTheme="minorHAnsi" w:hAnsiTheme="minorHAnsi"/>
          <w:sz w:val="24"/>
          <w:szCs w:val="24"/>
        </w:rPr>
        <w:t xml:space="preserve"> </w:t>
      </w:r>
      <w:r w:rsidR="00BE2E0C" w:rsidRPr="00F85702">
        <w:rPr>
          <w:rFonts w:asciiTheme="minorHAnsi" w:hAnsiTheme="minorHAnsi"/>
          <w:sz w:val="24"/>
          <w:szCs w:val="24"/>
        </w:rPr>
        <w:t xml:space="preserve">Foucault shifts </w:t>
      </w:r>
      <w:r w:rsidR="006B3127" w:rsidRPr="00F85702">
        <w:rPr>
          <w:rFonts w:asciiTheme="minorHAnsi" w:hAnsiTheme="minorHAnsi"/>
          <w:sz w:val="24"/>
          <w:szCs w:val="24"/>
        </w:rPr>
        <w:t>his project</w:t>
      </w:r>
      <w:r w:rsidR="00BE2E0C" w:rsidRPr="00F85702">
        <w:rPr>
          <w:rFonts w:asciiTheme="minorHAnsi" w:hAnsiTheme="minorHAnsi"/>
          <w:sz w:val="24"/>
          <w:szCs w:val="24"/>
        </w:rPr>
        <w:t xml:space="preserve"> from the history of the docile subject of domination, whose individuality is regulated by the </w:t>
      </w:r>
      <w:r w:rsidR="00596C7B" w:rsidRPr="00F85702">
        <w:rPr>
          <w:rFonts w:asciiTheme="minorHAnsi" w:hAnsiTheme="minorHAnsi"/>
          <w:sz w:val="24"/>
          <w:szCs w:val="24"/>
        </w:rPr>
        <w:t xml:space="preserve">normalising practices of the </w:t>
      </w:r>
      <w:r w:rsidR="00BE2E0C" w:rsidRPr="00F85702">
        <w:rPr>
          <w:rFonts w:asciiTheme="minorHAnsi" w:hAnsiTheme="minorHAnsi"/>
          <w:sz w:val="24"/>
          <w:szCs w:val="24"/>
        </w:rPr>
        <w:t>state, to the history of the active subject</w:t>
      </w:r>
      <w:r w:rsidR="007A75AD" w:rsidRPr="00F85702">
        <w:rPr>
          <w:rFonts w:asciiTheme="minorHAnsi" w:hAnsiTheme="minorHAnsi"/>
          <w:sz w:val="24"/>
          <w:szCs w:val="24"/>
        </w:rPr>
        <w:t xml:space="preserve"> and the potential for freedom</w:t>
      </w:r>
      <w:r w:rsidR="00A15AFE" w:rsidRPr="00F85702">
        <w:rPr>
          <w:rFonts w:asciiTheme="minorHAnsi" w:hAnsiTheme="minorHAnsi"/>
          <w:sz w:val="24"/>
          <w:szCs w:val="24"/>
        </w:rPr>
        <w:t xml:space="preserve"> </w:t>
      </w:r>
      <w:r w:rsidR="007A75AD" w:rsidRPr="00F85702">
        <w:rPr>
          <w:rFonts w:asciiTheme="minorHAnsi" w:hAnsiTheme="minorHAnsi"/>
          <w:sz w:val="24"/>
          <w:szCs w:val="24"/>
        </w:rPr>
        <w:t xml:space="preserve">in which one </w:t>
      </w:r>
      <w:r w:rsidR="00596C7B" w:rsidRPr="00F85702">
        <w:rPr>
          <w:rFonts w:asciiTheme="minorHAnsi" w:hAnsiTheme="minorHAnsi"/>
          <w:sz w:val="24"/>
          <w:szCs w:val="24"/>
        </w:rPr>
        <w:t>can</w:t>
      </w:r>
      <w:r w:rsidR="007A75AD" w:rsidRPr="00F85702">
        <w:rPr>
          <w:rFonts w:asciiTheme="minorHAnsi" w:hAnsiTheme="minorHAnsi"/>
          <w:sz w:val="24"/>
          <w:szCs w:val="24"/>
        </w:rPr>
        <w:t xml:space="preserve"> become something one was not</w:t>
      </w:r>
      <w:r w:rsidR="00BE2E0C" w:rsidRPr="00F85702">
        <w:rPr>
          <w:rFonts w:asciiTheme="minorHAnsi" w:hAnsiTheme="minorHAnsi"/>
          <w:sz w:val="24"/>
          <w:szCs w:val="24"/>
        </w:rPr>
        <w:t>.</w:t>
      </w:r>
      <w:r w:rsidR="007A75AD" w:rsidRPr="00F85702">
        <w:rPr>
          <w:rStyle w:val="FootnoteReference"/>
          <w:rFonts w:asciiTheme="minorHAnsi" w:hAnsiTheme="minorHAnsi"/>
          <w:sz w:val="24"/>
          <w:szCs w:val="24"/>
        </w:rPr>
        <w:footnoteReference w:id="19"/>
      </w:r>
      <w:r w:rsidR="00BE2E0C" w:rsidRPr="00F85702">
        <w:rPr>
          <w:rFonts w:asciiTheme="minorHAnsi" w:hAnsiTheme="minorHAnsi"/>
          <w:sz w:val="24"/>
          <w:szCs w:val="24"/>
        </w:rPr>
        <w:t xml:space="preserve"> </w:t>
      </w:r>
      <w:r w:rsidR="00B26888" w:rsidRPr="00F85702">
        <w:rPr>
          <w:rFonts w:asciiTheme="minorHAnsi" w:hAnsiTheme="minorHAnsi"/>
          <w:sz w:val="24"/>
          <w:szCs w:val="24"/>
        </w:rPr>
        <w:t>Foucault</w:t>
      </w:r>
      <w:r w:rsidR="00596C7B" w:rsidRPr="00F85702">
        <w:rPr>
          <w:rFonts w:asciiTheme="minorHAnsi" w:hAnsiTheme="minorHAnsi"/>
          <w:sz w:val="24"/>
          <w:szCs w:val="24"/>
        </w:rPr>
        <w:t xml:space="preserve"> is </w:t>
      </w:r>
      <w:r w:rsidRPr="00F85702">
        <w:rPr>
          <w:rFonts w:asciiTheme="minorHAnsi" w:hAnsiTheme="minorHAnsi"/>
          <w:sz w:val="24"/>
          <w:szCs w:val="24"/>
        </w:rPr>
        <w:t xml:space="preserve">most </w:t>
      </w:r>
      <w:r w:rsidR="00596C7B" w:rsidRPr="00F85702">
        <w:rPr>
          <w:rFonts w:asciiTheme="minorHAnsi" w:hAnsiTheme="minorHAnsi"/>
          <w:sz w:val="24"/>
          <w:szCs w:val="24"/>
        </w:rPr>
        <w:t xml:space="preserve">concerned with control freedom in Sen’s sense, freedom from </w:t>
      </w:r>
      <w:r w:rsidR="00B26888" w:rsidRPr="00F85702">
        <w:rPr>
          <w:rFonts w:asciiTheme="minorHAnsi" w:hAnsiTheme="minorHAnsi"/>
          <w:sz w:val="24"/>
          <w:szCs w:val="24"/>
        </w:rPr>
        <w:t>determination</w:t>
      </w:r>
      <w:r w:rsidR="00596C7B" w:rsidRPr="00F85702">
        <w:rPr>
          <w:rFonts w:asciiTheme="minorHAnsi" w:hAnsiTheme="minorHAnsi"/>
          <w:sz w:val="24"/>
          <w:szCs w:val="24"/>
        </w:rPr>
        <w:t xml:space="preserve"> by the state. </w:t>
      </w:r>
      <w:r w:rsidRPr="00F85702">
        <w:rPr>
          <w:rFonts w:asciiTheme="minorHAnsi" w:hAnsiTheme="minorHAnsi"/>
          <w:sz w:val="24"/>
          <w:szCs w:val="24"/>
        </w:rPr>
        <w:t>Here</w:t>
      </w:r>
      <w:r w:rsidR="00596C7B" w:rsidRPr="00F85702">
        <w:rPr>
          <w:rFonts w:asciiTheme="minorHAnsi" w:hAnsiTheme="minorHAnsi"/>
          <w:sz w:val="24"/>
          <w:szCs w:val="24"/>
        </w:rPr>
        <w:t xml:space="preserve"> an ‘ethic of the self’ is ‘indispensable’, </w:t>
      </w:r>
      <w:r w:rsidR="00B26888" w:rsidRPr="00F85702">
        <w:rPr>
          <w:rFonts w:asciiTheme="minorHAnsi" w:hAnsiTheme="minorHAnsi"/>
          <w:sz w:val="24"/>
          <w:szCs w:val="24"/>
        </w:rPr>
        <w:t>he states</w:t>
      </w:r>
      <w:r w:rsidR="005A7411" w:rsidRPr="00F85702">
        <w:rPr>
          <w:rFonts w:asciiTheme="minorHAnsi" w:hAnsiTheme="minorHAnsi"/>
          <w:sz w:val="24"/>
          <w:szCs w:val="24"/>
        </w:rPr>
        <w:t>. ‘T</w:t>
      </w:r>
      <w:r w:rsidR="00596C7B" w:rsidRPr="00F85702">
        <w:rPr>
          <w:rFonts w:asciiTheme="minorHAnsi" w:hAnsiTheme="minorHAnsi"/>
          <w:sz w:val="24"/>
          <w:szCs w:val="24"/>
        </w:rPr>
        <w:t>here is no first or final point of resistance to political power other than in the relationship one has to oneself’.</w:t>
      </w:r>
      <w:r w:rsidR="00596C7B" w:rsidRPr="00F85702">
        <w:rPr>
          <w:rStyle w:val="FootnoteReference"/>
          <w:rFonts w:asciiTheme="minorHAnsi" w:hAnsiTheme="minorHAnsi"/>
          <w:sz w:val="24"/>
          <w:szCs w:val="24"/>
        </w:rPr>
        <w:footnoteReference w:id="20"/>
      </w:r>
      <w:r w:rsidR="00B26888" w:rsidRPr="00F85702">
        <w:rPr>
          <w:rFonts w:asciiTheme="minorHAnsi" w:hAnsiTheme="minorHAnsi"/>
          <w:sz w:val="24"/>
          <w:szCs w:val="24"/>
        </w:rPr>
        <w:t xml:space="preserve"> </w:t>
      </w:r>
      <w:r w:rsidR="00EB6F27" w:rsidRPr="00F85702">
        <w:rPr>
          <w:rFonts w:asciiTheme="minorHAnsi" w:hAnsiTheme="minorHAnsi"/>
          <w:sz w:val="24"/>
          <w:szCs w:val="24"/>
        </w:rPr>
        <w:t xml:space="preserve">Foucault </w:t>
      </w:r>
      <w:r w:rsidR="00570624" w:rsidRPr="00F85702">
        <w:rPr>
          <w:rFonts w:asciiTheme="minorHAnsi" w:hAnsiTheme="minorHAnsi"/>
          <w:sz w:val="24"/>
          <w:szCs w:val="24"/>
        </w:rPr>
        <w:t xml:space="preserve">reviews the ‘great culture of self’ </w:t>
      </w:r>
      <w:r w:rsidR="005A7411" w:rsidRPr="00F85702">
        <w:rPr>
          <w:rFonts w:asciiTheme="minorHAnsi" w:hAnsiTheme="minorHAnsi"/>
          <w:sz w:val="24"/>
          <w:szCs w:val="24"/>
        </w:rPr>
        <w:t xml:space="preserve">that evolved </w:t>
      </w:r>
      <w:r w:rsidR="00570624" w:rsidRPr="00F85702">
        <w:rPr>
          <w:rFonts w:asciiTheme="minorHAnsi" w:hAnsiTheme="minorHAnsi"/>
          <w:sz w:val="24"/>
          <w:szCs w:val="24"/>
        </w:rPr>
        <w:t>in the Hellenistic and Roman worlds between Plato</w:t>
      </w:r>
      <w:r w:rsidR="005A7411" w:rsidRPr="00F85702">
        <w:rPr>
          <w:rFonts w:asciiTheme="minorHAnsi" w:hAnsiTheme="minorHAnsi"/>
          <w:sz w:val="24"/>
          <w:szCs w:val="24"/>
        </w:rPr>
        <w:t>’s fourth century BCE in Athens</w:t>
      </w:r>
      <w:r w:rsidR="00570624" w:rsidRPr="00F85702">
        <w:rPr>
          <w:rFonts w:asciiTheme="minorHAnsi" w:hAnsiTheme="minorHAnsi"/>
          <w:sz w:val="24"/>
          <w:szCs w:val="24"/>
        </w:rPr>
        <w:t xml:space="preserve"> and fourth century CE</w:t>
      </w:r>
      <w:r w:rsidR="005A7411" w:rsidRPr="00F85702">
        <w:rPr>
          <w:rFonts w:asciiTheme="minorHAnsi" w:hAnsiTheme="minorHAnsi"/>
          <w:sz w:val="24"/>
          <w:szCs w:val="24"/>
        </w:rPr>
        <w:t xml:space="preserve"> Rome.</w:t>
      </w:r>
      <w:r w:rsidR="00570624" w:rsidRPr="00F85702">
        <w:rPr>
          <w:rStyle w:val="FootnoteReference"/>
          <w:rFonts w:asciiTheme="minorHAnsi" w:hAnsiTheme="minorHAnsi"/>
          <w:sz w:val="24"/>
          <w:szCs w:val="24"/>
        </w:rPr>
        <w:footnoteReference w:id="21"/>
      </w:r>
      <w:r w:rsidR="00570624" w:rsidRPr="00F85702">
        <w:rPr>
          <w:rFonts w:asciiTheme="minorHAnsi" w:hAnsiTheme="minorHAnsi"/>
          <w:sz w:val="24"/>
          <w:szCs w:val="24"/>
        </w:rPr>
        <w:t xml:space="preserve"> </w:t>
      </w:r>
      <w:r w:rsidRPr="00F85702">
        <w:rPr>
          <w:rFonts w:asciiTheme="minorHAnsi" w:hAnsiTheme="minorHAnsi"/>
          <w:sz w:val="24"/>
          <w:szCs w:val="24"/>
        </w:rPr>
        <w:t xml:space="preserve">The </w:t>
      </w:r>
      <w:r w:rsidR="005A7411" w:rsidRPr="00F85702">
        <w:rPr>
          <w:rFonts w:asciiTheme="minorHAnsi" w:hAnsiTheme="minorHAnsi"/>
          <w:sz w:val="24"/>
          <w:szCs w:val="24"/>
        </w:rPr>
        <w:t xml:space="preserve">autonomous self became seen as </w:t>
      </w:r>
      <w:r w:rsidRPr="00F85702">
        <w:rPr>
          <w:rFonts w:asciiTheme="minorHAnsi" w:hAnsiTheme="minorHAnsi"/>
          <w:sz w:val="24"/>
          <w:szCs w:val="24"/>
        </w:rPr>
        <w:t>its own end</w:t>
      </w:r>
      <w:r w:rsidR="00B26888" w:rsidRPr="00F85702">
        <w:rPr>
          <w:rFonts w:asciiTheme="minorHAnsi" w:hAnsiTheme="minorHAnsi"/>
          <w:sz w:val="24"/>
          <w:szCs w:val="24"/>
        </w:rPr>
        <w:t>,</w:t>
      </w:r>
      <w:r w:rsidR="0088371E" w:rsidRPr="00F85702">
        <w:rPr>
          <w:rFonts w:asciiTheme="minorHAnsi" w:hAnsiTheme="minorHAnsi"/>
          <w:sz w:val="24"/>
          <w:szCs w:val="24"/>
        </w:rPr>
        <w:t xml:space="preserve"> without </w:t>
      </w:r>
      <w:r w:rsidR="005A7411" w:rsidRPr="00F85702">
        <w:rPr>
          <w:rFonts w:asciiTheme="minorHAnsi" w:hAnsiTheme="minorHAnsi"/>
          <w:sz w:val="24"/>
          <w:szCs w:val="24"/>
        </w:rPr>
        <w:t xml:space="preserve">the constraints of </w:t>
      </w:r>
      <w:r w:rsidR="0088371E" w:rsidRPr="00F85702">
        <w:rPr>
          <w:rFonts w:asciiTheme="minorHAnsi" w:hAnsiTheme="minorHAnsi"/>
          <w:sz w:val="24"/>
          <w:szCs w:val="24"/>
        </w:rPr>
        <w:t>mediati</w:t>
      </w:r>
      <w:r w:rsidR="005A7411" w:rsidRPr="00F85702">
        <w:rPr>
          <w:rFonts w:asciiTheme="minorHAnsi" w:hAnsiTheme="minorHAnsi"/>
          <w:sz w:val="24"/>
          <w:szCs w:val="24"/>
        </w:rPr>
        <w:t>ng institution</w:t>
      </w:r>
      <w:r w:rsidRPr="00F85702">
        <w:rPr>
          <w:rFonts w:asciiTheme="minorHAnsi" w:hAnsiTheme="minorHAnsi"/>
          <w:sz w:val="24"/>
          <w:szCs w:val="24"/>
        </w:rPr>
        <w:t>s</w:t>
      </w:r>
      <w:r w:rsidR="009F3785" w:rsidRPr="00F85702">
        <w:rPr>
          <w:rFonts w:asciiTheme="minorHAnsi" w:hAnsiTheme="minorHAnsi"/>
          <w:sz w:val="24"/>
          <w:szCs w:val="24"/>
        </w:rPr>
        <w:t xml:space="preserve"> or objective</w:t>
      </w:r>
      <w:r w:rsidR="00570624" w:rsidRPr="00F85702">
        <w:rPr>
          <w:rFonts w:asciiTheme="minorHAnsi" w:hAnsiTheme="minorHAnsi"/>
          <w:sz w:val="24"/>
          <w:szCs w:val="24"/>
        </w:rPr>
        <w:t>.</w:t>
      </w:r>
      <w:r w:rsidR="00570624" w:rsidRPr="00F85702">
        <w:rPr>
          <w:rStyle w:val="FootnoteReference"/>
          <w:rFonts w:asciiTheme="minorHAnsi" w:hAnsiTheme="minorHAnsi"/>
          <w:sz w:val="24"/>
          <w:szCs w:val="24"/>
        </w:rPr>
        <w:footnoteReference w:id="22"/>
      </w:r>
      <w:r w:rsidR="00016933" w:rsidRPr="00F85702">
        <w:rPr>
          <w:rFonts w:asciiTheme="minorHAnsi" w:hAnsiTheme="minorHAnsi"/>
          <w:sz w:val="24"/>
          <w:szCs w:val="24"/>
        </w:rPr>
        <w:t xml:space="preserve"> </w:t>
      </w:r>
      <w:r w:rsidRPr="00F85702">
        <w:rPr>
          <w:rFonts w:asciiTheme="minorHAnsi" w:hAnsiTheme="minorHAnsi"/>
          <w:sz w:val="24"/>
          <w:szCs w:val="24"/>
        </w:rPr>
        <w:t>This</w:t>
      </w:r>
      <w:r w:rsidR="003E3C04" w:rsidRPr="00F85702">
        <w:rPr>
          <w:rFonts w:asciiTheme="minorHAnsi" w:hAnsiTheme="minorHAnsi"/>
          <w:sz w:val="24"/>
          <w:szCs w:val="24"/>
        </w:rPr>
        <w:t xml:space="preserve"> </w:t>
      </w:r>
      <w:r w:rsidR="00A15AFE" w:rsidRPr="00F85702">
        <w:rPr>
          <w:rFonts w:asciiTheme="minorHAnsi" w:hAnsiTheme="minorHAnsi"/>
          <w:sz w:val="24"/>
          <w:szCs w:val="24"/>
        </w:rPr>
        <w:t>contrast</w:t>
      </w:r>
      <w:r w:rsidRPr="00F85702">
        <w:rPr>
          <w:rFonts w:asciiTheme="minorHAnsi" w:hAnsiTheme="minorHAnsi"/>
          <w:sz w:val="24"/>
          <w:szCs w:val="24"/>
        </w:rPr>
        <w:t>ed</w:t>
      </w:r>
      <w:r w:rsidR="00A15AFE" w:rsidRPr="00F85702">
        <w:rPr>
          <w:rFonts w:asciiTheme="minorHAnsi" w:hAnsiTheme="minorHAnsi"/>
          <w:sz w:val="24"/>
          <w:szCs w:val="24"/>
        </w:rPr>
        <w:t xml:space="preserve"> </w:t>
      </w:r>
      <w:r w:rsidR="002F4F26" w:rsidRPr="00F85702">
        <w:rPr>
          <w:rFonts w:asciiTheme="minorHAnsi" w:hAnsiTheme="minorHAnsi"/>
          <w:sz w:val="24"/>
          <w:szCs w:val="24"/>
        </w:rPr>
        <w:t>with</w:t>
      </w:r>
      <w:r w:rsidR="00A15AFE" w:rsidRPr="00F85702">
        <w:rPr>
          <w:rFonts w:asciiTheme="minorHAnsi" w:hAnsiTheme="minorHAnsi"/>
          <w:sz w:val="24"/>
          <w:szCs w:val="24"/>
        </w:rPr>
        <w:t xml:space="preserve"> the Christian period that followed, </w:t>
      </w:r>
      <w:r w:rsidRPr="00F85702">
        <w:rPr>
          <w:rFonts w:asciiTheme="minorHAnsi" w:hAnsiTheme="minorHAnsi"/>
          <w:sz w:val="24"/>
          <w:szCs w:val="24"/>
        </w:rPr>
        <w:t xml:space="preserve">with its theme of </w:t>
      </w:r>
      <w:r w:rsidR="003E3C04" w:rsidRPr="00F85702">
        <w:rPr>
          <w:rFonts w:asciiTheme="minorHAnsi" w:hAnsiTheme="minorHAnsi"/>
          <w:sz w:val="24"/>
          <w:szCs w:val="24"/>
        </w:rPr>
        <w:t>the renunciation of the self</w:t>
      </w:r>
      <w:r w:rsidRPr="00F85702">
        <w:rPr>
          <w:rFonts w:asciiTheme="minorHAnsi" w:hAnsiTheme="minorHAnsi"/>
          <w:sz w:val="24"/>
          <w:szCs w:val="24"/>
        </w:rPr>
        <w:t>. Individuals</w:t>
      </w:r>
      <w:r w:rsidR="003E3C04" w:rsidRPr="00F85702">
        <w:rPr>
          <w:rFonts w:asciiTheme="minorHAnsi" w:hAnsiTheme="minorHAnsi"/>
          <w:sz w:val="24"/>
          <w:szCs w:val="24"/>
        </w:rPr>
        <w:t xml:space="preserve"> </w:t>
      </w:r>
      <w:r w:rsidR="009F3785" w:rsidRPr="00F85702">
        <w:rPr>
          <w:rFonts w:asciiTheme="minorHAnsi" w:hAnsiTheme="minorHAnsi"/>
          <w:sz w:val="24"/>
          <w:szCs w:val="24"/>
        </w:rPr>
        <w:t>had to</w:t>
      </w:r>
      <w:r w:rsidR="003E3C04" w:rsidRPr="00F85702">
        <w:rPr>
          <w:rFonts w:asciiTheme="minorHAnsi" w:hAnsiTheme="minorHAnsi"/>
          <w:sz w:val="24"/>
          <w:szCs w:val="24"/>
        </w:rPr>
        <w:t xml:space="preserve"> </w:t>
      </w:r>
      <w:r w:rsidR="00B26888" w:rsidRPr="00F85702">
        <w:rPr>
          <w:rFonts w:asciiTheme="minorHAnsi" w:hAnsiTheme="minorHAnsi"/>
          <w:sz w:val="24"/>
          <w:szCs w:val="24"/>
        </w:rPr>
        <w:t>s</w:t>
      </w:r>
      <w:r w:rsidR="00A15AFE" w:rsidRPr="00F85702">
        <w:rPr>
          <w:rFonts w:asciiTheme="minorHAnsi" w:hAnsiTheme="minorHAnsi"/>
          <w:sz w:val="24"/>
          <w:szCs w:val="24"/>
        </w:rPr>
        <w:t>ubordinate themselves to God</w:t>
      </w:r>
      <w:r w:rsidR="003B7B25" w:rsidRPr="00F85702">
        <w:rPr>
          <w:rFonts w:asciiTheme="minorHAnsi" w:hAnsiTheme="minorHAnsi"/>
          <w:sz w:val="24"/>
          <w:szCs w:val="24"/>
        </w:rPr>
        <w:t xml:space="preserve"> and his ministers</w:t>
      </w:r>
      <w:r w:rsidR="00A15AFE" w:rsidRPr="00F85702">
        <w:rPr>
          <w:rFonts w:asciiTheme="minorHAnsi" w:hAnsiTheme="minorHAnsi"/>
          <w:sz w:val="24"/>
          <w:szCs w:val="24"/>
        </w:rPr>
        <w:t xml:space="preserve"> to know </w:t>
      </w:r>
      <w:r w:rsidR="003E3C04" w:rsidRPr="00F85702">
        <w:rPr>
          <w:rFonts w:asciiTheme="minorHAnsi" w:hAnsiTheme="minorHAnsi"/>
          <w:sz w:val="24"/>
          <w:szCs w:val="24"/>
        </w:rPr>
        <w:t xml:space="preserve">and </w:t>
      </w:r>
      <w:r w:rsidR="009F3785" w:rsidRPr="00F85702">
        <w:rPr>
          <w:rFonts w:asciiTheme="minorHAnsi" w:hAnsiTheme="minorHAnsi"/>
          <w:sz w:val="24"/>
          <w:szCs w:val="24"/>
        </w:rPr>
        <w:t xml:space="preserve">to </w:t>
      </w:r>
      <w:r w:rsidR="003E3C04" w:rsidRPr="00F85702">
        <w:rPr>
          <w:rFonts w:asciiTheme="minorHAnsi" w:hAnsiTheme="minorHAnsi"/>
          <w:sz w:val="24"/>
          <w:szCs w:val="24"/>
        </w:rPr>
        <w:t xml:space="preserve">care for </w:t>
      </w:r>
      <w:r w:rsidR="00A15AFE" w:rsidRPr="00F85702">
        <w:rPr>
          <w:rFonts w:asciiTheme="minorHAnsi" w:hAnsiTheme="minorHAnsi"/>
          <w:sz w:val="24"/>
          <w:szCs w:val="24"/>
        </w:rPr>
        <w:t>themselves.</w:t>
      </w:r>
      <w:r w:rsidR="00A15AFE" w:rsidRPr="00F85702">
        <w:rPr>
          <w:rStyle w:val="FootnoteReference"/>
          <w:rFonts w:asciiTheme="minorHAnsi" w:hAnsiTheme="minorHAnsi"/>
          <w:sz w:val="24"/>
          <w:szCs w:val="24"/>
        </w:rPr>
        <w:footnoteReference w:id="23"/>
      </w:r>
      <w:r w:rsidR="00A15AFE" w:rsidRPr="00F85702">
        <w:rPr>
          <w:rFonts w:asciiTheme="minorHAnsi" w:hAnsiTheme="minorHAnsi"/>
          <w:sz w:val="24"/>
          <w:szCs w:val="24"/>
        </w:rPr>
        <w:t xml:space="preserve"> </w:t>
      </w:r>
      <w:r w:rsidRPr="00F85702">
        <w:rPr>
          <w:rFonts w:asciiTheme="minorHAnsi" w:hAnsiTheme="minorHAnsi"/>
          <w:sz w:val="24"/>
          <w:szCs w:val="24"/>
        </w:rPr>
        <w:t xml:space="preserve">They were less free. </w:t>
      </w:r>
      <w:r w:rsidR="00CD2518" w:rsidRPr="00F85702">
        <w:rPr>
          <w:rFonts w:asciiTheme="minorHAnsi" w:hAnsiTheme="minorHAnsi"/>
          <w:sz w:val="24"/>
          <w:szCs w:val="24"/>
        </w:rPr>
        <w:t>However, Hellenic/</w:t>
      </w:r>
      <w:r w:rsidR="003E3C04" w:rsidRPr="00F85702">
        <w:rPr>
          <w:rFonts w:asciiTheme="minorHAnsi" w:hAnsiTheme="minorHAnsi"/>
          <w:sz w:val="24"/>
          <w:szCs w:val="24"/>
        </w:rPr>
        <w:t xml:space="preserve">Roman autonomy was achieved only by hard work of the self on the self. </w:t>
      </w:r>
      <w:r w:rsidR="00C06E85" w:rsidRPr="00F85702">
        <w:rPr>
          <w:rFonts w:asciiTheme="minorHAnsi" w:hAnsiTheme="minorHAnsi"/>
          <w:sz w:val="24"/>
          <w:szCs w:val="24"/>
        </w:rPr>
        <w:t xml:space="preserve">Foucault </w:t>
      </w:r>
      <w:r w:rsidR="00342F61" w:rsidRPr="00F85702">
        <w:rPr>
          <w:rFonts w:asciiTheme="minorHAnsi" w:hAnsiTheme="minorHAnsi"/>
          <w:sz w:val="24"/>
          <w:szCs w:val="24"/>
        </w:rPr>
        <w:t>discusses</w:t>
      </w:r>
      <w:r w:rsidR="00C06E85" w:rsidRPr="00F85702">
        <w:rPr>
          <w:rFonts w:asciiTheme="minorHAnsi" w:hAnsiTheme="minorHAnsi"/>
          <w:sz w:val="24"/>
          <w:szCs w:val="24"/>
        </w:rPr>
        <w:t xml:space="preserve"> practices of </w:t>
      </w:r>
      <w:r w:rsidR="00596C7B" w:rsidRPr="00F85702">
        <w:rPr>
          <w:rFonts w:asciiTheme="minorHAnsi" w:hAnsiTheme="minorHAnsi"/>
          <w:sz w:val="24"/>
          <w:szCs w:val="24"/>
        </w:rPr>
        <w:t>the autonomous self</w:t>
      </w:r>
      <w:r w:rsidR="00C06E85" w:rsidRPr="00F85702">
        <w:rPr>
          <w:rFonts w:asciiTheme="minorHAnsi" w:hAnsiTheme="minorHAnsi"/>
          <w:sz w:val="24"/>
          <w:szCs w:val="24"/>
        </w:rPr>
        <w:t>, including meditation, self-examination</w:t>
      </w:r>
      <w:r w:rsidR="00596C7B" w:rsidRPr="00F85702">
        <w:rPr>
          <w:rFonts w:asciiTheme="minorHAnsi" w:hAnsiTheme="minorHAnsi"/>
          <w:sz w:val="24"/>
          <w:szCs w:val="24"/>
        </w:rPr>
        <w:t>,</w:t>
      </w:r>
      <w:r w:rsidR="00C06E85" w:rsidRPr="00F85702">
        <w:rPr>
          <w:rFonts w:asciiTheme="minorHAnsi" w:hAnsiTheme="minorHAnsi"/>
          <w:sz w:val="24"/>
          <w:szCs w:val="24"/>
        </w:rPr>
        <w:t xml:space="preserve"> </w:t>
      </w:r>
      <w:r w:rsidR="002F4F26" w:rsidRPr="00F85702">
        <w:rPr>
          <w:rFonts w:asciiTheme="minorHAnsi" w:hAnsiTheme="minorHAnsi"/>
          <w:sz w:val="24"/>
          <w:szCs w:val="24"/>
        </w:rPr>
        <w:t xml:space="preserve">rules of </w:t>
      </w:r>
      <w:r w:rsidR="00C06E85" w:rsidRPr="00F85702">
        <w:rPr>
          <w:rFonts w:asciiTheme="minorHAnsi" w:hAnsiTheme="minorHAnsi"/>
          <w:sz w:val="24"/>
          <w:szCs w:val="24"/>
        </w:rPr>
        <w:t>ethical conduct</w:t>
      </w:r>
      <w:r w:rsidR="00BD7FD9" w:rsidRPr="00F85702">
        <w:rPr>
          <w:rFonts w:asciiTheme="minorHAnsi" w:hAnsiTheme="minorHAnsi"/>
          <w:sz w:val="24"/>
          <w:szCs w:val="24"/>
        </w:rPr>
        <w:t xml:space="preserve">, </w:t>
      </w:r>
      <w:r w:rsidR="00596C7B" w:rsidRPr="00F85702">
        <w:rPr>
          <w:rFonts w:asciiTheme="minorHAnsi" w:hAnsiTheme="minorHAnsi"/>
          <w:sz w:val="24"/>
          <w:szCs w:val="24"/>
        </w:rPr>
        <w:t>truth telling (parrhesia)</w:t>
      </w:r>
      <w:r w:rsidR="00B26888" w:rsidRPr="00F85702">
        <w:rPr>
          <w:rFonts w:asciiTheme="minorHAnsi" w:hAnsiTheme="minorHAnsi"/>
          <w:sz w:val="24"/>
          <w:szCs w:val="24"/>
        </w:rPr>
        <w:t>,</w:t>
      </w:r>
      <w:r w:rsidR="00596C7B" w:rsidRPr="00F85702">
        <w:rPr>
          <w:rFonts w:asciiTheme="minorHAnsi" w:hAnsiTheme="minorHAnsi"/>
          <w:sz w:val="24"/>
          <w:szCs w:val="24"/>
        </w:rPr>
        <w:t xml:space="preserve"> and</w:t>
      </w:r>
      <w:r w:rsidR="00BD7FD9" w:rsidRPr="00F85702">
        <w:rPr>
          <w:rFonts w:asciiTheme="minorHAnsi" w:hAnsiTheme="minorHAnsi"/>
          <w:sz w:val="24"/>
          <w:szCs w:val="24"/>
        </w:rPr>
        <w:t xml:space="preserve"> </w:t>
      </w:r>
      <w:r w:rsidR="002F4F26" w:rsidRPr="00F85702">
        <w:rPr>
          <w:rFonts w:asciiTheme="minorHAnsi" w:hAnsiTheme="minorHAnsi"/>
          <w:sz w:val="24"/>
          <w:szCs w:val="24"/>
        </w:rPr>
        <w:t xml:space="preserve">the ‘other life’ practised by the Stoics and Cynics. </w:t>
      </w:r>
      <w:r w:rsidR="003E3C04" w:rsidRPr="00F85702">
        <w:rPr>
          <w:rFonts w:asciiTheme="minorHAnsi" w:hAnsiTheme="minorHAnsi"/>
          <w:sz w:val="24"/>
          <w:szCs w:val="24"/>
        </w:rPr>
        <w:t xml:space="preserve">He notes that </w:t>
      </w:r>
      <w:r w:rsidR="00596C7B" w:rsidRPr="00F85702">
        <w:rPr>
          <w:rFonts w:asciiTheme="minorHAnsi" w:hAnsiTheme="minorHAnsi"/>
          <w:sz w:val="24"/>
          <w:szCs w:val="24"/>
        </w:rPr>
        <w:t xml:space="preserve">while ‘the theme of return to the self’ </w:t>
      </w:r>
      <w:r w:rsidR="00C644C6" w:rsidRPr="00F85702">
        <w:rPr>
          <w:rFonts w:asciiTheme="minorHAnsi" w:hAnsiTheme="minorHAnsi"/>
          <w:sz w:val="24"/>
          <w:szCs w:val="24"/>
        </w:rPr>
        <w:t>recurs</w:t>
      </w:r>
      <w:r w:rsidR="00596C7B" w:rsidRPr="00F85702">
        <w:rPr>
          <w:rFonts w:asciiTheme="minorHAnsi" w:hAnsiTheme="minorHAnsi"/>
          <w:sz w:val="24"/>
          <w:szCs w:val="24"/>
        </w:rPr>
        <w:t xml:space="preserve"> in modern culture, as yet we have ‘nothing to be proud of in our current efforts to reconstitute an ethic of the self’. </w:t>
      </w:r>
    </w:p>
    <w:p w14:paraId="0F38B39E" w14:textId="61CB8361" w:rsidR="00342F61" w:rsidRPr="00F85702" w:rsidRDefault="00CD2518" w:rsidP="00F85702">
      <w:pPr>
        <w:pStyle w:val="p1"/>
        <w:spacing w:line="276" w:lineRule="auto"/>
        <w:ind w:firstLine="454"/>
        <w:rPr>
          <w:rFonts w:asciiTheme="minorHAnsi" w:hAnsiTheme="minorHAnsi"/>
          <w:sz w:val="24"/>
          <w:szCs w:val="24"/>
        </w:rPr>
      </w:pPr>
      <w:r w:rsidRPr="00F85702">
        <w:rPr>
          <w:rFonts w:asciiTheme="minorHAnsi" w:hAnsiTheme="minorHAnsi"/>
          <w:sz w:val="24"/>
          <w:szCs w:val="24"/>
        </w:rPr>
        <w:t>In their criticism and self-criticism the</w:t>
      </w:r>
      <w:r w:rsidR="00DA52AA" w:rsidRPr="00F85702">
        <w:rPr>
          <w:rFonts w:asciiTheme="minorHAnsi" w:hAnsiTheme="minorHAnsi"/>
          <w:sz w:val="24"/>
          <w:szCs w:val="24"/>
        </w:rPr>
        <w:t xml:space="preserve"> </w:t>
      </w:r>
      <w:r w:rsidR="0043126A" w:rsidRPr="00F85702">
        <w:rPr>
          <w:rFonts w:asciiTheme="minorHAnsi" w:hAnsiTheme="minorHAnsi"/>
          <w:sz w:val="24"/>
          <w:szCs w:val="24"/>
        </w:rPr>
        <w:t xml:space="preserve">Greek and Roman </w:t>
      </w:r>
      <w:r w:rsidR="00DA52AA" w:rsidRPr="00F85702">
        <w:rPr>
          <w:rFonts w:asciiTheme="minorHAnsi" w:hAnsiTheme="minorHAnsi"/>
          <w:sz w:val="24"/>
          <w:szCs w:val="24"/>
        </w:rPr>
        <w:t xml:space="preserve">practices of the self </w:t>
      </w:r>
      <w:r w:rsidRPr="00F85702">
        <w:rPr>
          <w:rFonts w:asciiTheme="minorHAnsi" w:hAnsiTheme="minorHAnsi"/>
          <w:sz w:val="24"/>
          <w:szCs w:val="24"/>
        </w:rPr>
        <w:t xml:space="preserve">were more consistent and more advanced. The </w:t>
      </w:r>
      <w:r w:rsidR="00205775" w:rsidRPr="00F85702">
        <w:rPr>
          <w:rFonts w:asciiTheme="minorHAnsi" w:hAnsiTheme="minorHAnsi"/>
          <w:sz w:val="24"/>
          <w:szCs w:val="24"/>
        </w:rPr>
        <w:t>Platonists held out the other world</w:t>
      </w:r>
      <w:r w:rsidR="00EB6F27" w:rsidRPr="00F85702">
        <w:rPr>
          <w:rFonts w:asciiTheme="minorHAnsi" w:hAnsiTheme="minorHAnsi"/>
          <w:sz w:val="24"/>
          <w:szCs w:val="24"/>
        </w:rPr>
        <w:t xml:space="preserve"> as the point of reference</w:t>
      </w:r>
      <w:r w:rsidR="00205775" w:rsidRPr="00F85702">
        <w:rPr>
          <w:rFonts w:asciiTheme="minorHAnsi" w:hAnsiTheme="minorHAnsi"/>
          <w:sz w:val="24"/>
          <w:szCs w:val="24"/>
        </w:rPr>
        <w:t xml:space="preserve"> against which this world could be</w:t>
      </w:r>
      <w:r w:rsidR="00EB6F27" w:rsidRPr="00F85702">
        <w:rPr>
          <w:rFonts w:asciiTheme="minorHAnsi" w:hAnsiTheme="minorHAnsi"/>
          <w:sz w:val="24"/>
          <w:szCs w:val="24"/>
        </w:rPr>
        <w:t xml:space="preserve"> </w:t>
      </w:r>
      <w:r w:rsidR="00205775" w:rsidRPr="00F85702">
        <w:rPr>
          <w:rFonts w:asciiTheme="minorHAnsi" w:hAnsiTheme="minorHAnsi"/>
          <w:sz w:val="24"/>
          <w:szCs w:val="24"/>
        </w:rPr>
        <w:t xml:space="preserve">judged. For the Cynics, if life was truly a life of truth, ‘must it not be an </w:t>
      </w:r>
      <w:r w:rsidR="00205775" w:rsidRPr="00F85702">
        <w:rPr>
          <w:rFonts w:asciiTheme="minorHAnsi" w:hAnsiTheme="minorHAnsi"/>
          <w:i/>
          <w:sz w:val="24"/>
          <w:szCs w:val="24"/>
        </w:rPr>
        <w:t>other</w:t>
      </w:r>
      <w:r w:rsidR="00205775" w:rsidRPr="00F85702">
        <w:rPr>
          <w:rFonts w:asciiTheme="minorHAnsi" w:hAnsiTheme="minorHAnsi"/>
          <w:sz w:val="24"/>
          <w:szCs w:val="24"/>
        </w:rPr>
        <w:t xml:space="preserve"> life, a life which is radically and paradoxically other?’</w:t>
      </w:r>
      <w:r w:rsidR="00205775" w:rsidRPr="00F85702">
        <w:rPr>
          <w:rStyle w:val="FootnoteReference"/>
          <w:rFonts w:asciiTheme="minorHAnsi" w:hAnsiTheme="minorHAnsi"/>
          <w:sz w:val="24"/>
          <w:szCs w:val="24"/>
        </w:rPr>
        <w:footnoteReference w:id="24"/>
      </w:r>
      <w:r w:rsidR="00876893" w:rsidRPr="00F85702">
        <w:rPr>
          <w:rFonts w:asciiTheme="minorHAnsi" w:hAnsiTheme="minorHAnsi"/>
          <w:sz w:val="24"/>
          <w:szCs w:val="24"/>
        </w:rPr>
        <w:t xml:space="preserve"> </w:t>
      </w:r>
      <w:r w:rsidR="00574C1B" w:rsidRPr="00F85702">
        <w:rPr>
          <w:rFonts w:asciiTheme="minorHAnsi" w:hAnsiTheme="minorHAnsi"/>
          <w:sz w:val="24"/>
          <w:szCs w:val="24"/>
        </w:rPr>
        <w:t>In self-formation we place ourselves in doubt, and in this lies new possibilities.</w:t>
      </w:r>
      <w:r w:rsidR="00574C1B" w:rsidRPr="00F85702">
        <w:rPr>
          <w:rStyle w:val="FootnoteReference"/>
          <w:rFonts w:asciiTheme="minorHAnsi" w:hAnsiTheme="minorHAnsi"/>
          <w:sz w:val="24"/>
          <w:szCs w:val="24"/>
        </w:rPr>
        <w:footnoteReference w:id="25"/>
      </w:r>
      <w:r w:rsidR="00574C1B" w:rsidRPr="00F85702">
        <w:rPr>
          <w:rFonts w:asciiTheme="minorHAnsi" w:hAnsiTheme="minorHAnsi"/>
          <w:sz w:val="24"/>
          <w:szCs w:val="24"/>
        </w:rPr>
        <w:t xml:space="preserve"> </w:t>
      </w:r>
      <w:r w:rsidR="00876893" w:rsidRPr="00F85702">
        <w:rPr>
          <w:rFonts w:asciiTheme="minorHAnsi" w:hAnsiTheme="minorHAnsi"/>
          <w:sz w:val="24"/>
          <w:szCs w:val="24"/>
        </w:rPr>
        <w:t xml:space="preserve">This leads </w:t>
      </w:r>
      <w:r w:rsidR="00EB6F27" w:rsidRPr="00F85702">
        <w:rPr>
          <w:rFonts w:asciiTheme="minorHAnsi" w:hAnsiTheme="minorHAnsi"/>
          <w:sz w:val="24"/>
          <w:szCs w:val="24"/>
        </w:rPr>
        <w:t xml:space="preserve">Foucault </w:t>
      </w:r>
      <w:r w:rsidR="00876893" w:rsidRPr="00F85702">
        <w:rPr>
          <w:rFonts w:asciiTheme="minorHAnsi" w:hAnsiTheme="minorHAnsi"/>
          <w:sz w:val="24"/>
          <w:szCs w:val="24"/>
        </w:rPr>
        <w:t xml:space="preserve">to his </w:t>
      </w:r>
      <w:r w:rsidRPr="00F85702">
        <w:rPr>
          <w:rFonts w:asciiTheme="minorHAnsi" w:hAnsiTheme="minorHAnsi"/>
          <w:sz w:val="24"/>
          <w:szCs w:val="24"/>
        </w:rPr>
        <w:t>terminal</w:t>
      </w:r>
      <w:r w:rsidR="00876893" w:rsidRPr="00F85702">
        <w:rPr>
          <w:rFonts w:asciiTheme="minorHAnsi" w:hAnsiTheme="minorHAnsi"/>
          <w:sz w:val="24"/>
          <w:szCs w:val="24"/>
        </w:rPr>
        <w:t xml:space="preserve"> insight, </w:t>
      </w:r>
      <w:r w:rsidR="000018AB" w:rsidRPr="00F85702">
        <w:rPr>
          <w:rFonts w:asciiTheme="minorHAnsi" w:hAnsiTheme="minorHAnsi"/>
          <w:sz w:val="24"/>
          <w:szCs w:val="24"/>
        </w:rPr>
        <w:t>the</w:t>
      </w:r>
      <w:r w:rsidR="00EB6F27" w:rsidRPr="00F85702">
        <w:rPr>
          <w:rFonts w:asciiTheme="minorHAnsi" w:hAnsiTheme="minorHAnsi"/>
          <w:sz w:val="24"/>
          <w:szCs w:val="24"/>
        </w:rPr>
        <w:t xml:space="preserve"> last sentence</w:t>
      </w:r>
      <w:r w:rsidR="00876893" w:rsidRPr="00F85702">
        <w:rPr>
          <w:rFonts w:asciiTheme="minorHAnsi" w:hAnsiTheme="minorHAnsi"/>
          <w:sz w:val="24"/>
          <w:szCs w:val="24"/>
        </w:rPr>
        <w:t xml:space="preserve"> </w:t>
      </w:r>
      <w:r w:rsidRPr="00F85702">
        <w:rPr>
          <w:rFonts w:asciiTheme="minorHAnsi" w:hAnsiTheme="minorHAnsi"/>
          <w:sz w:val="24"/>
          <w:szCs w:val="24"/>
        </w:rPr>
        <w:t>in</w:t>
      </w:r>
      <w:r w:rsidR="00876893" w:rsidRPr="00F85702">
        <w:rPr>
          <w:rFonts w:asciiTheme="minorHAnsi" w:hAnsiTheme="minorHAnsi"/>
          <w:sz w:val="24"/>
          <w:szCs w:val="24"/>
        </w:rPr>
        <w:t xml:space="preserve"> the </w:t>
      </w:r>
      <w:r w:rsidRPr="00F85702">
        <w:rPr>
          <w:rFonts w:asciiTheme="minorHAnsi" w:hAnsiTheme="minorHAnsi"/>
          <w:sz w:val="24"/>
          <w:szCs w:val="24"/>
        </w:rPr>
        <w:t xml:space="preserve">last </w:t>
      </w:r>
      <w:r w:rsidR="00876893" w:rsidRPr="00F85702">
        <w:rPr>
          <w:rFonts w:asciiTheme="minorHAnsi" w:hAnsiTheme="minorHAnsi"/>
          <w:sz w:val="24"/>
          <w:szCs w:val="24"/>
        </w:rPr>
        <w:t xml:space="preserve">lecture on 28 March 1984: </w:t>
      </w:r>
    </w:p>
    <w:p w14:paraId="4172A377" w14:textId="77777777" w:rsidR="00876893" w:rsidRPr="00F85702" w:rsidRDefault="00876893" w:rsidP="00F85702">
      <w:pPr>
        <w:pStyle w:val="p1"/>
        <w:spacing w:line="276" w:lineRule="auto"/>
        <w:rPr>
          <w:rFonts w:asciiTheme="minorHAnsi" w:hAnsiTheme="minorHAnsi"/>
          <w:sz w:val="24"/>
          <w:szCs w:val="24"/>
        </w:rPr>
      </w:pPr>
    </w:p>
    <w:p w14:paraId="65F5E5C5" w14:textId="1C68E424" w:rsidR="00876893" w:rsidRPr="00F85702" w:rsidRDefault="00876893" w:rsidP="00F85702">
      <w:pPr>
        <w:widowControl w:val="0"/>
        <w:autoSpaceDE w:val="0"/>
        <w:autoSpaceDN w:val="0"/>
        <w:adjustRightInd w:val="0"/>
        <w:spacing w:line="276" w:lineRule="auto"/>
        <w:ind w:left="454"/>
        <w:rPr>
          <w:rFonts w:cs="Times New Roman"/>
        </w:rPr>
      </w:pPr>
      <w:r w:rsidRPr="00F85702">
        <w:rPr>
          <w:rFonts w:cs="Times New Roman"/>
        </w:rPr>
        <w:t xml:space="preserve">But what I would like to stress in conclusion is this: there is no establishment of the truth without an essential position of otherness; the truth is never the same; there can </w:t>
      </w:r>
      <w:r w:rsidRPr="00F85702">
        <w:rPr>
          <w:rFonts w:cs="Times New Roman"/>
        </w:rPr>
        <w:lastRenderedPageBreak/>
        <w:t xml:space="preserve">be truth only in the form of the other world and the other life (l’autre monde et de la </w:t>
      </w:r>
      <w:r w:rsidR="00135A55">
        <w:rPr>
          <w:rFonts w:cs="Times New Roman"/>
        </w:rPr>
        <w:t>vie autre’).</w:t>
      </w:r>
      <w:r w:rsidR="00135A55">
        <w:rPr>
          <w:rStyle w:val="FootnoteReference"/>
          <w:rFonts w:cs="Times New Roman"/>
        </w:rPr>
        <w:footnoteReference w:id="26"/>
      </w:r>
    </w:p>
    <w:p w14:paraId="257C92BB" w14:textId="77777777" w:rsidR="00876893" w:rsidRPr="00F85702" w:rsidRDefault="00876893" w:rsidP="00F85702">
      <w:pPr>
        <w:pStyle w:val="p1"/>
        <w:spacing w:line="276" w:lineRule="auto"/>
        <w:rPr>
          <w:rFonts w:asciiTheme="minorHAnsi" w:hAnsiTheme="minorHAnsi"/>
          <w:sz w:val="24"/>
          <w:szCs w:val="24"/>
        </w:rPr>
      </w:pPr>
    </w:p>
    <w:p w14:paraId="4E863AC8" w14:textId="6931B3B2" w:rsidR="009030A7" w:rsidRPr="00F85702" w:rsidRDefault="009C5092" w:rsidP="00F85702">
      <w:pPr>
        <w:pStyle w:val="p1"/>
        <w:spacing w:line="276" w:lineRule="auto"/>
        <w:rPr>
          <w:rFonts w:asciiTheme="minorHAnsi" w:hAnsiTheme="minorHAnsi"/>
          <w:color w:val="000000" w:themeColor="text1"/>
          <w:sz w:val="24"/>
          <w:szCs w:val="24"/>
        </w:rPr>
      </w:pPr>
      <w:r w:rsidRPr="00F85702">
        <w:rPr>
          <w:rFonts w:asciiTheme="minorHAnsi" w:hAnsiTheme="minorHAnsi"/>
          <w:color w:val="000000" w:themeColor="text1"/>
          <w:sz w:val="24"/>
          <w:szCs w:val="24"/>
        </w:rPr>
        <w:tab/>
        <w:t xml:space="preserve">What is the relevance to higher education? First, </w:t>
      </w:r>
      <w:r w:rsidR="00342F61" w:rsidRPr="00F85702">
        <w:rPr>
          <w:rFonts w:asciiTheme="minorHAnsi" w:hAnsiTheme="minorHAnsi"/>
          <w:color w:val="000000" w:themeColor="text1"/>
          <w:sz w:val="24"/>
          <w:szCs w:val="24"/>
        </w:rPr>
        <w:t xml:space="preserve">self-formation. </w:t>
      </w:r>
      <w:r w:rsidR="003E3C04" w:rsidRPr="00F85702">
        <w:rPr>
          <w:rFonts w:asciiTheme="minorHAnsi" w:hAnsiTheme="minorHAnsi"/>
          <w:color w:val="000000" w:themeColor="text1"/>
          <w:sz w:val="24"/>
          <w:szCs w:val="24"/>
        </w:rPr>
        <w:t>Ball notes</w:t>
      </w:r>
      <w:r w:rsidRPr="00F85702">
        <w:rPr>
          <w:rFonts w:asciiTheme="minorHAnsi" w:hAnsiTheme="minorHAnsi"/>
          <w:color w:val="000000" w:themeColor="text1"/>
          <w:sz w:val="24"/>
          <w:szCs w:val="24"/>
        </w:rPr>
        <w:t xml:space="preserve"> </w:t>
      </w:r>
      <w:r w:rsidR="003E3C04" w:rsidRPr="00F85702">
        <w:rPr>
          <w:rFonts w:asciiTheme="minorHAnsi" w:hAnsiTheme="minorHAnsi"/>
          <w:color w:val="000000" w:themeColor="text1"/>
          <w:sz w:val="24"/>
          <w:szCs w:val="24"/>
        </w:rPr>
        <w:t xml:space="preserve">that </w:t>
      </w:r>
      <w:r w:rsidR="00C03D0F" w:rsidRPr="00F85702">
        <w:rPr>
          <w:rFonts w:asciiTheme="minorHAnsi" w:hAnsiTheme="minorHAnsi"/>
          <w:color w:val="000000" w:themeColor="text1"/>
          <w:sz w:val="24"/>
          <w:szCs w:val="24"/>
        </w:rPr>
        <w:t xml:space="preserve">while education is </w:t>
      </w:r>
      <w:r w:rsidR="00CD2518" w:rsidRPr="00F85702">
        <w:rPr>
          <w:rFonts w:asciiTheme="minorHAnsi" w:hAnsiTheme="minorHAnsi"/>
          <w:color w:val="000000" w:themeColor="text1"/>
          <w:sz w:val="24"/>
          <w:szCs w:val="24"/>
        </w:rPr>
        <w:t>a key site</w:t>
      </w:r>
      <w:r w:rsidR="0018712D" w:rsidRPr="00F85702">
        <w:rPr>
          <w:rFonts w:asciiTheme="minorHAnsi" w:hAnsiTheme="minorHAnsi"/>
          <w:color w:val="000000" w:themeColor="text1"/>
          <w:sz w:val="24"/>
          <w:szCs w:val="24"/>
        </w:rPr>
        <w:t xml:space="preserve"> </w:t>
      </w:r>
      <w:r w:rsidR="00CD2518" w:rsidRPr="00F85702">
        <w:rPr>
          <w:rFonts w:asciiTheme="minorHAnsi" w:hAnsiTheme="minorHAnsi"/>
          <w:color w:val="000000" w:themeColor="text1"/>
          <w:sz w:val="24"/>
          <w:szCs w:val="24"/>
        </w:rPr>
        <w:t>‘</w:t>
      </w:r>
      <w:r w:rsidR="0018712D" w:rsidRPr="00F85702">
        <w:rPr>
          <w:rFonts w:asciiTheme="minorHAnsi" w:hAnsiTheme="minorHAnsi"/>
          <w:color w:val="000000" w:themeColor="text1"/>
          <w:sz w:val="24"/>
          <w:szCs w:val="24"/>
        </w:rPr>
        <w:t xml:space="preserve">in which the </w:t>
      </w:r>
      <w:r w:rsidR="00C03D0F" w:rsidRPr="00F85702">
        <w:rPr>
          <w:rFonts w:asciiTheme="minorHAnsi" w:hAnsiTheme="minorHAnsi"/>
          <w:color w:val="000000" w:themeColor="text1"/>
          <w:sz w:val="24"/>
          <w:szCs w:val="24"/>
        </w:rPr>
        <w:t>processes of normalisation are en</w:t>
      </w:r>
      <w:r w:rsidR="003E3C04" w:rsidRPr="00F85702">
        <w:rPr>
          <w:rFonts w:asciiTheme="minorHAnsi" w:hAnsiTheme="minorHAnsi"/>
          <w:color w:val="000000" w:themeColor="text1"/>
          <w:sz w:val="24"/>
          <w:szCs w:val="24"/>
        </w:rPr>
        <w:t xml:space="preserve">acted’, it </w:t>
      </w:r>
      <w:r w:rsidR="00C03D0F" w:rsidRPr="00F85702">
        <w:rPr>
          <w:rFonts w:asciiTheme="minorHAnsi" w:hAnsiTheme="minorHAnsi"/>
          <w:color w:val="000000" w:themeColor="text1"/>
          <w:sz w:val="24"/>
          <w:szCs w:val="24"/>
        </w:rPr>
        <w:t>could be</w:t>
      </w:r>
      <w:r w:rsidR="0018712D" w:rsidRPr="00F85702">
        <w:rPr>
          <w:rFonts w:asciiTheme="minorHAnsi" w:hAnsiTheme="minorHAnsi"/>
          <w:color w:val="000000" w:themeColor="text1"/>
          <w:sz w:val="24"/>
          <w:szCs w:val="24"/>
        </w:rPr>
        <w:t>come</w:t>
      </w:r>
      <w:r w:rsidR="00C03D0F" w:rsidRPr="00F85702">
        <w:rPr>
          <w:rFonts w:asciiTheme="minorHAnsi" w:hAnsiTheme="minorHAnsi"/>
          <w:color w:val="000000" w:themeColor="text1"/>
          <w:sz w:val="24"/>
          <w:szCs w:val="24"/>
        </w:rPr>
        <w:t xml:space="preserve"> </w:t>
      </w:r>
      <w:r w:rsidR="003E3C04" w:rsidRPr="00F85702">
        <w:rPr>
          <w:rFonts w:asciiTheme="minorHAnsi" w:hAnsiTheme="minorHAnsi"/>
          <w:color w:val="000000" w:themeColor="text1"/>
          <w:sz w:val="24"/>
          <w:szCs w:val="24"/>
        </w:rPr>
        <w:t>‘</w:t>
      </w:r>
      <w:r w:rsidR="00C03D0F" w:rsidRPr="00F85702">
        <w:rPr>
          <w:rFonts w:asciiTheme="minorHAnsi" w:hAnsiTheme="minorHAnsi"/>
          <w:color w:val="000000" w:themeColor="text1"/>
          <w:sz w:val="24"/>
          <w:szCs w:val="24"/>
        </w:rPr>
        <w:t xml:space="preserve">a locus of struggle for productive processes of self-formation and freedom’. Second, </w:t>
      </w:r>
      <w:r w:rsidR="00876893" w:rsidRPr="00F85702">
        <w:rPr>
          <w:rFonts w:asciiTheme="minorHAnsi" w:hAnsiTheme="minorHAnsi"/>
          <w:color w:val="000000" w:themeColor="text1"/>
          <w:sz w:val="24"/>
          <w:szCs w:val="24"/>
        </w:rPr>
        <w:t>Foucault’s</w:t>
      </w:r>
      <w:r w:rsidR="005806D6" w:rsidRPr="00F85702">
        <w:rPr>
          <w:rFonts w:asciiTheme="minorHAnsi" w:hAnsiTheme="minorHAnsi"/>
          <w:color w:val="000000" w:themeColor="text1"/>
          <w:sz w:val="24"/>
          <w:szCs w:val="24"/>
        </w:rPr>
        <w:t xml:space="preserve"> </w:t>
      </w:r>
      <w:r w:rsidR="00CD2518" w:rsidRPr="00F85702">
        <w:rPr>
          <w:rFonts w:asciiTheme="minorHAnsi" w:hAnsiTheme="minorHAnsi"/>
          <w:color w:val="000000" w:themeColor="text1"/>
          <w:sz w:val="24"/>
          <w:szCs w:val="24"/>
        </w:rPr>
        <w:t>final</w:t>
      </w:r>
      <w:r w:rsidR="005806D6" w:rsidRPr="00F85702">
        <w:rPr>
          <w:rFonts w:asciiTheme="minorHAnsi" w:hAnsiTheme="minorHAnsi"/>
          <w:color w:val="000000" w:themeColor="text1"/>
          <w:sz w:val="24"/>
          <w:szCs w:val="24"/>
        </w:rPr>
        <w:t xml:space="preserve"> challenging idea</w:t>
      </w:r>
      <w:r w:rsidR="00CD2518" w:rsidRPr="00F85702">
        <w:rPr>
          <w:rFonts w:asciiTheme="minorHAnsi" w:hAnsiTheme="minorHAnsi"/>
          <w:color w:val="000000" w:themeColor="text1"/>
          <w:sz w:val="24"/>
          <w:szCs w:val="24"/>
        </w:rPr>
        <w:t>, taking us to the outer reaches of agency and creativity: in self</w:t>
      </w:r>
      <w:r w:rsidR="005806D6" w:rsidRPr="00F85702">
        <w:rPr>
          <w:rFonts w:asciiTheme="minorHAnsi" w:hAnsiTheme="minorHAnsi"/>
          <w:color w:val="000000" w:themeColor="text1"/>
          <w:sz w:val="24"/>
          <w:szCs w:val="24"/>
        </w:rPr>
        <w:t xml:space="preserve">-formation </w:t>
      </w:r>
      <w:r w:rsidR="00CD2518" w:rsidRPr="00F85702">
        <w:rPr>
          <w:rFonts w:asciiTheme="minorHAnsi" w:hAnsiTheme="minorHAnsi"/>
          <w:color w:val="000000" w:themeColor="text1"/>
          <w:sz w:val="24"/>
          <w:szCs w:val="24"/>
        </w:rPr>
        <w:t>we can</w:t>
      </w:r>
      <w:r w:rsidR="005806D6" w:rsidRPr="00F85702">
        <w:rPr>
          <w:rFonts w:asciiTheme="minorHAnsi" w:hAnsiTheme="minorHAnsi"/>
          <w:color w:val="000000" w:themeColor="text1"/>
          <w:sz w:val="24"/>
          <w:szCs w:val="24"/>
        </w:rPr>
        <w:t xml:space="preserve"> become something other than we are</w:t>
      </w:r>
      <w:r w:rsidR="00876893" w:rsidRPr="00F85702">
        <w:rPr>
          <w:rFonts w:asciiTheme="minorHAnsi" w:hAnsiTheme="minorHAnsi"/>
          <w:color w:val="000000" w:themeColor="text1"/>
          <w:sz w:val="24"/>
          <w:szCs w:val="24"/>
        </w:rPr>
        <w:t xml:space="preserve">, and find a truth that is </w:t>
      </w:r>
      <w:r w:rsidR="00CD2518" w:rsidRPr="00F85702">
        <w:rPr>
          <w:rFonts w:asciiTheme="minorHAnsi" w:hAnsiTheme="minorHAnsi"/>
          <w:color w:val="000000" w:themeColor="text1"/>
          <w:sz w:val="24"/>
          <w:szCs w:val="24"/>
        </w:rPr>
        <w:t xml:space="preserve">other, different. </w:t>
      </w:r>
      <w:r w:rsidR="005806D6" w:rsidRPr="00F85702">
        <w:rPr>
          <w:rFonts w:asciiTheme="minorHAnsi" w:hAnsiTheme="minorHAnsi"/>
          <w:color w:val="000000" w:themeColor="text1"/>
          <w:sz w:val="24"/>
          <w:szCs w:val="24"/>
        </w:rPr>
        <w:t xml:space="preserve">Third, </w:t>
      </w:r>
      <w:r w:rsidR="00342F61" w:rsidRPr="00F85702">
        <w:rPr>
          <w:rFonts w:asciiTheme="minorHAnsi" w:hAnsiTheme="minorHAnsi"/>
          <w:color w:val="000000" w:themeColor="text1"/>
          <w:sz w:val="24"/>
          <w:szCs w:val="24"/>
        </w:rPr>
        <w:t>Foucault’s</w:t>
      </w:r>
      <w:r w:rsidR="00C03D0F" w:rsidRPr="00F85702">
        <w:rPr>
          <w:rFonts w:asciiTheme="minorHAnsi" w:hAnsiTheme="minorHAnsi"/>
          <w:color w:val="000000" w:themeColor="text1"/>
          <w:sz w:val="24"/>
          <w:szCs w:val="24"/>
        </w:rPr>
        <w:t xml:space="preserve"> self-transformation resonates with the Bildung </w:t>
      </w:r>
      <w:r w:rsidR="003E3C04" w:rsidRPr="00F85702">
        <w:rPr>
          <w:rFonts w:asciiTheme="minorHAnsi" w:hAnsiTheme="minorHAnsi"/>
          <w:color w:val="000000" w:themeColor="text1"/>
          <w:sz w:val="24"/>
          <w:szCs w:val="24"/>
        </w:rPr>
        <w:t xml:space="preserve">idea </w:t>
      </w:r>
      <w:r w:rsidR="00C03D0F" w:rsidRPr="00F85702">
        <w:rPr>
          <w:rFonts w:asciiTheme="minorHAnsi" w:hAnsiTheme="minorHAnsi"/>
          <w:color w:val="000000" w:themeColor="text1"/>
          <w:sz w:val="24"/>
          <w:szCs w:val="24"/>
        </w:rPr>
        <w:t>in education</w:t>
      </w:r>
      <w:r w:rsidR="0018712D" w:rsidRPr="00F85702">
        <w:rPr>
          <w:rFonts w:asciiTheme="minorHAnsi" w:hAnsiTheme="minorHAnsi"/>
          <w:color w:val="000000" w:themeColor="text1"/>
          <w:sz w:val="24"/>
          <w:szCs w:val="24"/>
        </w:rPr>
        <w:t xml:space="preserve"> (</w:t>
      </w:r>
      <w:r w:rsidR="003E3C04" w:rsidRPr="00F85702">
        <w:rPr>
          <w:rFonts w:asciiTheme="minorHAnsi" w:hAnsiTheme="minorHAnsi"/>
          <w:color w:val="000000" w:themeColor="text1"/>
          <w:sz w:val="24"/>
          <w:szCs w:val="24"/>
        </w:rPr>
        <w:t>as he notes</w:t>
      </w:r>
      <w:r w:rsidR="0018712D" w:rsidRPr="00F85702">
        <w:rPr>
          <w:rFonts w:asciiTheme="minorHAnsi" w:hAnsiTheme="minorHAnsi"/>
          <w:color w:val="000000" w:themeColor="text1"/>
          <w:sz w:val="24"/>
          <w:szCs w:val="24"/>
        </w:rPr>
        <w:t>)</w:t>
      </w:r>
      <w:r w:rsidR="00CD2518" w:rsidRPr="00F85702">
        <w:rPr>
          <w:rFonts w:asciiTheme="minorHAnsi" w:hAnsiTheme="minorHAnsi"/>
          <w:color w:val="000000" w:themeColor="text1"/>
          <w:sz w:val="24"/>
          <w:szCs w:val="24"/>
        </w:rPr>
        <w:t>;</w:t>
      </w:r>
      <w:r w:rsidR="003E3C04" w:rsidRPr="00F85702">
        <w:rPr>
          <w:rStyle w:val="FootnoteReference"/>
          <w:rFonts w:asciiTheme="minorHAnsi" w:hAnsiTheme="minorHAnsi"/>
          <w:color w:val="000000" w:themeColor="text1"/>
          <w:sz w:val="24"/>
          <w:szCs w:val="24"/>
        </w:rPr>
        <w:footnoteReference w:id="27"/>
      </w:r>
      <w:r w:rsidR="00C03D0F" w:rsidRPr="00F85702">
        <w:rPr>
          <w:rFonts w:asciiTheme="minorHAnsi" w:hAnsiTheme="minorHAnsi"/>
          <w:color w:val="000000" w:themeColor="text1"/>
          <w:sz w:val="24"/>
          <w:szCs w:val="24"/>
        </w:rPr>
        <w:t xml:space="preserve"> </w:t>
      </w:r>
      <w:r w:rsidR="00D77A0C" w:rsidRPr="00F85702">
        <w:rPr>
          <w:rFonts w:asciiTheme="minorHAnsi" w:hAnsiTheme="minorHAnsi"/>
          <w:color w:val="000000" w:themeColor="text1"/>
          <w:sz w:val="24"/>
          <w:szCs w:val="24"/>
        </w:rPr>
        <w:t>while</w:t>
      </w:r>
      <w:r w:rsidR="00C03D0F" w:rsidRPr="00F85702">
        <w:rPr>
          <w:rFonts w:asciiTheme="minorHAnsi" w:hAnsiTheme="minorHAnsi"/>
          <w:color w:val="000000" w:themeColor="text1"/>
          <w:sz w:val="24"/>
          <w:szCs w:val="24"/>
        </w:rPr>
        <w:t xml:space="preserve"> </w:t>
      </w:r>
      <w:r w:rsidR="00342F61" w:rsidRPr="00F85702">
        <w:rPr>
          <w:rFonts w:asciiTheme="minorHAnsi" w:hAnsiTheme="minorHAnsi"/>
          <w:color w:val="000000" w:themeColor="text1"/>
          <w:sz w:val="24"/>
          <w:szCs w:val="24"/>
        </w:rPr>
        <w:t xml:space="preserve">his </w:t>
      </w:r>
      <w:r w:rsidR="0018712D" w:rsidRPr="00F85702">
        <w:rPr>
          <w:rFonts w:asciiTheme="minorHAnsi" w:hAnsiTheme="minorHAnsi"/>
          <w:color w:val="000000" w:themeColor="text1"/>
          <w:sz w:val="24"/>
          <w:szCs w:val="24"/>
        </w:rPr>
        <w:t xml:space="preserve">specific focus on </w:t>
      </w:r>
      <w:r w:rsidR="00C03D0F" w:rsidRPr="00F85702">
        <w:rPr>
          <w:rFonts w:asciiTheme="minorHAnsi" w:hAnsiTheme="minorHAnsi"/>
          <w:color w:val="000000" w:themeColor="text1"/>
          <w:sz w:val="24"/>
          <w:szCs w:val="24"/>
        </w:rPr>
        <w:t xml:space="preserve">self-transformation </w:t>
      </w:r>
      <w:r w:rsidR="00061213" w:rsidRPr="00F85702">
        <w:rPr>
          <w:rFonts w:asciiTheme="minorHAnsi" w:hAnsiTheme="minorHAnsi"/>
          <w:color w:val="000000" w:themeColor="text1"/>
          <w:sz w:val="24"/>
          <w:szCs w:val="24"/>
        </w:rPr>
        <w:t>through the</w:t>
      </w:r>
      <w:r w:rsidR="00C03D0F" w:rsidRPr="00F85702">
        <w:rPr>
          <w:rFonts w:asciiTheme="minorHAnsi" w:hAnsiTheme="minorHAnsi"/>
          <w:color w:val="000000" w:themeColor="text1"/>
          <w:sz w:val="24"/>
          <w:szCs w:val="24"/>
        </w:rPr>
        <w:t xml:space="preserve"> painstaking work </w:t>
      </w:r>
      <w:r w:rsidR="00061213" w:rsidRPr="00F85702">
        <w:rPr>
          <w:rFonts w:asciiTheme="minorHAnsi" w:hAnsiTheme="minorHAnsi"/>
          <w:color w:val="000000" w:themeColor="text1"/>
          <w:sz w:val="24"/>
          <w:szCs w:val="24"/>
        </w:rPr>
        <w:t>of</w:t>
      </w:r>
      <w:r w:rsidR="00C03D0F" w:rsidRPr="00F85702">
        <w:rPr>
          <w:rFonts w:asciiTheme="minorHAnsi" w:hAnsiTheme="minorHAnsi"/>
          <w:color w:val="000000" w:themeColor="text1"/>
          <w:sz w:val="24"/>
          <w:szCs w:val="24"/>
        </w:rPr>
        <w:t xml:space="preserve"> self</w:t>
      </w:r>
      <w:r w:rsidR="00061213" w:rsidRPr="00F85702">
        <w:rPr>
          <w:rFonts w:asciiTheme="minorHAnsi" w:hAnsiTheme="minorHAnsi"/>
          <w:color w:val="000000" w:themeColor="text1"/>
          <w:sz w:val="24"/>
          <w:szCs w:val="24"/>
        </w:rPr>
        <w:t xml:space="preserve"> on self resonates with</w:t>
      </w:r>
      <w:r w:rsidR="00C03D0F" w:rsidRPr="00F85702">
        <w:rPr>
          <w:rFonts w:asciiTheme="minorHAnsi" w:hAnsiTheme="minorHAnsi"/>
          <w:color w:val="000000" w:themeColor="text1"/>
          <w:sz w:val="24"/>
          <w:szCs w:val="24"/>
        </w:rPr>
        <w:t xml:space="preserve"> Confucian</w:t>
      </w:r>
      <w:r w:rsidR="00061213" w:rsidRPr="00F85702">
        <w:rPr>
          <w:rFonts w:asciiTheme="minorHAnsi" w:hAnsiTheme="minorHAnsi"/>
          <w:color w:val="000000" w:themeColor="text1"/>
          <w:sz w:val="24"/>
          <w:szCs w:val="24"/>
        </w:rPr>
        <w:t xml:space="preserve"> self-cultivation</w:t>
      </w:r>
      <w:r w:rsidR="0018712D" w:rsidRPr="00F85702">
        <w:rPr>
          <w:rFonts w:asciiTheme="minorHAnsi" w:hAnsiTheme="minorHAnsi"/>
          <w:color w:val="000000" w:themeColor="text1"/>
          <w:sz w:val="24"/>
          <w:szCs w:val="24"/>
        </w:rPr>
        <w:t xml:space="preserve"> (which he does not mention)</w:t>
      </w:r>
      <w:r w:rsidR="00061213" w:rsidRPr="00F85702">
        <w:rPr>
          <w:rFonts w:asciiTheme="minorHAnsi" w:hAnsiTheme="minorHAnsi"/>
          <w:color w:val="000000" w:themeColor="text1"/>
          <w:sz w:val="24"/>
          <w:szCs w:val="24"/>
        </w:rPr>
        <w:t xml:space="preserve">. </w:t>
      </w:r>
      <w:r w:rsidR="00471A11" w:rsidRPr="00F85702">
        <w:rPr>
          <w:rFonts w:asciiTheme="minorHAnsi" w:hAnsiTheme="minorHAnsi"/>
          <w:color w:val="000000" w:themeColor="text1"/>
          <w:sz w:val="24"/>
          <w:szCs w:val="24"/>
        </w:rPr>
        <w:t xml:space="preserve">As in </w:t>
      </w:r>
      <w:r w:rsidR="0018712D" w:rsidRPr="00F85702">
        <w:rPr>
          <w:rFonts w:asciiTheme="minorHAnsi" w:hAnsiTheme="minorHAnsi"/>
          <w:color w:val="000000" w:themeColor="text1"/>
          <w:sz w:val="24"/>
          <w:szCs w:val="24"/>
        </w:rPr>
        <w:t>Greece and Rome</w:t>
      </w:r>
      <w:r w:rsidR="00876893" w:rsidRPr="00F85702">
        <w:rPr>
          <w:rFonts w:asciiTheme="minorHAnsi" w:hAnsiTheme="minorHAnsi"/>
          <w:color w:val="000000" w:themeColor="text1"/>
          <w:sz w:val="24"/>
          <w:szCs w:val="24"/>
        </w:rPr>
        <w:t>,</w:t>
      </w:r>
      <w:r w:rsidR="00471A11" w:rsidRPr="00F85702">
        <w:rPr>
          <w:rFonts w:asciiTheme="minorHAnsi" w:hAnsiTheme="minorHAnsi"/>
          <w:color w:val="000000" w:themeColor="text1"/>
          <w:sz w:val="24"/>
          <w:szCs w:val="24"/>
        </w:rPr>
        <w:t xml:space="preserve"> self-formation</w:t>
      </w:r>
      <w:r w:rsidR="00061213" w:rsidRPr="00F85702">
        <w:rPr>
          <w:rFonts w:asciiTheme="minorHAnsi" w:hAnsiTheme="minorHAnsi"/>
          <w:color w:val="000000" w:themeColor="text1"/>
          <w:sz w:val="24"/>
          <w:szCs w:val="24"/>
        </w:rPr>
        <w:t xml:space="preserve"> </w:t>
      </w:r>
      <w:r w:rsidR="0039661F" w:rsidRPr="00F85702">
        <w:rPr>
          <w:rFonts w:asciiTheme="minorHAnsi" w:hAnsiTheme="minorHAnsi"/>
          <w:color w:val="000000" w:themeColor="text1"/>
          <w:sz w:val="24"/>
          <w:szCs w:val="24"/>
        </w:rPr>
        <w:t xml:space="preserve">in </w:t>
      </w:r>
      <w:r w:rsidR="003E3C04" w:rsidRPr="00F85702">
        <w:rPr>
          <w:rFonts w:asciiTheme="minorHAnsi" w:hAnsiTheme="minorHAnsi"/>
          <w:color w:val="000000" w:themeColor="text1"/>
          <w:sz w:val="24"/>
          <w:szCs w:val="24"/>
        </w:rPr>
        <w:t xml:space="preserve">higher </w:t>
      </w:r>
      <w:r w:rsidR="0039661F" w:rsidRPr="00F85702">
        <w:rPr>
          <w:rFonts w:asciiTheme="minorHAnsi" w:hAnsiTheme="minorHAnsi"/>
          <w:color w:val="000000" w:themeColor="text1"/>
          <w:sz w:val="24"/>
          <w:szCs w:val="24"/>
        </w:rPr>
        <w:t xml:space="preserve">education </w:t>
      </w:r>
      <w:r w:rsidR="00CD2518" w:rsidRPr="00F85702">
        <w:rPr>
          <w:rFonts w:asciiTheme="minorHAnsi" w:hAnsiTheme="minorHAnsi"/>
          <w:color w:val="000000" w:themeColor="text1"/>
          <w:sz w:val="24"/>
          <w:szCs w:val="24"/>
        </w:rPr>
        <w:t>is</w:t>
      </w:r>
      <w:r w:rsidR="003E3C04" w:rsidRPr="00F85702">
        <w:rPr>
          <w:rFonts w:asciiTheme="minorHAnsi" w:hAnsiTheme="minorHAnsi"/>
          <w:color w:val="000000" w:themeColor="text1"/>
          <w:sz w:val="24"/>
          <w:szCs w:val="24"/>
        </w:rPr>
        <w:t xml:space="preserve"> modelled </w:t>
      </w:r>
      <w:r w:rsidR="00CD2518" w:rsidRPr="00F85702">
        <w:rPr>
          <w:rFonts w:asciiTheme="minorHAnsi" w:hAnsiTheme="minorHAnsi"/>
          <w:color w:val="000000" w:themeColor="text1"/>
          <w:sz w:val="24"/>
          <w:szCs w:val="24"/>
        </w:rPr>
        <w:t>in</w:t>
      </w:r>
      <w:r w:rsidR="003E3C04" w:rsidRPr="00F85702">
        <w:rPr>
          <w:rFonts w:asciiTheme="minorHAnsi" w:hAnsiTheme="minorHAnsi"/>
          <w:color w:val="000000" w:themeColor="text1"/>
          <w:sz w:val="24"/>
          <w:szCs w:val="24"/>
        </w:rPr>
        <w:t xml:space="preserve"> </w:t>
      </w:r>
      <w:r w:rsidR="00061213" w:rsidRPr="00F85702">
        <w:rPr>
          <w:rFonts w:asciiTheme="minorHAnsi" w:hAnsiTheme="minorHAnsi"/>
          <w:color w:val="000000" w:themeColor="text1"/>
          <w:sz w:val="24"/>
          <w:szCs w:val="24"/>
        </w:rPr>
        <w:t xml:space="preserve">specific practices. </w:t>
      </w:r>
      <w:r w:rsidR="00342F61" w:rsidRPr="00F85702">
        <w:rPr>
          <w:rFonts w:asciiTheme="minorHAnsi" w:hAnsiTheme="minorHAnsi"/>
          <w:color w:val="000000" w:themeColor="text1"/>
          <w:sz w:val="24"/>
          <w:szCs w:val="24"/>
        </w:rPr>
        <w:t>It is time to look at the</w:t>
      </w:r>
      <w:r w:rsidR="005806D6" w:rsidRPr="00F85702">
        <w:rPr>
          <w:rFonts w:asciiTheme="minorHAnsi" w:hAnsiTheme="minorHAnsi"/>
          <w:color w:val="000000" w:themeColor="text1"/>
          <w:sz w:val="24"/>
          <w:szCs w:val="24"/>
        </w:rPr>
        <w:t>se</w:t>
      </w:r>
      <w:r w:rsidR="00342F61" w:rsidRPr="00F85702">
        <w:rPr>
          <w:rFonts w:asciiTheme="minorHAnsi" w:hAnsiTheme="minorHAnsi"/>
          <w:color w:val="000000" w:themeColor="text1"/>
          <w:sz w:val="24"/>
          <w:szCs w:val="24"/>
        </w:rPr>
        <w:t>.</w:t>
      </w:r>
    </w:p>
    <w:p w14:paraId="1F9D16C3" w14:textId="5A7194EC" w:rsidR="00C73257" w:rsidRPr="00F85702" w:rsidRDefault="00C73257" w:rsidP="00F85702">
      <w:pPr>
        <w:pStyle w:val="p1"/>
        <w:spacing w:line="276" w:lineRule="auto"/>
        <w:rPr>
          <w:rFonts w:asciiTheme="minorHAnsi" w:hAnsiTheme="minorHAnsi"/>
          <w:color w:val="000000" w:themeColor="text1"/>
          <w:sz w:val="24"/>
          <w:szCs w:val="24"/>
        </w:rPr>
      </w:pPr>
    </w:p>
    <w:p w14:paraId="23FCBC4B" w14:textId="71798166" w:rsidR="001543EB" w:rsidRPr="00F85702" w:rsidRDefault="00061213" w:rsidP="00F85702">
      <w:pPr>
        <w:spacing w:line="276" w:lineRule="auto"/>
        <w:rPr>
          <w:b/>
        </w:rPr>
      </w:pPr>
      <w:r w:rsidRPr="00F85702">
        <w:rPr>
          <w:b/>
        </w:rPr>
        <w:t>Self-cultivation</w:t>
      </w:r>
    </w:p>
    <w:p w14:paraId="4DFCACAF" w14:textId="77777777" w:rsidR="00061213" w:rsidRPr="00F85702" w:rsidRDefault="00061213" w:rsidP="00F85702">
      <w:pPr>
        <w:spacing w:line="276" w:lineRule="auto"/>
      </w:pPr>
    </w:p>
    <w:p w14:paraId="10290486" w14:textId="1BEF0757" w:rsidR="000F586E" w:rsidRPr="00F85702" w:rsidRDefault="00CD2518" w:rsidP="00F85702">
      <w:pPr>
        <w:spacing w:line="276" w:lineRule="auto"/>
      </w:pPr>
      <w:r w:rsidRPr="00F85702">
        <w:t>S</w:t>
      </w:r>
      <w:r w:rsidR="00471A11" w:rsidRPr="00F85702">
        <w:t xml:space="preserve">elf-formation in education </w:t>
      </w:r>
      <w:r w:rsidRPr="00F85702">
        <w:t>is</w:t>
      </w:r>
      <w:r w:rsidR="00332DCC" w:rsidRPr="00F85702">
        <w:t xml:space="preserve"> taken up in </w:t>
      </w:r>
      <w:r w:rsidR="00471A11" w:rsidRPr="00F85702">
        <w:t xml:space="preserve">varying </w:t>
      </w:r>
      <w:r w:rsidR="00332DCC" w:rsidRPr="00F85702">
        <w:t>ways in different cultures.</w:t>
      </w:r>
      <w:r w:rsidR="00332DCC" w:rsidRPr="00F85702">
        <w:rPr>
          <w:rStyle w:val="FootnoteReference"/>
        </w:rPr>
        <w:footnoteReference w:id="28"/>
      </w:r>
      <w:r w:rsidR="00332DCC" w:rsidRPr="00F85702">
        <w:t xml:space="preserve"> </w:t>
      </w:r>
      <w:r w:rsidR="009B3D4A" w:rsidRPr="00F85702">
        <w:t>The old</w:t>
      </w:r>
      <w:r w:rsidR="004350D0" w:rsidRPr="00F85702">
        <w:t>er</w:t>
      </w:r>
      <w:r w:rsidR="009B3D4A" w:rsidRPr="00F85702">
        <w:t xml:space="preserve"> </w:t>
      </w:r>
      <w:r w:rsidR="002923E0" w:rsidRPr="00F85702">
        <w:t>practice</w:t>
      </w:r>
      <w:r w:rsidR="009B3D4A" w:rsidRPr="00F85702">
        <w:t xml:space="preserve"> </w:t>
      </w:r>
      <w:r w:rsidR="002923E0" w:rsidRPr="00F85702">
        <w:t>is</w:t>
      </w:r>
      <w:r w:rsidR="009D383A" w:rsidRPr="00F85702">
        <w:t xml:space="preserve"> </w:t>
      </w:r>
      <w:r w:rsidR="009B3D4A" w:rsidRPr="00F85702">
        <w:t>Confucian</w:t>
      </w:r>
      <w:r w:rsidR="009D383A" w:rsidRPr="00F85702">
        <w:t xml:space="preserve"> self-cultivation</w:t>
      </w:r>
      <w:r w:rsidR="00704BB6" w:rsidRPr="00F85702">
        <w:t>. Zhao and Deng</w:t>
      </w:r>
      <w:r w:rsidR="009B3D4A" w:rsidRPr="00F85702">
        <w:t xml:space="preserve"> state that</w:t>
      </w:r>
      <w:r w:rsidR="00B440FA" w:rsidRPr="00F85702">
        <w:t xml:space="preserve"> </w:t>
      </w:r>
      <w:r w:rsidR="009B3D4A" w:rsidRPr="00F85702">
        <w:t>‘the idea of person-making is at the heart of the Confucian heritage of educational thinking</w:t>
      </w:r>
      <w:r w:rsidR="003A6FE2" w:rsidRPr="00F85702">
        <w:t xml:space="preserve">. It is the </w:t>
      </w:r>
      <w:r w:rsidR="005E023A" w:rsidRPr="00F85702">
        <w:t>‘</w:t>
      </w:r>
      <w:r w:rsidR="003A6FE2" w:rsidRPr="00F85702">
        <w:t>precondition</w:t>
      </w:r>
      <w:r w:rsidR="00471A11" w:rsidRPr="00F85702">
        <w:t>’</w:t>
      </w:r>
      <w:r w:rsidR="003A6FE2" w:rsidRPr="00F85702">
        <w:t xml:space="preserve"> for </w:t>
      </w:r>
      <w:r w:rsidR="00471A11" w:rsidRPr="00F85702">
        <w:t>developi</w:t>
      </w:r>
      <w:r w:rsidR="003A6FE2" w:rsidRPr="00F85702">
        <w:t xml:space="preserve">ng </w:t>
      </w:r>
      <w:r w:rsidR="00471A11" w:rsidRPr="00F85702">
        <w:t>‘</w:t>
      </w:r>
      <w:r w:rsidR="003A6FE2" w:rsidRPr="00F85702">
        <w:t>the critical and creative potential of the individual and enabl</w:t>
      </w:r>
      <w:r w:rsidR="005E023A" w:rsidRPr="00F85702">
        <w:t xml:space="preserve">ing him or her to fulfil social… </w:t>
      </w:r>
      <w:r w:rsidR="003A6FE2" w:rsidRPr="00F85702">
        <w:t xml:space="preserve">functions.’ </w:t>
      </w:r>
      <w:r w:rsidR="0051120B" w:rsidRPr="00F85702">
        <w:t xml:space="preserve">In a comparison of self-formation East and West </w:t>
      </w:r>
      <w:r w:rsidR="00471A11" w:rsidRPr="00F85702">
        <w:t xml:space="preserve">Zhao and Biesta remark that the Confucian self is </w:t>
      </w:r>
      <w:r w:rsidR="005E023A" w:rsidRPr="00F85702">
        <w:t>never</w:t>
      </w:r>
      <w:r w:rsidR="00471A11" w:rsidRPr="00F85702">
        <w:t xml:space="preserve"> finished but engaged in continuous self-perfection</w:t>
      </w:r>
      <w:r w:rsidR="0051120B" w:rsidRPr="00F85702">
        <w:t>. Education cannot be separated from</w:t>
      </w:r>
      <w:r w:rsidR="00603C2D" w:rsidRPr="00F85702">
        <w:t xml:space="preserve"> ‘becoming an</w:t>
      </w:r>
      <w:r w:rsidR="0051120B" w:rsidRPr="00F85702">
        <w:t xml:space="preserve"> ideal and genuine human person.</w:t>
      </w:r>
      <w:r w:rsidR="00603C2D" w:rsidRPr="00F85702">
        <w:t>’</w:t>
      </w:r>
      <w:r w:rsidR="00603C2D" w:rsidRPr="00F85702">
        <w:rPr>
          <w:rStyle w:val="FootnoteReference"/>
        </w:rPr>
        <w:footnoteReference w:id="29"/>
      </w:r>
      <w:r w:rsidR="00603C2D" w:rsidRPr="00F85702">
        <w:t xml:space="preserve"> </w:t>
      </w:r>
      <w:r w:rsidR="004350D0" w:rsidRPr="00F85702">
        <w:t xml:space="preserve">Confucianism presents a view of </w:t>
      </w:r>
      <w:r w:rsidR="005E023A" w:rsidRPr="00F85702">
        <w:t>the</w:t>
      </w:r>
      <w:r w:rsidR="004350D0" w:rsidRPr="00F85702">
        <w:t xml:space="preserve"> self </w:t>
      </w:r>
      <w:r w:rsidR="005E023A" w:rsidRPr="00F85702">
        <w:t>‘</w:t>
      </w:r>
      <w:r w:rsidR="004350D0" w:rsidRPr="00F85702">
        <w:t>that is explicitly informed by a moral and ethical dimension.’</w:t>
      </w:r>
      <w:r w:rsidR="004350D0" w:rsidRPr="00F85702">
        <w:rPr>
          <w:rStyle w:val="FootnoteReference"/>
        </w:rPr>
        <w:footnoteReference w:id="30"/>
      </w:r>
      <w:r w:rsidR="004350D0" w:rsidRPr="00F85702">
        <w:t xml:space="preserve"> Classic Confucian education embodies a commitment to the common good. It also serves the state</w:t>
      </w:r>
      <w:r w:rsidR="005E023A" w:rsidRPr="00F85702">
        <w:t>. It</w:t>
      </w:r>
      <w:r w:rsidR="00471A11" w:rsidRPr="00F85702">
        <w:t xml:space="preserve"> </w:t>
      </w:r>
      <w:r w:rsidR="0051120B" w:rsidRPr="00F85702">
        <w:t>emphasises effective freedom and agency freedom more than freedom as control,</w:t>
      </w:r>
      <w:r w:rsidR="005E023A" w:rsidRPr="00F85702">
        <w:t xml:space="preserve"> independence from</w:t>
      </w:r>
      <w:r w:rsidR="0051120B" w:rsidRPr="00F85702">
        <w:t xml:space="preserve"> the state</w:t>
      </w:r>
      <w:r w:rsidR="005E023A" w:rsidRPr="00F85702">
        <w:t>,</w:t>
      </w:r>
      <w:r w:rsidR="0051120B" w:rsidRPr="00F85702">
        <w:t xml:space="preserve"> the main focus in </w:t>
      </w:r>
      <w:r w:rsidR="005E023A" w:rsidRPr="00F85702">
        <w:t>Anglo-American countries</w:t>
      </w:r>
      <w:r w:rsidR="004350D0" w:rsidRPr="00F85702">
        <w:t xml:space="preserve">. </w:t>
      </w:r>
    </w:p>
    <w:p w14:paraId="01F48769" w14:textId="64837C6A" w:rsidR="00357ED0" w:rsidRPr="00F85702" w:rsidRDefault="000F586E" w:rsidP="00F85702">
      <w:pPr>
        <w:spacing w:line="276" w:lineRule="auto"/>
        <w:ind w:firstLine="454"/>
      </w:pPr>
      <w:r w:rsidRPr="00F85702">
        <w:t xml:space="preserve">Dong Zhongshu, who established Confucianism as the theoretical foundation of the Han state, </w:t>
      </w:r>
      <w:r w:rsidR="005E023A" w:rsidRPr="00F85702">
        <w:t>p</w:t>
      </w:r>
      <w:r w:rsidR="00C8395D" w:rsidRPr="00F85702">
        <w:t>r</w:t>
      </w:r>
      <w:r w:rsidR="005E023A" w:rsidRPr="00F85702">
        <w:t>opos</w:t>
      </w:r>
      <w:r w:rsidRPr="00F85702">
        <w:t>ed the first imperial academy, Taixue, in 124 BCE.</w:t>
      </w:r>
      <w:r w:rsidR="00767A1E" w:rsidRPr="00F85702">
        <w:rPr>
          <w:rStyle w:val="FootnoteReference"/>
        </w:rPr>
        <w:footnoteReference w:id="31"/>
      </w:r>
      <w:r w:rsidRPr="00F85702">
        <w:t xml:space="preserve"> </w:t>
      </w:r>
      <w:r w:rsidR="009F79E5" w:rsidRPr="00F85702">
        <w:t>Traditional</w:t>
      </w:r>
      <w:r w:rsidRPr="00F85702">
        <w:t xml:space="preserve"> higher education in China</w:t>
      </w:r>
      <w:r w:rsidR="00FE029D" w:rsidRPr="00F85702">
        <w:t xml:space="preserve"> did not take the form of semi-autonomous universities </w:t>
      </w:r>
      <w:r w:rsidR="009F79E5" w:rsidRPr="00F85702">
        <w:t xml:space="preserve">as </w:t>
      </w:r>
      <w:r w:rsidR="00FE029D" w:rsidRPr="00F85702">
        <w:t>in Europe but</w:t>
      </w:r>
      <w:r w:rsidRPr="00F85702">
        <w:t xml:space="preserve"> </w:t>
      </w:r>
      <w:r w:rsidR="00767A1E" w:rsidRPr="00F85702">
        <w:t>channelled self-cultivation into</w:t>
      </w:r>
      <w:r w:rsidRPr="00F85702">
        <w:t xml:space="preserve"> training and selection </w:t>
      </w:r>
      <w:r w:rsidR="00767A1E" w:rsidRPr="00F85702">
        <w:t>for</w:t>
      </w:r>
      <w:r w:rsidRPr="00F85702">
        <w:t xml:space="preserve"> the state bureaucracy</w:t>
      </w:r>
      <w:r w:rsidR="00767A1E" w:rsidRPr="00F85702">
        <w:t xml:space="preserve">. </w:t>
      </w:r>
      <w:r w:rsidR="005E023A" w:rsidRPr="00F85702">
        <w:t>Yet t</w:t>
      </w:r>
      <w:r w:rsidR="0051120B" w:rsidRPr="00F85702">
        <w:t xml:space="preserve">he Confucian idea of </w:t>
      </w:r>
      <w:r w:rsidR="0051120B" w:rsidRPr="00F85702">
        <w:rPr>
          <w:i/>
        </w:rPr>
        <w:t>Ren</w:t>
      </w:r>
      <w:r w:rsidR="0051120B" w:rsidRPr="00F85702">
        <w:t xml:space="preserve">, humanity in the broad sense, is </w:t>
      </w:r>
      <w:r w:rsidR="005E023A" w:rsidRPr="00F85702">
        <w:t xml:space="preserve">also </w:t>
      </w:r>
      <w:r w:rsidR="0051120B" w:rsidRPr="00F85702">
        <w:t>at the heart of Chinese</w:t>
      </w:r>
      <w:r w:rsidR="00357ED0" w:rsidRPr="00F85702">
        <w:t xml:space="preserve"> self-formati</w:t>
      </w:r>
      <w:r w:rsidR="0051120B" w:rsidRPr="00F85702">
        <w:t>on</w:t>
      </w:r>
      <w:r w:rsidR="00357ED0" w:rsidRPr="00F85702">
        <w:t>.</w:t>
      </w:r>
      <w:r w:rsidR="0051120B" w:rsidRPr="00F85702">
        <w:t xml:space="preserve"> </w:t>
      </w:r>
      <w:r w:rsidR="00154D51" w:rsidRPr="00F85702">
        <w:t xml:space="preserve">Weiming Tu </w:t>
      </w:r>
      <w:r w:rsidR="00357ED0" w:rsidRPr="00F85702">
        <w:t xml:space="preserve">states that </w:t>
      </w:r>
      <w:r w:rsidR="00154D51" w:rsidRPr="00F85702">
        <w:t>‘the great strength of modern</w:t>
      </w:r>
      <w:r w:rsidR="00C43E6C" w:rsidRPr="00F85702">
        <w:t xml:space="preserve"> East Asia i</w:t>
      </w:r>
      <w:r w:rsidR="00154D51" w:rsidRPr="00F85702">
        <w:t>s its … self-definition as a learning civilization</w:t>
      </w:r>
      <w:r w:rsidR="00357ED0" w:rsidRPr="00F85702">
        <w:t>,</w:t>
      </w:r>
      <w:r w:rsidR="00C43E6C" w:rsidRPr="00F85702">
        <w:t xml:space="preserve">’ </w:t>
      </w:r>
      <w:r w:rsidR="00357ED0" w:rsidRPr="00F85702">
        <w:t>which</w:t>
      </w:r>
      <w:r w:rsidR="00C43E6C" w:rsidRPr="00F85702">
        <w:t xml:space="preserve"> </w:t>
      </w:r>
      <w:r w:rsidR="00252B54" w:rsidRPr="00F85702">
        <w:t xml:space="preserve">may be ‘the most precious legacy of Confucian </w:t>
      </w:r>
      <w:r w:rsidR="00252B54" w:rsidRPr="00F85702">
        <w:lastRenderedPageBreak/>
        <w:t>humanism’</w:t>
      </w:r>
      <w:r w:rsidR="00252B54" w:rsidRPr="00F85702">
        <w:rPr>
          <w:rStyle w:val="FootnoteReference"/>
        </w:rPr>
        <w:t xml:space="preserve"> </w:t>
      </w:r>
      <w:r w:rsidR="00252B54" w:rsidRPr="00F85702">
        <w:rPr>
          <w:rStyle w:val="FootnoteReference"/>
        </w:rPr>
        <w:footnoteReference w:id="32"/>
      </w:r>
      <w:r w:rsidR="00252B54" w:rsidRPr="00F85702">
        <w:t xml:space="preserve"> </w:t>
      </w:r>
      <w:r w:rsidR="00357ED0" w:rsidRPr="00F85702">
        <w:t xml:space="preserve">and shapes </w:t>
      </w:r>
      <w:r w:rsidR="005E023A" w:rsidRPr="00F85702">
        <w:t>Chinese</w:t>
      </w:r>
      <w:r w:rsidR="00357ED0" w:rsidRPr="00F85702">
        <w:t xml:space="preserve"> modernization.</w:t>
      </w:r>
      <w:r w:rsidR="00357ED0" w:rsidRPr="00F85702">
        <w:rPr>
          <w:rStyle w:val="FootnoteReference"/>
        </w:rPr>
        <w:footnoteReference w:id="33"/>
      </w:r>
      <w:r w:rsidR="00357ED0" w:rsidRPr="00F85702">
        <w:t xml:space="preserve"> </w:t>
      </w:r>
      <w:r w:rsidR="005E023A" w:rsidRPr="00F85702">
        <w:t>Others like</w:t>
      </w:r>
      <w:r w:rsidR="00A3110B" w:rsidRPr="00F85702">
        <w:t xml:space="preserve"> </w:t>
      </w:r>
      <w:r w:rsidR="005C311D" w:rsidRPr="00F85702">
        <w:t xml:space="preserve">Zhao and Deng question whether higher education </w:t>
      </w:r>
      <w:r w:rsidR="00357ED0" w:rsidRPr="00F85702">
        <w:t>has retained</w:t>
      </w:r>
      <w:r w:rsidR="005C311D" w:rsidRPr="00F85702">
        <w:t xml:space="preserve"> the classical commitment to </w:t>
      </w:r>
      <w:r w:rsidR="00357ED0" w:rsidRPr="00F85702">
        <w:t xml:space="preserve">holistic </w:t>
      </w:r>
      <w:r w:rsidR="005C311D" w:rsidRPr="00F85702">
        <w:t>person-forming</w:t>
      </w:r>
      <w:r w:rsidR="008C0579" w:rsidRPr="00F85702">
        <w:t>, or</w:t>
      </w:r>
      <w:r w:rsidR="008B6F99" w:rsidRPr="00F85702">
        <w:t xml:space="preserve"> has collapsed into </w:t>
      </w:r>
      <w:r w:rsidR="00357ED0" w:rsidRPr="00F85702">
        <w:t xml:space="preserve">economic utility and a focus on credentials rather than </w:t>
      </w:r>
      <w:r w:rsidR="00C43E6C" w:rsidRPr="00F85702">
        <w:t xml:space="preserve">learning </w:t>
      </w:r>
      <w:r w:rsidR="008B6F99" w:rsidRPr="00F85702">
        <w:t>content.</w:t>
      </w:r>
      <w:r w:rsidR="00693580" w:rsidRPr="00F85702">
        <w:rPr>
          <w:rStyle w:val="FootnoteReference"/>
        </w:rPr>
        <w:footnoteReference w:id="34"/>
      </w:r>
      <w:r w:rsidR="00252B54" w:rsidRPr="00F85702">
        <w:t xml:space="preserve"> </w:t>
      </w:r>
    </w:p>
    <w:p w14:paraId="5DFEF136" w14:textId="3DAA686E" w:rsidR="00324114" w:rsidRPr="00F85702" w:rsidRDefault="00357ED0" w:rsidP="00F85702">
      <w:pPr>
        <w:spacing w:line="276" w:lineRule="auto"/>
        <w:ind w:firstLine="454"/>
      </w:pPr>
      <w:r w:rsidRPr="00F85702">
        <w:t>This</w:t>
      </w:r>
      <w:r w:rsidR="006C3B84" w:rsidRPr="00F85702">
        <w:t xml:space="preserve"> </w:t>
      </w:r>
      <w:r w:rsidR="002923E0" w:rsidRPr="00F85702">
        <w:t>coincides with</w:t>
      </w:r>
      <w:r w:rsidRPr="00F85702">
        <w:t xml:space="preserve"> the</w:t>
      </w:r>
      <w:r w:rsidR="00C43E6C" w:rsidRPr="00F85702">
        <w:t xml:space="preserve"> </w:t>
      </w:r>
      <w:r w:rsidR="006C3B84" w:rsidRPr="00F85702">
        <w:t>critique</w:t>
      </w:r>
      <w:r w:rsidR="00C43E6C" w:rsidRPr="00F85702">
        <w:t xml:space="preserve"> </w:t>
      </w:r>
      <w:r w:rsidRPr="00F85702">
        <w:t xml:space="preserve">of instrumentalism </w:t>
      </w:r>
      <w:r w:rsidR="006C3B84" w:rsidRPr="00F85702">
        <w:t>in</w:t>
      </w:r>
      <w:r w:rsidR="00C43E6C" w:rsidRPr="00F85702">
        <w:t xml:space="preserve"> </w:t>
      </w:r>
      <w:r w:rsidR="008C0579" w:rsidRPr="00F85702">
        <w:t xml:space="preserve">the </w:t>
      </w:r>
      <w:r w:rsidR="00C43E6C" w:rsidRPr="00F85702">
        <w:t>West</w:t>
      </w:r>
      <w:r w:rsidR="008C0579" w:rsidRPr="00F85702">
        <w:t xml:space="preserve">. </w:t>
      </w:r>
      <w:r w:rsidR="009D383A" w:rsidRPr="00F85702">
        <w:t>At the same time</w:t>
      </w:r>
      <w:r w:rsidR="007E51A1" w:rsidRPr="00F85702">
        <w:t xml:space="preserve">, </w:t>
      </w:r>
      <w:r w:rsidR="006C3B84" w:rsidRPr="00F85702">
        <w:t>East-West convergence should not be overstated</w:t>
      </w:r>
      <w:r w:rsidR="008C0579" w:rsidRPr="00F85702">
        <w:t>. Jin Li</w:t>
      </w:r>
      <w:r w:rsidR="00D44063" w:rsidRPr="00F85702">
        <w:t xml:space="preserve"> </w:t>
      </w:r>
      <w:r w:rsidR="004A3329" w:rsidRPr="00F85702">
        <w:rPr>
          <w:iCs/>
        </w:rPr>
        <w:t xml:space="preserve">uses learner word association to compare beliefs about learning among students in China and the United States. The Americans were more reflexive about learner’s mental functioning, </w:t>
      </w:r>
      <w:r w:rsidR="00E218E3" w:rsidRPr="00F85702">
        <w:rPr>
          <w:iCs/>
        </w:rPr>
        <w:t xml:space="preserve">and </w:t>
      </w:r>
      <w:r w:rsidR="004A3329" w:rsidRPr="00F85702">
        <w:rPr>
          <w:iCs/>
        </w:rPr>
        <w:t xml:space="preserve">inquiry and imagination, and </w:t>
      </w:r>
      <w:r w:rsidR="00D1026F" w:rsidRPr="00F85702">
        <w:rPr>
          <w:iCs/>
        </w:rPr>
        <w:t xml:space="preserve">often cited </w:t>
      </w:r>
      <w:r w:rsidR="004A3329" w:rsidRPr="00F85702">
        <w:rPr>
          <w:iCs/>
        </w:rPr>
        <w:t xml:space="preserve">external conditions </w:t>
      </w:r>
      <w:r w:rsidR="00E218E3" w:rsidRPr="00F85702">
        <w:rPr>
          <w:iCs/>
        </w:rPr>
        <w:t>affect</w:t>
      </w:r>
      <w:r w:rsidR="00D1026F" w:rsidRPr="00F85702">
        <w:rPr>
          <w:iCs/>
        </w:rPr>
        <w:t>ing</w:t>
      </w:r>
      <w:r w:rsidR="004A3329" w:rsidRPr="00F85702">
        <w:rPr>
          <w:iCs/>
        </w:rPr>
        <w:t xml:space="preserve"> learning. The Chinese focused less on external conditions</w:t>
      </w:r>
      <w:r w:rsidR="00B516E3" w:rsidRPr="00F85702">
        <w:rPr>
          <w:iCs/>
        </w:rPr>
        <w:t>, and emphasised</w:t>
      </w:r>
      <w:r w:rsidR="004A3329" w:rsidRPr="00F85702">
        <w:rPr>
          <w:iCs/>
        </w:rPr>
        <w:t xml:space="preserve"> how learners acti</w:t>
      </w:r>
      <w:r w:rsidR="007E51A1" w:rsidRPr="00F85702">
        <w:rPr>
          <w:iCs/>
        </w:rPr>
        <w:t>vely seek learning on their own,</w:t>
      </w:r>
      <w:r w:rsidR="004A3329" w:rsidRPr="00F85702">
        <w:rPr>
          <w:iCs/>
        </w:rPr>
        <w:t xml:space="preserve"> </w:t>
      </w:r>
      <w:r w:rsidR="007E51A1" w:rsidRPr="00F85702">
        <w:rPr>
          <w:iCs/>
        </w:rPr>
        <w:t xml:space="preserve">underlining intrinsic motivation </w:t>
      </w:r>
      <w:r w:rsidR="00E218E3" w:rsidRPr="00F85702">
        <w:rPr>
          <w:iCs/>
        </w:rPr>
        <w:t>and learner agency</w:t>
      </w:r>
      <w:r w:rsidR="007E51A1" w:rsidRPr="00F85702">
        <w:rPr>
          <w:iCs/>
        </w:rPr>
        <w:t>.</w:t>
      </w:r>
      <w:r w:rsidR="00303150" w:rsidRPr="00F85702">
        <w:rPr>
          <w:rStyle w:val="FootnoteReference"/>
          <w:iCs/>
        </w:rPr>
        <w:footnoteReference w:id="35"/>
      </w:r>
      <w:r w:rsidR="007E51A1" w:rsidRPr="00F85702">
        <w:rPr>
          <w:iCs/>
        </w:rPr>
        <w:t xml:space="preserve"> </w:t>
      </w:r>
      <w:r w:rsidR="004A3329" w:rsidRPr="00F85702">
        <w:rPr>
          <w:iCs/>
        </w:rPr>
        <w:t xml:space="preserve">They were </w:t>
      </w:r>
      <w:r w:rsidR="00D1026F" w:rsidRPr="00F85702">
        <w:rPr>
          <w:iCs/>
        </w:rPr>
        <w:t xml:space="preserve">also </w:t>
      </w:r>
      <w:r w:rsidR="004A3329" w:rsidRPr="00F85702">
        <w:rPr>
          <w:iCs/>
        </w:rPr>
        <w:t>more normative, talking about learning in terms of attitudes and action, and hardship, and virtues such as diligence and steadfastness, terms that never surfaced in American talk.</w:t>
      </w:r>
      <w:r w:rsidR="005E7DE9" w:rsidRPr="00F85702">
        <w:rPr>
          <w:rStyle w:val="FootnoteReference"/>
          <w:iCs/>
        </w:rPr>
        <w:footnoteReference w:id="36"/>
      </w:r>
      <w:r w:rsidR="004A3329" w:rsidRPr="00F85702">
        <w:rPr>
          <w:iCs/>
        </w:rPr>
        <w:t xml:space="preserve"> The Chinese</w:t>
      </w:r>
      <w:r w:rsidR="009F79E5" w:rsidRPr="00F85702">
        <w:rPr>
          <w:iCs/>
        </w:rPr>
        <w:t xml:space="preserve"> saw </w:t>
      </w:r>
      <w:r w:rsidR="002923E0" w:rsidRPr="00F85702">
        <w:rPr>
          <w:iCs/>
        </w:rPr>
        <w:t xml:space="preserve">the practical </w:t>
      </w:r>
      <w:r w:rsidR="00B516E3" w:rsidRPr="00F85702">
        <w:rPr>
          <w:iCs/>
        </w:rPr>
        <w:t xml:space="preserve">purposes of higher education as important, yet </w:t>
      </w:r>
      <w:r w:rsidR="009F79E5" w:rsidRPr="00F85702">
        <w:rPr>
          <w:iCs/>
        </w:rPr>
        <w:t xml:space="preserve">learning and knowledge </w:t>
      </w:r>
      <w:r w:rsidR="00B516E3" w:rsidRPr="00F85702">
        <w:rPr>
          <w:iCs/>
        </w:rPr>
        <w:t>were also</w:t>
      </w:r>
      <w:r w:rsidR="009F79E5" w:rsidRPr="00F85702">
        <w:rPr>
          <w:iCs/>
        </w:rPr>
        <w:t xml:space="preserve"> ‘</w:t>
      </w:r>
      <w:r w:rsidR="004A3329" w:rsidRPr="00F85702">
        <w:rPr>
          <w:iCs/>
        </w:rPr>
        <w:t>indispensable to their personal lives</w:t>
      </w:r>
      <w:r w:rsidR="009F79E5" w:rsidRPr="00F85702">
        <w:rPr>
          <w:iCs/>
        </w:rPr>
        <w:t>’</w:t>
      </w:r>
      <w:r w:rsidR="004A3329" w:rsidRPr="00F85702">
        <w:rPr>
          <w:iCs/>
        </w:rPr>
        <w:t xml:space="preserve"> and the path to becoming a better person.</w:t>
      </w:r>
      <w:r w:rsidR="00E7721C" w:rsidRPr="00F85702">
        <w:rPr>
          <w:rStyle w:val="FootnoteReference"/>
          <w:iCs/>
        </w:rPr>
        <w:footnoteReference w:id="37"/>
      </w:r>
      <w:r w:rsidR="004A3329" w:rsidRPr="00F85702">
        <w:rPr>
          <w:iCs/>
        </w:rPr>
        <w:t xml:space="preserve"> </w:t>
      </w:r>
      <w:r w:rsidR="00D1026F" w:rsidRPr="00F85702">
        <w:rPr>
          <w:iCs/>
        </w:rPr>
        <w:t xml:space="preserve">This </w:t>
      </w:r>
      <w:r w:rsidR="002923E0" w:rsidRPr="00F85702">
        <w:rPr>
          <w:iCs/>
        </w:rPr>
        <w:t>suggest</w:t>
      </w:r>
      <w:r w:rsidR="00D1026F" w:rsidRPr="00F85702">
        <w:rPr>
          <w:iCs/>
        </w:rPr>
        <w:t>s</w:t>
      </w:r>
      <w:r w:rsidR="002923E0" w:rsidRPr="00F85702">
        <w:rPr>
          <w:iCs/>
        </w:rPr>
        <w:t xml:space="preserve"> </w:t>
      </w:r>
      <w:r w:rsidR="009462F7" w:rsidRPr="00F85702">
        <w:rPr>
          <w:iCs/>
        </w:rPr>
        <w:t xml:space="preserve">there has been no broad-based evacuation of </w:t>
      </w:r>
      <w:r w:rsidR="002923E0" w:rsidRPr="00F85702">
        <w:rPr>
          <w:iCs/>
        </w:rPr>
        <w:t>traditional Confucian practices</w:t>
      </w:r>
      <w:r w:rsidR="00B516E3" w:rsidRPr="00F85702">
        <w:rPr>
          <w:iCs/>
        </w:rPr>
        <w:t xml:space="preserve">. </w:t>
      </w:r>
      <w:r w:rsidR="00182D0A" w:rsidRPr="00F85702">
        <w:t>Anne Shostya</w:t>
      </w:r>
      <w:r w:rsidR="00D1026F" w:rsidRPr="00F85702">
        <w:t xml:space="preserve"> compares</w:t>
      </w:r>
      <w:r w:rsidR="00182D0A" w:rsidRPr="00F85702">
        <w:t xml:space="preserve"> business students in New York and Shanghai</w:t>
      </w:r>
      <w:r w:rsidR="00C8395D" w:rsidRPr="00F85702">
        <w:t>. O</w:t>
      </w:r>
      <w:r w:rsidR="00541CCA" w:rsidRPr="00F85702">
        <w:t xml:space="preserve">utside </w:t>
      </w:r>
      <w:r w:rsidR="00B516E3" w:rsidRPr="00F85702">
        <w:t xml:space="preserve">class </w:t>
      </w:r>
      <w:r w:rsidR="00541CCA" w:rsidRPr="00F85702">
        <w:t xml:space="preserve">the Chinese students spent an average of 9.6 hours per week in reading and 22.3 hours in study, compared to American students’ 4.4 hours reading and 9.1 </w:t>
      </w:r>
      <w:r w:rsidR="00B516E3" w:rsidRPr="00F85702">
        <w:t xml:space="preserve">hours </w:t>
      </w:r>
      <w:r w:rsidR="00541CCA" w:rsidRPr="00F85702">
        <w:t>study.</w:t>
      </w:r>
      <w:r w:rsidR="00E218E3" w:rsidRPr="00F85702">
        <w:rPr>
          <w:rStyle w:val="FootnoteReference"/>
        </w:rPr>
        <w:footnoteReference w:id="38"/>
      </w:r>
      <w:r w:rsidR="00541CCA" w:rsidRPr="00F85702">
        <w:t xml:space="preserve"> Chinese students are more focused </w:t>
      </w:r>
      <w:r w:rsidR="009462F7" w:rsidRPr="00F85702">
        <w:t xml:space="preserve">than their American counterparts </w:t>
      </w:r>
      <w:r w:rsidR="00541CCA" w:rsidRPr="00F85702">
        <w:t>on the work of ‘self on self’</w:t>
      </w:r>
      <w:r w:rsidR="009462F7" w:rsidRPr="00F85702">
        <w:t>, albeit partly mediated by educational instituti</w:t>
      </w:r>
      <w:r w:rsidR="00C8395D" w:rsidRPr="00F85702">
        <w:t>ons, curricula and examinations</w:t>
      </w:r>
      <w:r w:rsidR="00541CCA" w:rsidRPr="00F85702">
        <w:t>.</w:t>
      </w:r>
    </w:p>
    <w:p w14:paraId="2F5B42DB" w14:textId="57D8EBEF" w:rsidR="006046F1" w:rsidRPr="00F85702" w:rsidRDefault="002923E0" w:rsidP="00F85702">
      <w:pPr>
        <w:spacing w:line="276" w:lineRule="auto"/>
      </w:pPr>
      <w:r w:rsidRPr="00F85702">
        <w:tab/>
      </w:r>
      <w:r w:rsidR="00C8395D" w:rsidRPr="00F85702">
        <w:t xml:space="preserve">Now to Bildung. </w:t>
      </w:r>
      <w:r w:rsidR="00E06B67" w:rsidRPr="00F85702">
        <w:t xml:space="preserve">One translation of the German word </w:t>
      </w:r>
      <w:r w:rsidR="00C8395D" w:rsidRPr="00F85702">
        <w:t>is</w:t>
      </w:r>
      <w:r w:rsidR="00E06B67" w:rsidRPr="00F85702">
        <w:t xml:space="preserve"> ‘self-formation’, along with ‘development’ and ‘inner cultivation’</w:t>
      </w:r>
      <w:r w:rsidR="00C8395D" w:rsidRPr="00F85702">
        <w:t>. I</w:t>
      </w:r>
      <w:r w:rsidR="00E06B67" w:rsidRPr="00F85702">
        <w:t xml:space="preserve">t is larger than each and includes them all. </w:t>
      </w:r>
      <w:r w:rsidR="00E06B67" w:rsidRPr="00F85702">
        <w:rPr>
          <w:rStyle w:val="FootnoteReference"/>
        </w:rPr>
        <w:footnoteReference w:id="39"/>
      </w:r>
      <w:r w:rsidR="00E06B67" w:rsidRPr="00F85702">
        <w:t xml:space="preserve"> </w:t>
      </w:r>
      <w:r w:rsidR="0017529C" w:rsidRPr="00F85702">
        <w:t xml:space="preserve">Bildung </w:t>
      </w:r>
      <w:r w:rsidR="00C8395D" w:rsidRPr="00F85702">
        <w:t>is</w:t>
      </w:r>
      <w:r w:rsidR="0017529C" w:rsidRPr="00F85702">
        <w:t xml:space="preserve"> root</w:t>
      </w:r>
      <w:r w:rsidR="00C8395D" w:rsidRPr="00F85702">
        <w:t>ed</w:t>
      </w:r>
      <w:r w:rsidR="0017529C" w:rsidRPr="00F85702">
        <w:t xml:space="preserve"> in the Enlightenment thought of Immanuel Kant, Jean-Jacques Rousseau and others. </w:t>
      </w:r>
      <w:r w:rsidR="002767D2" w:rsidRPr="00F85702">
        <w:t>Kant</w:t>
      </w:r>
      <w:r w:rsidR="006046F1" w:rsidRPr="00F85702">
        <w:t>’s</w:t>
      </w:r>
      <w:r w:rsidR="002767D2" w:rsidRPr="00F85702">
        <w:t xml:space="preserve"> </w:t>
      </w:r>
      <w:r w:rsidR="008F4E28" w:rsidRPr="00F85702">
        <w:t>definition of the</w:t>
      </w:r>
      <w:r w:rsidR="002767D2" w:rsidRPr="00F85702">
        <w:t xml:space="preserve"> Enlightenment </w:t>
      </w:r>
      <w:r w:rsidR="00C8395D" w:rsidRPr="00F85702">
        <w:t>i</w:t>
      </w:r>
      <w:r w:rsidR="002767D2" w:rsidRPr="00F85702">
        <w:t xml:space="preserve">s ‘man’s release from his self-incurred tutelage through the exercise of his own understanding’. </w:t>
      </w:r>
      <w:r w:rsidR="00C8395D" w:rsidRPr="00F85702">
        <w:t>The role of e</w:t>
      </w:r>
      <w:r w:rsidR="002767D2" w:rsidRPr="00F85702">
        <w:t xml:space="preserve">ducation </w:t>
      </w:r>
      <w:r w:rsidR="00C8395D" w:rsidRPr="00F85702">
        <w:t>i</w:t>
      </w:r>
      <w:r w:rsidR="002767D2" w:rsidRPr="00F85702">
        <w:t>s to cultivate the inner self in intellectual and ethical terms, to form citizens in public rationality for the emerging civil society.</w:t>
      </w:r>
      <w:r w:rsidR="008534A2" w:rsidRPr="00F85702">
        <w:rPr>
          <w:rStyle w:val="FootnoteReference"/>
        </w:rPr>
        <w:footnoteReference w:id="40"/>
      </w:r>
      <w:r w:rsidR="002767D2" w:rsidRPr="00F85702">
        <w:t xml:space="preserve"> </w:t>
      </w:r>
      <w:r w:rsidR="000519B5" w:rsidRPr="00F85702">
        <w:t>Bildung</w:t>
      </w:r>
      <w:r w:rsidR="00C8395D" w:rsidRPr="00F85702">
        <w:t>, said Kant,</w:t>
      </w:r>
      <w:r w:rsidR="000519B5" w:rsidRPr="00F85702">
        <w:t xml:space="preserve"> </w:t>
      </w:r>
      <w:r w:rsidR="00C8395D" w:rsidRPr="00F85702">
        <w:t>will</w:t>
      </w:r>
      <w:r w:rsidR="000519B5" w:rsidRPr="00F85702">
        <w:t xml:space="preserve"> not </w:t>
      </w:r>
      <w:r w:rsidR="00C8395D" w:rsidRPr="00F85702">
        <w:t>happen</w:t>
      </w:r>
      <w:r w:rsidR="000519B5" w:rsidRPr="00F85702">
        <w:t xml:space="preserve"> by itself. </w:t>
      </w:r>
      <w:r w:rsidR="00C8395D" w:rsidRPr="00F85702">
        <w:t xml:space="preserve">Reason will not emerge spontaneously. It rests on training and teaching. </w:t>
      </w:r>
      <w:r w:rsidR="006046F1" w:rsidRPr="00F85702">
        <w:t xml:space="preserve">Education </w:t>
      </w:r>
      <w:r w:rsidR="00C8395D" w:rsidRPr="00F85702">
        <w:t>i</w:t>
      </w:r>
      <w:r w:rsidR="006046F1" w:rsidRPr="00F85702">
        <w:t>s ‘the crucial element for evolving humanity</w:t>
      </w:r>
      <w:r w:rsidR="00C8395D" w:rsidRPr="00F85702">
        <w:t>’ and sustaining progress</w:t>
      </w:r>
      <w:r w:rsidR="006046F1" w:rsidRPr="00F85702">
        <w:t xml:space="preserve">, </w:t>
      </w:r>
      <w:r w:rsidR="00C8395D" w:rsidRPr="00F85702">
        <w:t>not just in every individual</w:t>
      </w:r>
      <w:r w:rsidR="006046F1" w:rsidRPr="00F85702">
        <w:t xml:space="preserve"> </w:t>
      </w:r>
      <w:r w:rsidR="00C8395D" w:rsidRPr="00F85702">
        <w:t>‘</w:t>
      </w:r>
      <w:r w:rsidR="006046F1" w:rsidRPr="00F85702">
        <w:t>but also on the collective level.’</w:t>
      </w:r>
      <w:r w:rsidR="006046F1" w:rsidRPr="00F85702">
        <w:rPr>
          <w:rStyle w:val="FootnoteReference"/>
        </w:rPr>
        <w:footnoteReference w:id="41"/>
      </w:r>
      <w:r w:rsidR="006046F1" w:rsidRPr="00F85702">
        <w:t xml:space="preserve"> </w:t>
      </w:r>
    </w:p>
    <w:p w14:paraId="5E993058" w14:textId="7827C90D" w:rsidR="00BD52E7" w:rsidRPr="00F85702" w:rsidRDefault="000C5790" w:rsidP="00F85702">
      <w:pPr>
        <w:spacing w:line="276" w:lineRule="auto"/>
        <w:ind w:firstLine="454"/>
      </w:pPr>
      <w:r w:rsidRPr="00F85702">
        <w:lastRenderedPageBreak/>
        <w:t>Bildung</w:t>
      </w:r>
      <w:r w:rsidR="002767D2" w:rsidRPr="00F85702">
        <w:t xml:space="preserve"> </w:t>
      </w:r>
      <w:r w:rsidR="00C8395D" w:rsidRPr="00F85702">
        <w:t xml:space="preserve">resembled Confucian self-cultivation as </w:t>
      </w:r>
      <w:r w:rsidR="002767D2" w:rsidRPr="00F85702">
        <w:t xml:space="preserve">a holistic project with a strong moral dimension </w:t>
      </w:r>
      <w:r w:rsidRPr="00F85702">
        <w:t>to</w:t>
      </w:r>
      <w:r w:rsidR="002767D2" w:rsidRPr="00F85702">
        <w:t xml:space="preserve"> systematic learning practices, </w:t>
      </w:r>
      <w:r w:rsidR="000519B5" w:rsidRPr="00F85702">
        <w:t>though</w:t>
      </w:r>
      <w:r w:rsidR="002767D2" w:rsidRPr="00F85702">
        <w:t xml:space="preserve"> </w:t>
      </w:r>
      <w:r w:rsidRPr="00F85702">
        <w:t>Bildung</w:t>
      </w:r>
      <w:r w:rsidR="000B596C" w:rsidRPr="00F85702">
        <w:t xml:space="preserve"> placed</w:t>
      </w:r>
      <w:r w:rsidRPr="00F85702">
        <w:t xml:space="preserve"> greater emphasis on the </w:t>
      </w:r>
      <w:r w:rsidR="000B596C" w:rsidRPr="00F85702">
        <w:t>autonomous</w:t>
      </w:r>
      <w:r w:rsidRPr="00F85702">
        <w:t xml:space="preserve"> </w:t>
      </w:r>
      <w:r w:rsidR="000B596C" w:rsidRPr="00F85702">
        <w:t>will,</w:t>
      </w:r>
      <w:r w:rsidRPr="00F85702">
        <w:t xml:space="preserve"> on agency freedom</w:t>
      </w:r>
      <w:r w:rsidRPr="00F85702">
        <w:rPr>
          <w:rStyle w:val="FootnoteReference"/>
        </w:rPr>
        <w:footnoteReference w:id="42"/>
      </w:r>
      <w:r w:rsidRPr="00F85702">
        <w:t xml:space="preserve"> and </w:t>
      </w:r>
      <w:r w:rsidR="00E510A3" w:rsidRPr="00F85702">
        <w:t>freedom as control</w:t>
      </w:r>
      <w:r w:rsidR="00C8395D" w:rsidRPr="00F85702">
        <w:t xml:space="preserve">, </w:t>
      </w:r>
      <w:r w:rsidR="00176197" w:rsidRPr="00F85702">
        <w:t>and</w:t>
      </w:r>
      <w:r w:rsidR="00E510A3" w:rsidRPr="00F85702">
        <w:t xml:space="preserve"> </w:t>
      </w:r>
      <w:r w:rsidR="002767D2" w:rsidRPr="00F85702">
        <w:t xml:space="preserve">focused on civil society </w:t>
      </w:r>
      <w:r w:rsidR="00C8395D" w:rsidRPr="00F85702">
        <w:t>not</w:t>
      </w:r>
      <w:r w:rsidR="002767D2" w:rsidRPr="00F85702">
        <w:t xml:space="preserve"> the state</w:t>
      </w:r>
      <w:r w:rsidR="008F4E28" w:rsidRPr="00F85702">
        <w:t xml:space="preserve">. </w:t>
      </w:r>
      <w:r w:rsidR="006046F1" w:rsidRPr="00F85702">
        <w:t>Kant emphasised the need for people to learn to think independently without guidance from the authorities.</w:t>
      </w:r>
      <w:r w:rsidR="006046F1" w:rsidRPr="00F85702">
        <w:rPr>
          <w:rStyle w:val="FootnoteReference"/>
        </w:rPr>
        <w:footnoteReference w:id="43"/>
      </w:r>
      <w:r w:rsidR="006046F1" w:rsidRPr="00F85702">
        <w:t xml:space="preserve"> </w:t>
      </w:r>
      <w:r w:rsidR="001F0D20" w:rsidRPr="00F85702">
        <w:t>T</w:t>
      </w:r>
      <w:r w:rsidR="00BC7DF4" w:rsidRPr="00F85702">
        <w:t xml:space="preserve">he universal curriculum </w:t>
      </w:r>
      <w:r w:rsidR="001F0D20" w:rsidRPr="00F85702">
        <w:t xml:space="preserve">also </w:t>
      </w:r>
      <w:r w:rsidR="00BC7DF4" w:rsidRPr="00F85702">
        <w:t xml:space="preserve">offered a potential escape from the limiting effects of social background. </w:t>
      </w:r>
      <w:r w:rsidR="000519B5" w:rsidRPr="00F85702">
        <w:t>Nevertheless,</w:t>
      </w:r>
      <w:r w:rsidR="00E510A3" w:rsidRPr="00F85702">
        <w:t xml:space="preserve"> </w:t>
      </w:r>
      <w:r w:rsidR="00BC7DF4" w:rsidRPr="00F85702">
        <w:t>like Confucianism</w:t>
      </w:r>
      <w:r w:rsidR="00371442" w:rsidRPr="00F85702">
        <w:t xml:space="preserve"> </w:t>
      </w:r>
      <w:r w:rsidR="001F0D20" w:rsidRPr="00F85702">
        <w:t>under the</w:t>
      </w:r>
      <w:r w:rsidR="00371442" w:rsidRPr="00F85702">
        <w:t xml:space="preserve"> Han dynasty</w:t>
      </w:r>
      <w:r w:rsidR="00BC7DF4" w:rsidRPr="00F85702">
        <w:t xml:space="preserve">, </w:t>
      </w:r>
      <w:r w:rsidR="006046F1" w:rsidRPr="00F85702">
        <w:t xml:space="preserve">Bildung </w:t>
      </w:r>
      <w:r w:rsidR="001F0D20" w:rsidRPr="00F85702">
        <w:t>was</w:t>
      </w:r>
      <w:r w:rsidR="004B674E" w:rsidRPr="00F85702">
        <w:t xml:space="preserve"> </w:t>
      </w:r>
      <w:r w:rsidR="002767D2" w:rsidRPr="00F85702">
        <w:t>turned to nation-building</w:t>
      </w:r>
      <w:r w:rsidR="00BC7DF4" w:rsidRPr="00F85702">
        <w:t>, for example</w:t>
      </w:r>
      <w:r w:rsidR="002767D2" w:rsidRPr="00F85702">
        <w:t xml:space="preserve"> Wilhelm von Humboldt’s </w:t>
      </w:r>
      <w:r w:rsidR="00F26021" w:rsidRPr="00F85702">
        <w:t>U</w:t>
      </w:r>
      <w:r w:rsidR="002767D2" w:rsidRPr="00F85702">
        <w:t>niversity</w:t>
      </w:r>
      <w:r w:rsidR="00F26021" w:rsidRPr="00F85702">
        <w:t xml:space="preserve"> of Berlin</w:t>
      </w:r>
      <w:r w:rsidR="001F0D20" w:rsidRPr="00F85702">
        <w:t>,</w:t>
      </w:r>
      <w:r w:rsidR="00F26021" w:rsidRPr="00F85702">
        <w:rPr>
          <w:rStyle w:val="FootnoteReference"/>
        </w:rPr>
        <w:footnoteReference w:id="44"/>
      </w:r>
      <w:r w:rsidR="00F26021" w:rsidRPr="00F85702">
        <w:t xml:space="preserve"> </w:t>
      </w:r>
      <w:r w:rsidR="001F0D20" w:rsidRPr="00F85702">
        <w:t>which he placed</w:t>
      </w:r>
      <w:r w:rsidR="00F26021" w:rsidRPr="00F85702">
        <w:t xml:space="preserve"> at the service of the state. </w:t>
      </w:r>
      <w:r w:rsidR="001F0D20" w:rsidRPr="00F85702">
        <w:t>Von Humboldt</w:t>
      </w:r>
      <w:r w:rsidR="00F26021" w:rsidRPr="00F85702">
        <w:t xml:space="preserve"> s</w:t>
      </w:r>
      <w:r w:rsidR="004B674E" w:rsidRPr="00F85702">
        <w:t xml:space="preserve">ought to preserve the original </w:t>
      </w:r>
      <w:r w:rsidR="006046F1" w:rsidRPr="00F85702">
        <w:t>idea</w:t>
      </w:r>
      <w:r w:rsidR="004B674E" w:rsidRPr="00F85702">
        <w:t xml:space="preserve"> </w:t>
      </w:r>
      <w:r w:rsidR="00371442" w:rsidRPr="00F85702">
        <w:t xml:space="preserve">of education free </w:t>
      </w:r>
      <w:r w:rsidR="001F0D20" w:rsidRPr="00F85702">
        <w:t>of external</w:t>
      </w:r>
      <w:r w:rsidR="00371442" w:rsidRPr="00F85702">
        <w:t xml:space="preserve"> constraints </w:t>
      </w:r>
      <w:r w:rsidR="004B674E" w:rsidRPr="00F85702">
        <w:t xml:space="preserve">by prescribing </w:t>
      </w:r>
      <w:r w:rsidR="00371442" w:rsidRPr="00F85702">
        <w:t xml:space="preserve">full </w:t>
      </w:r>
      <w:r w:rsidR="004B674E" w:rsidRPr="00F85702">
        <w:t xml:space="preserve">university autonomy and the freedom to learn and teach. </w:t>
      </w:r>
      <w:r w:rsidR="001F0D20" w:rsidRPr="00F85702">
        <w:t>A</w:t>
      </w:r>
      <w:r w:rsidR="00F93A1F" w:rsidRPr="00F85702">
        <w:t xml:space="preserve">cademics </w:t>
      </w:r>
      <w:r w:rsidR="001F0D20" w:rsidRPr="00F85702">
        <w:t>still</w:t>
      </w:r>
      <w:r w:rsidR="00F93A1F" w:rsidRPr="00F85702">
        <w:t xml:space="preserve"> defend their self-determination by invoking the </w:t>
      </w:r>
      <w:r w:rsidR="00371442" w:rsidRPr="00F85702">
        <w:t xml:space="preserve">global culture </w:t>
      </w:r>
      <w:r w:rsidR="00F93A1F" w:rsidRPr="00F85702">
        <w:t>of the Humboldtian university</w:t>
      </w:r>
      <w:r w:rsidR="001F0D20" w:rsidRPr="00F85702">
        <w:t>,</w:t>
      </w:r>
      <w:r w:rsidR="00F93A1F" w:rsidRPr="00F85702">
        <w:rPr>
          <w:rStyle w:val="FootnoteReference"/>
        </w:rPr>
        <w:footnoteReference w:id="45"/>
      </w:r>
      <w:r w:rsidR="001F0D20" w:rsidRPr="00F85702">
        <w:t xml:space="preserve"> but focus</w:t>
      </w:r>
      <w:r w:rsidR="00F93A1F" w:rsidRPr="00F85702">
        <w:t xml:space="preserve"> on the control freedom of academic</w:t>
      </w:r>
      <w:r w:rsidR="001F0D20" w:rsidRPr="00F85702">
        <w:t>s,</w:t>
      </w:r>
      <w:r w:rsidR="00F93A1F" w:rsidRPr="00F85702">
        <w:t xml:space="preserve"> </w:t>
      </w:r>
      <w:r w:rsidR="00371442" w:rsidRPr="00F85702">
        <w:t>not</w:t>
      </w:r>
      <w:r w:rsidR="00F93A1F" w:rsidRPr="00F85702">
        <w:t xml:space="preserve"> the self-formation of autonomous student</w:t>
      </w:r>
      <w:r w:rsidR="001F0D20" w:rsidRPr="00F85702">
        <w:t>s</w:t>
      </w:r>
      <w:r w:rsidR="00F93A1F" w:rsidRPr="00F85702">
        <w:t>.</w:t>
      </w:r>
      <w:r w:rsidR="00BC7DF4" w:rsidRPr="00F85702">
        <w:t xml:space="preserve"> </w:t>
      </w:r>
    </w:p>
    <w:p w14:paraId="35E07E9B" w14:textId="5281AA05" w:rsidR="00BD52E7" w:rsidRPr="00F85702" w:rsidRDefault="00395C2B" w:rsidP="00F85702">
      <w:pPr>
        <w:spacing w:line="276" w:lineRule="auto"/>
      </w:pPr>
      <w:r w:rsidRPr="00F85702">
        <w:tab/>
        <w:t xml:space="preserve">Bildung implies an educational process dedicated to being and becoming, to open-ended </w:t>
      </w:r>
      <w:r w:rsidR="008858CE" w:rsidRPr="00F85702">
        <w:t xml:space="preserve">human potential, not </w:t>
      </w:r>
      <w:r w:rsidRPr="00F85702">
        <w:t>static measures of skills and knowledge</w:t>
      </w:r>
      <w:r w:rsidR="000B596C" w:rsidRPr="00F85702">
        <w:t>.</w:t>
      </w:r>
      <w:r w:rsidRPr="00F85702">
        <w:t xml:space="preserve"> </w:t>
      </w:r>
      <w:r w:rsidR="008858CE" w:rsidRPr="00F85702">
        <w:t>Its notion of perfectibility resembles Confucian self-cultivation in that the goal is never achieved. Rather,</w:t>
      </w:r>
      <w:r w:rsidR="000D01E3" w:rsidRPr="00F85702">
        <w:t xml:space="preserve"> self-formation opens new horizons as it proceeds</w:t>
      </w:r>
      <w:r w:rsidR="008858CE" w:rsidRPr="00F85702">
        <w:t xml:space="preserve">; </w:t>
      </w:r>
      <w:r w:rsidR="001F0D20" w:rsidRPr="00F85702">
        <w:t>and</w:t>
      </w:r>
      <w:r w:rsidR="008858CE" w:rsidRPr="00F85702">
        <w:t xml:space="preserve"> t</w:t>
      </w:r>
      <w:r w:rsidR="000D01E3" w:rsidRPr="00F85702">
        <w:t>he educability of the self-forming learner expand</w:t>
      </w:r>
      <w:r w:rsidR="001F0D20" w:rsidRPr="00F85702">
        <w:t>s continually</w:t>
      </w:r>
      <w:r w:rsidR="000D01E3" w:rsidRPr="00F85702">
        <w:t>.</w:t>
      </w:r>
      <w:r w:rsidR="000D01E3" w:rsidRPr="00F85702">
        <w:rPr>
          <w:rStyle w:val="FootnoteReference"/>
        </w:rPr>
        <w:footnoteReference w:id="46"/>
      </w:r>
      <w:r w:rsidR="000D01E3" w:rsidRPr="00F85702">
        <w:t xml:space="preserve"> </w:t>
      </w:r>
      <w:r w:rsidR="00B048E0" w:rsidRPr="00F85702">
        <w:t xml:space="preserve">Teaching </w:t>
      </w:r>
      <w:r w:rsidR="00F114B2" w:rsidRPr="00F85702">
        <w:t xml:space="preserve">and learning </w:t>
      </w:r>
      <w:r w:rsidR="00B048E0" w:rsidRPr="00F85702">
        <w:t>cannot be exhaustively defin</w:t>
      </w:r>
      <w:r w:rsidR="00F114B2" w:rsidRPr="00F85702">
        <w:t>ed in terms of cause and effect, for t</w:t>
      </w:r>
      <w:r w:rsidR="00B048E0" w:rsidRPr="00F85702">
        <w:t>here is always ‘an open independent space’, independent of the teacher, for self-formation by the student.</w:t>
      </w:r>
      <w:r w:rsidR="00B048E0" w:rsidRPr="00F85702">
        <w:rPr>
          <w:rStyle w:val="FootnoteReference"/>
        </w:rPr>
        <w:footnoteReference w:id="47"/>
      </w:r>
      <w:r w:rsidR="00B048E0" w:rsidRPr="00F85702">
        <w:t xml:space="preserve"> This is </w:t>
      </w:r>
      <w:r w:rsidR="00F114B2" w:rsidRPr="00F85702">
        <w:t xml:space="preserve">only </w:t>
      </w:r>
      <w:r w:rsidR="00B048E0" w:rsidRPr="00F85702">
        <w:t xml:space="preserve">a partial space. Teaching, educational structures and the larger socio-cultural world </w:t>
      </w:r>
      <w:r w:rsidR="001F0D20" w:rsidRPr="00F85702">
        <w:t>still</w:t>
      </w:r>
      <w:r w:rsidR="00B048E0" w:rsidRPr="00F85702">
        <w:t xml:space="preserve"> matter. </w:t>
      </w:r>
      <w:r w:rsidRPr="00F85702">
        <w:t xml:space="preserve">The </w:t>
      </w:r>
      <w:r w:rsidR="000519B5" w:rsidRPr="00F85702">
        <w:t xml:space="preserve">core notion of Bildung, of educational subjects </w:t>
      </w:r>
      <w:r w:rsidR="001F0D20" w:rsidRPr="00F85702">
        <w:t xml:space="preserve">that </w:t>
      </w:r>
      <w:r w:rsidR="00B048E0" w:rsidRPr="00F85702">
        <w:t>shap</w:t>
      </w:r>
      <w:r w:rsidR="001F0D20" w:rsidRPr="00F85702">
        <w:t>e</w:t>
      </w:r>
      <w:r w:rsidR="000519B5" w:rsidRPr="00F85702">
        <w:t xml:space="preserve"> themselves through their own actions,</w:t>
      </w:r>
      <w:r w:rsidR="000519B5" w:rsidRPr="00F85702">
        <w:rPr>
          <w:rStyle w:val="FootnoteReference"/>
        </w:rPr>
        <w:footnoteReference w:id="48"/>
      </w:r>
      <w:r w:rsidR="000519B5" w:rsidRPr="00F85702">
        <w:t xml:space="preserve"> retains vitality</w:t>
      </w:r>
      <w:r w:rsidR="00B048E0" w:rsidRPr="00F85702">
        <w:t xml:space="preserve">—though </w:t>
      </w:r>
      <w:r w:rsidR="001F0D20" w:rsidRPr="00F85702">
        <w:t xml:space="preserve">its </w:t>
      </w:r>
      <w:r w:rsidR="000519B5" w:rsidRPr="00F85702">
        <w:t>contemporary</w:t>
      </w:r>
      <w:r w:rsidR="000B596C" w:rsidRPr="00F85702">
        <w:t xml:space="preserve"> </w:t>
      </w:r>
      <w:r w:rsidRPr="00F85702">
        <w:t>advo</w:t>
      </w:r>
      <w:r w:rsidR="000B596C" w:rsidRPr="00F85702">
        <w:t xml:space="preserve">cates </w:t>
      </w:r>
      <w:r w:rsidR="001F0D20" w:rsidRPr="00F85702">
        <w:t>place more emphasis than their forebears on</w:t>
      </w:r>
      <w:r w:rsidR="000B596C" w:rsidRPr="00F85702">
        <w:t xml:space="preserve"> practices that recognise diversity.</w:t>
      </w:r>
      <w:r w:rsidR="000B596C" w:rsidRPr="00F85702">
        <w:rPr>
          <w:rStyle w:val="FootnoteReference"/>
        </w:rPr>
        <w:footnoteReference w:id="49"/>
      </w:r>
    </w:p>
    <w:p w14:paraId="5308A2E4" w14:textId="0AC46D16" w:rsidR="00A63B3A" w:rsidRPr="00F85702" w:rsidRDefault="00A63B3A" w:rsidP="00F85702">
      <w:pPr>
        <w:spacing w:line="276" w:lineRule="auto"/>
        <w:ind w:firstLine="454"/>
      </w:pPr>
      <w:r w:rsidRPr="00F85702">
        <w:t>The American pragmatists</w:t>
      </w:r>
      <w:r w:rsidR="00526321" w:rsidRPr="00F85702">
        <w:t xml:space="preserve"> </w:t>
      </w:r>
      <w:r w:rsidR="007A5BB6" w:rsidRPr="00F85702">
        <w:t>who were influenced by</w:t>
      </w:r>
      <w:r w:rsidR="00F60F19" w:rsidRPr="00F85702">
        <w:t xml:space="preserve"> Bildung</w:t>
      </w:r>
      <w:r w:rsidR="007A5BB6" w:rsidRPr="00F85702">
        <w:t>, also saw</w:t>
      </w:r>
      <w:r w:rsidR="00F60F19" w:rsidRPr="00F85702">
        <w:t xml:space="preserve"> the formation of free autonomous </w:t>
      </w:r>
      <w:r w:rsidR="007A5BB6" w:rsidRPr="00F85702">
        <w:t>persons</w:t>
      </w:r>
      <w:r w:rsidR="00F60F19" w:rsidRPr="00F85702">
        <w:t xml:space="preserve"> as central</w:t>
      </w:r>
      <w:r w:rsidR="007A5BB6" w:rsidRPr="00F85702">
        <w:t>.</w:t>
      </w:r>
      <w:r w:rsidR="00F60F19" w:rsidRPr="00F85702">
        <w:t xml:space="preserve"> </w:t>
      </w:r>
      <w:r w:rsidR="00526321" w:rsidRPr="00F85702">
        <w:rPr>
          <w:rFonts w:cs="Times New Roman"/>
        </w:rPr>
        <w:t xml:space="preserve">Dewey’s </w:t>
      </w:r>
      <w:r w:rsidR="00526321" w:rsidRPr="00F85702">
        <w:rPr>
          <w:rFonts w:cs="Times New Roman"/>
          <w:i/>
        </w:rPr>
        <w:t>Democracy and Education</w:t>
      </w:r>
      <w:r w:rsidR="00526321" w:rsidRPr="00F85702">
        <w:rPr>
          <w:rFonts w:cs="Times New Roman"/>
        </w:rPr>
        <w:t xml:space="preserve"> </w:t>
      </w:r>
      <w:r w:rsidR="007A5BB6" w:rsidRPr="00F85702">
        <w:rPr>
          <w:rFonts w:cs="Times New Roman"/>
        </w:rPr>
        <w:t>is</w:t>
      </w:r>
      <w:r w:rsidR="00526321" w:rsidRPr="00F85702">
        <w:rPr>
          <w:rFonts w:cs="Times New Roman"/>
        </w:rPr>
        <w:t xml:space="preserve"> a </w:t>
      </w:r>
      <w:r w:rsidR="007A5BB6" w:rsidRPr="00F85702">
        <w:rPr>
          <w:rFonts w:cs="Times New Roman"/>
        </w:rPr>
        <w:t>‘</w:t>
      </w:r>
      <w:r w:rsidR="00526321" w:rsidRPr="00F85702">
        <w:rPr>
          <w:rFonts w:cs="Times New Roman"/>
        </w:rPr>
        <w:t>theory of Bildung’, especially where he writes about ‘self-discipline’ and a curriculum of ‘humanistic and naturalistic studies.’</w:t>
      </w:r>
      <w:r w:rsidR="00526321" w:rsidRPr="00F85702">
        <w:rPr>
          <w:rStyle w:val="FootnoteReference"/>
          <w:rFonts w:cs="Times New Roman"/>
        </w:rPr>
        <w:footnoteReference w:id="50"/>
      </w:r>
      <w:r w:rsidR="00526321" w:rsidRPr="00F85702">
        <w:rPr>
          <w:rFonts w:cs="Times New Roman"/>
        </w:rPr>
        <w:t xml:space="preserve"> </w:t>
      </w:r>
      <w:r w:rsidR="007A5BB6" w:rsidRPr="00F85702">
        <w:t xml:space="preserve">The pragmatists also gave </w:t>
      </w:r>
      <w:r w:rsidRPr="00F85702">
        <w:t xml:space="preserve">self-formation </w:t>
      </w:r>
      <w:r w:rsidR="007A5BB6" w:rsidRPr="00F85702">
        <w:t>their own</w:t>
      </w:r>
      <w:r w:rsidRPr="00F85702">
        <w:t xml:space="preserve"> twist. </w:t>
      </w:r>
      <w:r w:rsidR="002B63E4" w:rsidRPr="00F85702">
        <w:t>Their central principle was growth.</w:t>
      </w:r>
      <w:r w:rsidR="008858CE" w:rsidRPr="00F85702">
        <w:rPr>
          <w:rStyle w:val="FootnoteReference"/>
        </w:rPr>
        <w:footnoteReference w:id="51"/>
      </w:r>
      <w:r w:rsidR="002B63E4" w:rsidRPr="00F85702">
        <w:t xml:space="preserve"> M</w:t>
      </w:r>
      <w:r w:rsidRPr="00F85702">
        <w:t xml:space="preserve">ental formation </w:t>
      </w:r>
      <w:r w:rsidR="007A5BB6" w:rsidRPr="00F85702">
        <w:t>occurred via</w:t>
      </w:r>
      <w:r w:rsidRPr="00F85702">
        <w:t xml:space="preserve"> </w:t>
      </w:r>
      <w:r w:rsidR="008858CE" w:rsidRPr="00F85702">
        <w:t xml:space="preserve">activity and </w:t>
      </w:r>
      <w:r w:rsidRPr="00F85702">
        <w:t>experience</w:t>
      </w:r>
      <w:r w:rsidR="002B63E4" w:rsidRPr="00F85702">
        <w:t>, in natural and cultural environments</w:t>
      </w:r>
      <w:r w:rsidR="007A5BB6" w:rsidRPr="00F85702">
        <w:t>, through shared language and learned reflexivity</w:t>
      </w:r>
      <w:r w:rsidRPr="00F85702">
        <w:t>.</w:t>
      </w:r>
      <w:r w:rsidR="002B63E4" w:rsidRPr="00F85702">
        <w:rPr>
          <w:rStyle w:val="FootnoteReference"/>
        </w:rPr>
        <w:footnoteReference w:id="52"/>
      </w:r>
      <w:r w:rsidRPr="00F85702">
        <w:t xml:space="preserve"> </w:t>
      </w:r>
      <w:r w:rsidR="00A45459" w:rsidRPr="00F85702">
        <w:t xml:space="preserve">More recent </w:t>
      </w:r>
      <w:r w:rsidR="007A5BB6" w:rsidRPr="00F85702">
        <w:t xml:space="preserve">versions </w:t>
      </w:r>
      <w:r w:rsidR="00A45459" w:rsidRPr="00F85702">
        <w:t xml:space="preserve">of pragmatism have partly shifted the balance from </w:t>
      </w:r>
      <w:r w:rsidR="007A5BB6" w:rsidRPr="00F85702">
        <w:t xml:space="preserve">teaching to </w:t>
      </w:r>
      <w:r w:rsidR="00A45459" w:rsidRPr="00F85702">
        <w:t>the self-</w:t>
      </w:r>
      <w:r w:rsidR="007A5BB6" w:rsidRPr="00F85702">
        <w:t>regulating self-</w:t>
      </w:r>
      <w:r w:rsidR="00A45459" w:rsidRPr="00F85702">
        <w:t>forming learner.</w:t>
      </w:r>
      <w:r w:rsidR="00A45459" w:rsidRPr="00F85702">
        <w:rPr>
          <w:rStyle w:val="FootnoteReference"/>
        </w:rPr>
        <w:footnoteReference w:id="53"/>
      </w:r>
      <w:r w:rsidR="00A45459" w:rsidRPr="00F85702">
        <w:t xml:space="preserve"> </w:t>
      </w:r>
    </w:p>
    <w:p w14:paraId="782C635F" w14:textId="70D3A004" w:rsidR="00F114B2" w:rsidRPr="00F85702" w:rsidRDefault="007A5BB6" w:rsidP="00F85702">
      <w:pPr>
        <w:spacing w:line="276" w:lineRule="auto"/>
        <w:ind w:firstLine="454"/>
      </w:pPr>
      <w:r w:rsidRPr="00F85702">
        <w:lastRenderedPageBreak/>
        <w:t>T</w:t>
      </w:r>
      <w:r w:rsidR="008636D1" w:rsidRPr="00F85702">
        <w:t xml:space="preserve">wo factors </w:t>
      </w:r>
      <w:r w:rsidR="00342B75" w:rsidRPr="00F85702">
        <w:t>distinguish</w:t>
      </w:r>
      <w:r w:rsidR="008636D1" w:rsidRPr="00F85702">
        <w:t xml:space="preserve"> self-formation in </w:t>
      </w:r>
      <w:r w:rsidR="00B56489" w:rsidRPr="00F85702">
        <w:t xml:space="preserve">higher </w:t>
      </w:r>
      <w:r w:rsidR="00F114B2" w:rsidRPr="00F85702">
        <w:t>e</w:t>
      </w:r>
      <w:r w:rsidR="008636D1" w:rsidRPr="00F85702">
        <w:t xml:space="preserve">ducation </w:t>
      </w:r>
      <w:r w:rsidR="00342B75" w:rsidRPr="00F85702">
        <w:t>from the other sites of self-formation</w:t>
      </w:r>
      <w:r w:rsidRPr="00F85702">
        <w:t>:</w:t>
      </w:r>
      <w:r w:rsidR="008636D1" w:rsidRPr="00F85702">
        <w:t xml:space="preserve"> </w:t>
      </w:r>
      <w:r w:rsidRPr="00F85702">
        <w:t>academic</w:t>
      </w:r>
      <w:r w:rsidR="00F114B2" w:rsidRPr="00F85702">
        <w:t xml:space="preserve"> teach</w:t>
      </w:r>
      <w:r w:rsidRPr="00F85702">
        <w:t>ing</w:t>
      </w:r>
      <w:r w:rsidR="00342B75" w:rsidRPr="00F85702">
        <w:t>,</w:t>
      </w:r>
      <w:r w:rsidR="00B56489" w:rsidRPr="00F85702">
        <w:t xml:space="preserve"> and </w:t>
      </w:r>
      <w:r w:rsidR="008636D1" w:rsidRPr="00F85702">
        <w:t>immersion in knowledge</w:t>
      </w:r>
      <w:r w:rsidR="00AC3A58" w:rsidRPr="00F85702">
        <w:t>s</w:t>
      </w:r>
      <w:r w:rsidR="00F114B2" w:rsidRPr="00F85702">
        <w:t xml:space="preserve">. Kant noted the paradox </w:t>
      </w:r>
      <w:r w:rsidR="00AC3A58" w:rsidRPr="00F85702">
        <w:t xml:space="preserve">inherent in </w:t>
      </w:r>
      <w:r w:rsidR="00F114B2" w:rsidRPr="00F85702">
        <w:t>teaching</w:t>
      </w:r>
      <w:r w:rsidR="00AC3A58" w:rsidRPr="00F85702">
        <w:t xml:space="preserve"> self-formation</w:t>
      </w:r>
      <w:r w:rsidR="00F114B2" w:rsidRPr="00F85702">
        <w:t>: ‘How is it possible to cultivate freedom by coercion?’</w:t>
      </w:r>
      <w:r w:rsidR="00F114B2" w:rsidRPr="00F85702">
        <w:rPr>
          <w:rStyle w:val="FootnoteReference"/>
        </w:rPr>
        <w:footnoteReference w:id="54"/>
      </w:r>
      <w:r w:rsidR="00F114B2" w:rsidRPr="00F85702">
        <w:t xml:space="preserve"> </w:t>
      </w:r>
      <w:r w:rsidRPr="00F85702">
        <w:t>T</w:t>
      </w:r>
      <w:r w:rsidR="00AC3A58" w:rsidRPr="00F85702">
        <w:t xml:space="preserve">he </w:t>
      </w:r>
      <w:r w:rsidRPr="00F85702">
        <w:t>dilemma</w:t>
      </w:r>
      <w:r w:rsidR="00B56489" w:rsidRPr="00F85702">
        <w:t xml:space="preserve"> is less pressing in higher education</w:t>
      </w:r>
      <w:r w:rsidRPr="00F85702">
        <w:t xml:space="preserve">, where </w:t>
      </w:r>
      <w:r w:rsidR="00F114B2" w:rsidRPr="00F85702">
        <w:t xml:space="preserve">the teacher </w:t>
      </w:r>
      <w:r w:rsidRPr="00F85702">
        <w:t>is</w:t>
      </w:r>
      <w:r w:rsidR="00F114B2" w:rsidRPr="00F85702">
        <w:t xml:space="preserve"> </w:t>
      </w:r>
      <w:r w:rsidR="00B56489" w:rsidRPr="00F85702">
        <w:t>the</w:t>
      </w:r>
      <w:r w:rsidR="00F114B2" w:rsidRPr="00F85702">
        <w:t xml:space="preserve"> facilitat</w:t>
      </w:r>
      <w:r w:rsidR="00B56489" w:rsidRPr="00F85702">
        <w:t>or of already autonomous learners</w:t>
      </w:r>
      <w:r w:rsidR="00F114B2" w:rsidRPr="00F85702">
        <w:t xml:space="preserve">. </w:t>
      </w:r>
      <w:r w:rsidR="00342B75" w:rsidRPr="00F85702">
        <w:t>I</w:t>
      </w:r>
      <w:r w:rsidR="00B56489" w:rsidRPr="00F85702">
        <w:t>mmersion in knowledge is the more important signifier of higher education</w:t>
      </w:r>
      <w:r w:rsidR="00AC3A58" w:rsidRPr="00F85702">
        <w:t>—even though</w:t>
      </w:r>
      <w:r w:rsidRPr="00F85702">
        <w:t xml:space="preserve"> knowledge is underplayed in policy</w:t>
      </w:r>
      <w:r w:rsidR="00B56489" w:rsidRPr="00F85702">
        <w:t>.</w:t>
      </w:r>
      <w:r w:rsidR="00B56489" w:rsidRPr="00F85702">
        <w:rPr>
          <w:rStyle w:val="FootnoteReference"/>
        </w:rPr>
        <w:footnoteReference w:id="55"/>
      </w:r>
      <w:r w:rsidR="00B56489" w:rsidRPr="00F85702">
        <w:t xml:space="preserve"> </w:t>
      </w:r>
      <w:r w:rsidR="002B74A8" w:rsidRPr="00F85702">
        <w:t>Referencing Basil Bernstein,</w:t>
      </w:r>
      <w:r w:rsidR="002B74A8" w:rsidRPr="00F85702">
        <w:rPr>
          <w:rStyle w:val="FootnoteReference"/>
        </w:rPr>
        <w:footnoteReference w:id="56"/>
      </w:r>
      <w:r w:rsidR="002B74A8" w:rsidRPr="00F85702">
        <w:t xml:space="preserve"> </w:t>
      </w:r>
      <w:r w:rsidRPr="00F85702">
        <w:t xml:space="preserve">Paul </w:t>
      </w:r>
      <w:r w:rsidR="002B74A8" w:rsidRPr="00F85702">
        <w:t>Ashwin focuses on transitions between ‘knowledge-as research, knowledge-as-curriculum and kno</w:t>
      </w:r>
      <w:r w:rsidR="00F626BF" w:rsidRPr="00F85702">
        <w:t>wledge-as-student-understanding</w:t>
      </w:r>
      <w:r w:rsidR="002B74A8" w:rsidRPr="00F85702">
        <w:t>’</w:t>
      </w:r>
      <w:r w:rsidR="00F626BF" w:rsidRPr="00F85702">
        <w:t xml:space="preserve">. </w:t>
      </w:r>
      <w:r w:rsidR="002B74A8" w:rsidRPr="00F85702">
        <w:t xml:space="preserve">Tracking these transitions empirically </w:t>
      </w:r>
      <w:r w:rsidRPr="00F85702">
        <w:t>is</w:t>
      </w:r>
      <w:r w:rsidR="002B74A8" w:rsidRPr="00F85702">
        <w:t xml:space="preserve"> </w:t>
      </w:r>
      <w:r w:rsidRPr="00F85702">
        <w:t>‘</w:t>
      </w:r>
      <w:r w:rsidR="002B74A8" w:rsidRPr="00F85702">
        <w:t>a powerful way of gaining a sense of the transformative power of higher education</w:t>
      </w:r>
      <w:r w:rsidR="0010007F" w:rsidRPr="00F85702">
        <w:t xml:space="preserve"> because it</w:t>
      </w:r>
      <w:r w:rsidR="002B74A8" w:rsidRPr="00F85702">
        <w:t xml:space="preserve"> brings into focus the ways in which higher education transforms students’ understanding and identities’</w:t>
      </w:r>
      <w:r w:rsidR="006150A4" w:rsidRPr="00F85702">
        <w:rPr>
          <w:rStyle w:val="FootnoteReference"/>
        </w:rPr>
        <w:footnoteReference w:id="57"/>
      </w:r>
      <w:r w:rsidR="002B74A8" w:rsidRPr="00F85702">
        <w:t xml:space="preserve"> </w:t>
      </w:r>
      <w:r w:rsidR="00467AEB" w:rsidRPr="00F85702">
        <w:t>(</w:t>
      </w:r>
      <w:r w:rsidR="002B74A8" w:rsidRPr="00F85702">
        <w:t xml:space="preserve">or </w:t>
      </w:r>
      <w:r w:rsidR="00467AEB" w:rsidRPr="00F85702">
        <w:t>the way</w:t>
      </w:r>
      <w:r w:rsidR="002B74A8" w:rsidRPr="00F85702">
        <w:t xml:space="preserve"> </w:t>
      </w:r>
      <w:r w:rsidR="0010007F" w:rsidRPr="00F85702">
        <w:t xml:space="preserve">that </w:t>
      </w:r>
      <w:r w:rsidR="002B74A8" w:rsidRPr="00F85702">
        <w:t>students transform themselves</w:t>
      </w:r>
      <w:r w:rsidR="00467AEB" w:rsidRPr="00F85702">
        <w:t>)</w:t>
      </w:r>
      <w:r w:rsidR="002B74A8" w:rsidRPr="00F85702">
        <w:t xml:space="preserve">. </w:t>
      </w:r>
      <w:r w:rsidR="006150A4" w:rsidRPr="00F85702">
        <w:t>Working within particular bodies of knowledge, students acquire different ‘gazes’ and ‘lenses’ required to access that knowledge,</w:t>
      </w:r>
      <w:r w:rsidR="006150A4" w:rsidRPr="00F85702">
        <w:rPr>
          <w:rStyle w:val="FootnoteReference"/>
        </w:rPr>
        <w:footnoteReference w:id="58"/>
      </w:r>
      <w:r w:rsidR="006150A4" w:rsidRPr="00F85702">
        <w:t xml:space="preserve"> and </w:t>
      </w:r>
      <w:r w:rsidR="00467AEB" w:rsidRPr="00F85702">
        <w:t>often</w:t>
      </w:r>
      <w:r w:rsidR="006150A4" w:rsidRPr="00F85702">
        <w:t xml:space="preserve"> acquire distinctive values associated with the discipline. Each body of knowledge leaves distinctive traces </w:t>
      </w:r>
      <w:r w:rsidR="00467AEB" w:rsidRPr="00F85702">
        <w:t>in</w:t>
      </w:r>
      <w:r w:rsidR="006150A4" w:rsidRPr="00F85702">
        <w:t xml:space="preserve"> self-formation.</w:t>
      </w:r>
      <w:r w:rsidR="006733DF" w:rsidRPr="00F85702">
        <w:t xml:space="preserve"> In a study of sociology students’ accounts of their discipline, Paul Ashwin, Andrea Abbas and Monica McLean demonstrate that most students move to a more relational understanding </w:t>
      </w:r>
      <w:r w:rsidR="00467AEB" w:rsidRPr="00F85702">
        <w:t>over time</w:t>
      </w:r>
      <w:r w:rsidR="006733DF" w:rsidRPr="00F85702">
        <w:t>.</w:t>
      </w:r>
      <w:r w:rsidR="006733DF" w:rsidRPr="00F85702">
        <w:rPr>
          <w:rStyle w:val="FootnoteReference"/>
        </w:rPr>
        <w:footnoteReference w:id="59"/>
      </w:r>
      <w:r w:rsidR="006733DF" w:rsidRPr="00F85702">
        <w:t xml:space="preserve"> They cite Dubet’s comment that students ‘form themselves through the meaning they attribute to knowledge.’</w:t>
      </w:r>
      <w:r w:rsidR="006733DF" w:rsidRPr="00F85702">
        <w:rPr>
          <w:rStyle w:val="FootnoteReference"/>
        </w:rPr>
        <w:footnoteReference w:id="60"/>
      </w:r>
      <w:r w:rsidR="00943D7F" w:rsidRPr="00F85702">
        <w:t xml:space="preserve"> The researchers also find engaging with knowledge alone is not sufficient to secure transform</w:t>
      </w:r>
      <w:r w:rsidR="00467AEB" w:rsidRPr="00F85702">
        <w:t>ed</w:t>
      </w:r>
      <w:r w:rsidR="00943D7F" w:rsidRPr="00F85702">
        <w:t xml:space="preserve"> </w:t>
      </w:r>
      <w:r w:rsidR="00467AEB" w:rsidRPr="00F85702">
        <w:t>student</w:t>
      </w:r>
      <w:r w:rsidR="00943D7F" w:rsidRPr="00F85702">
        <w:t xml:space="preserve"> perspective</w:t>
      </w:r>
      <w:r w:rsidR="00467AEB" w:rsidRPr="00F85702">
        <w:t>s</w:t>
      </w:r>
      <w:r w:rsidR="00943D7F" w:rsidRPr="00F85702">
        <w:t xml:space="preserve">. ‘There also needs to be an alignment between students’ personal projects and the focus of disciplinary </w:t>
      </w:r>
      <w:r w:rsidR="00097FF3" w:rsidRPr="00F85702">
        <w:t>knowledge</w:t>
      </w:r>
      <w:r w:rsidR="00943D7F" w:rsidRPr="00F85702">
        <w:t>’</w:t>
      </w:r>
      <w:r w:rsidR="00943D7F" w:rsidRPr="00F85702">
        <w:rPr>
          <w:rStyle w:val="FootnoteReference"/>
        </w:rPr>
        <w:footnoteReference w:id="61"/>
      </w:r>
      <w:r w:rsidR="00097FF3" w:rsidRPr="00F85702">
        <w:t xml:space="preserve">, which highlights </w:t>
      </w:r>
      <w:r w:rsidR="00467AEB" w:rsidRPr="00F85702">
        <w:t xml:space="preserve">the role of </w:t>
      </w:r>
      <w:r w:rsidR="00097FF3" w:rsidRPr="00F85702">
        <w:t>agency freedom.</w:t>
      </w:r>
      <w:r w:rsidR="00943D7F" w:rsidRPr="00F85702">
        <w:t xml:space="preserve"> </w:t>
      </w:r>
      <w:r w:rsidR="00097FF3" w:rsidRPr="00F85702">
        <w:t>Ashwin and McVitty note that while ‘knowledge transforms students as they engage with it… students also transform knowledge as they make sense of it.’</w:t>
      </w:r>
      <w:r w:rsidR="00097FF3" w:rsidRPr="00F85702">
        <w:rPr>
          <w:rStyle w:val="FootnoteReference"/>
        </w:rPr>
        <w:footnoteReference w:id="62"/>
      </w:r>
      <w:r w:rsidR="00097FF3" w:rsidRPr="00F85702">
        <w:t xml:space="preserve"> </w:t>
      </w:r>
      <w:r w:rsidR="00943D7F" w:rsidRPr="00F85702">
        <w:t xml:space="preserve">The </w:t>
      </w:r>
      <w:r w:rsidR="00467AEB" w:rsidRPr="00F85702">
        <w:t xml:space="preserve">mutual </w:t>
      </w:r>
      <w:r w:rsidR="00943D7F" w:rsidRPr="00F85702">
        <w:t>transformat</w:t>
      </w:r>
      <w:r w:rsidR="00467AEB" w:rsidRPr="00F85702">
        <w:t>ions of</w:t>
      </w:r>
      <w:r w:rsidR="00943D7F" w:rsidRPr="00F85702">
        <w:t xml:space="preserve"> </w:t>
      </w:r>
      <w:r w:rsidR="00097FF3" w:rsidRPr="00F85702">
        <w:t xml:space="preserve">subjects/ </w:t>
      </w:r>
      <w:r w:rsidR="00943D7F" w:rsidRPr="00F85702">
        <w:t xml:space="preserve">knowledge </w:t>
      </w:r>
      <w:r w:rsidR="00097FF3" w:rsidRPr="00F85702">
        <w:t>are</w:t>
      </w:r>
      <w:r w:rsidR="00943D7F" w:rsidRPr="00F85702">
        <w:t xml:space="preserve"> a rich domain for </w:t>
      </w:r>
      <w:r w:rsidR="00467AEB" w:rsidRPr="00F85702">
        <w:t>inquiry.</w:t>
      </w:r>
    </w:p>
    <w:p w14:paraId="1BBE2E51" w14:textId="77777777" w:rsidR="008636D1" w:rsidRPr="00F85702" w:rsidRDefault="008636D1" w:rsidP="00F85702">
      <w:pPr>
        <w:spacing w:line="276" w:lineRule="auto"/>
      </w:pPr>
    </w:p>
    <w:p w14:paraId="63E832AC" w14:textId="632CB686" w:rsidR="00A63B3A" w:rsidRPr="00F85702" w:rsidRDefault="00A76065" w:rsidP="00F85702">
      <w:pPr>
        <w:spacing w:line="276" w:lineRule="auto"/>
        <w:rPr>
          <w:b/>
        </w:rPr>
      </w:pPr>
      <w:r w:rsidRPr="00F85702">
        <w:rPr>
          <w:b/>
        </w:rPr>
        <w:t xml:space="preserve">Social </w:t>
      </w:r>
      <w:r w:rsidR="008636D1" w:rsidRPr="00F85702">
        <w:rPr>
          <w:b/>
        </w:rPr>
        <w:t xml:space="preserve">formation </w:t>
      </w:r>
    </w:p>
    <w:p w14:paraId="4461FFF9" w14:textId="77777777" w:rsidR="008636D1" w:rsidRPr="00F85702" w:rsidRDefault="008636D1" w:rsidP="00F85702">
      <w:pPr>
        <w:spacing w:line="276" w:lineRule="auto"/>
      </w:pPr>
    </w:p>
    <w:p w14:paraId="3C738F3E" w14:textId="36E01720" w:rsidR="008636D1" w:rsidRPr="00F85702" w:rsidRDefault="000B5D66" w:rsidP="00F85702">
      <w:pPr>
        <w:spacing w:line="276" w:lineRule="auto"/>
      </w:pPr>
      <w:r w:rsidRPr="00F85702">
        <w:lastRenderedPageBreak/>
        <w:t>The s</w:t>
      </w:r>
      <w:r w:rsidRPr="00F85702">
        <w:rPr>
          <w:rFonts w:cs="Times New Roman"/>
        </w:rPr>
        <w:t xml:space="preserve">tudent self is continuously created in a shifting combination of (a) given material conditions, (b) social relations in which the student is embedded and a partner in making, and (c) the agency freedom or active will of the student. </w:t>
      </w:r>
      <w:r w:rsidRPr="00F85702">
        <w:t xml:space="preserve">All student self-formation is historically grounded and subject to relations of power, and like all localised practices is specific to contexts. </w:t>
      </w:r>
      <w:r w:rsidR="00260570" w:rsidRPr="00F85702">
        <w:t xml:space="preserve">What then can be said in general? </w:t>
      </w:r>
      <w:r w:rsidR="00F01C77" w:rsidRPr="00F85702">
        <w:t>Though the idea of self-formation</w:t>
      </w:r>
      <w:r w:rsidR="00260570" w:rsidRPr="00F85702">
        <w:t xml:space="preserve"> is not hegemonic, </w:t>
      </w:r>
      <w:r w:rsidR="00F01C77" w:rsidRPr="00F85702">
        <w:t xml:space="preserve">it is well understood in different parts of the world. </w:t>
      </w:r>
      <w:r w:rsidR="00A76065" w:rsidRPr="00F85702">
        <w:t xml:space="preserve">The more </w:t>
      </w:r>
      <w:r w:rsidR="00260570" w:rsidRPr="00F85702">
        <w:t xml:space="preserve">difficult </w:t>
      </w:r>
      <w:r w:rsidR="00A76065" w:rsidRPr="00F85702">
        <w:t>issue is socially nested self-formation</w:t>
      </w:r>
      <w:r w:rsidR="00260570" w:rsidRPr="00F85702">
        <w:t>—</w:t>
      </w:r>
      <w:r w:rsidR="00A76065" w:rsidRPr="00F85702">
        <w:t>the relation</w:t>
      </w:r>
      <w:r w:rsidR="00F01C77" w:rsidRPr="00F85702">
        <w:t>s</w:t>
      </w:r>
      <w:r w:rsidR="00A76065" w:rsidRPr="00F85702">
        <w:t xml:space="preserve"> between self-formation in higher education and the social setting, </w:t>
      </w:r>
      <w:r w:rsidRPr="00F85702">
        <w:t xml:space="preserve">and </w:t>
      </w:r>
      <w:r w:rsidR="00F01C77" w:rsidRPr="00F85702">
        <w:t>the</w:t>
      </w:r>
      <w:r w:rsidRPr="00F85702">
        <w:t xml:space="preserve"> </w:t>
      </w:r>
      <w:r w:rsidR="00F01C77" w:rsidRPr="00F85702">
        <w:t xml:space="preserve">higher education’s </w:t>
      </w:r>
      <w:r w:rsidRPr="00F85702">
        <w:t>role</w:t>
      </w:r>
      <w:r w:rsidR="00F01C77" w:rsidRPr="00F85702">
        <w:t xml:space="preserve"> </w:t>
      </w:r>
      <w:r w:rsidRPr="00F85702">
        <w:t xml:space="preserve">in </w:t>
      </w:r>
      <w:r w:rsidR="00A76065" w:rsidRPr="00F85702">
        <w:t xml:space="preserve">social formation. </w:t>
      </w:r>
      <w:r w:rsidR="00AD637D" w:rsidRPr="00F85702">
        <w:t xml:space="preserve">This is often seen as a normative question—what kind of social relations or values should </w:t>
      </w:r>
      <w:r w:rsidR="00F01C77" w:rsidRPr="00F85702">
        <w:t>enter</w:t>
      </w:r>
      <w:r w:rsidR="00AD637D" w:rsidRPr="00F85702">
        <w:t xml:space="preserve"> educational self-formation?</w:t>
      </w:r>
      <w:r w:rsidR="007E1C8E" w:rsidRPr="00F85702">
        <w:rPr>
          <w:rStyle w:val="FootnoteReference"/>
        </w:rPr>
        <w:footnoteReference w:id="63"/>
      </w:r>
      <w:r w:rsidR="00AD637D" w:rsidRPr="00F85702">
        <w:t xml:space="preserve"> </w:t>
      </w:r>
      <w:r w:rsidR="00F01C77" w:rsidRPr="00F85702">
        <w:t>Yet i</w:t>
      </w:r>
      <w:r w:rsidR="00AD637D" w:rsidRPr="00F85702">
        <w:t>t is also empirical—what social relations optimise self-formation, and also vice versa?</w:t>
      </w:r>
    </w:p>
    <w:p w14:paraId="2D0F25C7" w14:textId="58C6BEF5" w:rsidR="000F067A" w:rsidRPr="00F85702" w:rsidRDefault="00A76065" w:rsidP="00F85702">
      <w:pPr>
        <w:spacing w:line="276" w:lineRule="auto"/>
      </w:pPr>
      <w:r w:rsidRPr="00F85702">
        <w:tab/>
      </w:r>
      <w:r w:rsidR="00FA4288" w:rsidRPr="00F85702">
        <w:t xml:space="preserve">In </w:t>
      </w:r>
      <w:r w:rsidR="00AD637D" w:rsidRPr="00F85702">
        <w:t>Lev Vygotsky’s</w:t>
      </w:r>
      <w:r w:rsidR="00FA4288" w:rsidRPr="00F85702">
        <w:t xml:space="preserve"> </w:t>
      </w:r>
      <w:r w:rsidR="00AD637D" w:rsidRPr="00F85702">
        <w:t>s</w:t>
      </w:r>
      <w:r w:rsidR="00FA4288" w:rsidRPr="00F85702">
        <w:t>ocial psychology</w:t>
      </w:r>
      <w:r w:rsidR="009D4333" w:rsidRPr="00F85702">
        <w:rPr>
          <w:rStyle w:val="FootnoteReference"/>
        </w:rPr>
        <w:footnoteReference w:id="64"/>
      </w:r>
      <w:r w:rsidR="00FA4288" w:rsidRPr="00F85702">
        <w:t xml:space="preserve"> the individual child develops </w:t>
      </w:r>
      <w:r w:rsidR="00AD637D" w:rsidRPr="00F85702">
        <w:t>self</w:t>
      </w:r>
      <w:r w:rsidR="000F067A" w:rsidRPr="00F85702">
        <w:t xml:space="preserve"> and </w:t>
      </w:r>
      <w:r w:rsidR="00FA4288" w:rsidRPr="00F85702">
        <w:t xml:space="preserve">social relations as the same process. </w:t>
      </w:r>
      <w:r w:rsidR="009D4333" w:rsidRPr="00F85702">
        <w:t xml:space="preserve">Strikingly, the infant </w:t>
      </w:r>
      <w:r w:rsidR="00D50208" w:rsidRPr="00F85702">
        <w:t xml:space="preserve">exercises agency </w:t>
      </w:r>
      <w:r w:rsidR="00F01C77" w:rsidRPr="00F85702">
        <w:t xml:space="preserve">sufficient </w:t>
      </w:r>
      <w:r w:rsidR="00D50208" w:rsidRPr="00F85702">
        <w:t>to draw</w:t>
      </w:r>
      <w:r w:rsidR="009D4333" w:rsidRPr="00F85702">
        <w:t xml:space="preserve"> adults into speech exchange. Early speech in turn </w:t>
      </w:r>
      <w:r w:rsidR="00D50208" w:rsidRPr="00F85702">
        <w:t>builds</w:t>
      </w:r>
      <w:r w:rsidR="009D4333" w:rsidRPr="00F85702">
        <w:t xml:space="preserve"> the child’s </w:t>
      </w:r>
      <w:r w:rsidR="00D50208" w:rsidRPr="00F85702">
        <w:t xml:space="preserve">social </w:t>
      </w:r>
      <w:r w:rsidR="009D4333" w:rsidRPr="00F85702">
        <w:t>identity and enhances capability</w:t>
      </w:r>
      <w:r w:rsidR="00D50208" w:rsidRPr="00F85702">
        <w:t>, further augmenting agency</w:t>
      </w:r>
      <w:r w:rsidR="009D4333" w:rsidRPr="00F85702">
        <w:t>. The mediation between individual</w:t>
      </w:r>
      <w:r w:rsidR="00F01C77" w:rsidRPr="00F85702">
        <w:t xml:space="preserve"> and social</w:t>
      </w:r>
      <w:r w:rsidR="009D4333" w:rsidRPr="00F85702">
        <w:t xml:space="preserve"> is language, </w:t>
      </w:r>
      <w:r w:rsidR="00F01C77" w:rsidRPr="00F85702">
        <w:t>a medium both shared and individualisable in which</w:t>
      </w:r>
      <w:r w:rsidR="009D4333" w:rsidRPr="00F85702">
        <w:t xml:space="preserve"> </w:t>
      </w:r>
      <w:r w:rsidR="0087329A" w:rsidRPr="00F85702">
        <w:t>social</w:t>
      </w:r>
      <w:r w:rsidR="00F01C77" w:rsidRPr="00F85702">
        <w:t xml:space="preserve"> </w:t>
      </w:r>
      <w:r w:rsidR="009D4333" w:rsidRPr="00F85702">
        <w:t xml:space="preserve">identity </w:t>
      </w:r>
      <w:r w:rsidR="00F01C77" w:rsidRPr="00F85702">
        <w:t>is established. In</w:t>
      </w:r>
      <w:r w:rsidR="000F067A" w:rsidRPr="00F85702">
        <w:t xml:space="preserve"> speech community the mentality of the child is patterned and she/he learns to work on her/his own mind, enabling reflexivity. ‘The true development of thinking is not from the individual to the social, it is from the social to the individual’, states Vygotsky. ‘</w:t>
      </w:r>
      <w:r w:rsidR="000F067A" w:rsidRPr="00F85702">
        <w:rPr>
          <w:i/>
        </w:rPr>
        <w:t>An interpersonal process is transformed into an intrapersonal one</w:t>
      </w:r>
      <w:r w:rsidR="000F067A" w:rsidRPr="00F85702">
        <w:t>. Every function in the child’s cultural development appears twice, first, on the social level, and later, on the individual level’.</w:t>
      </w:r>
      <w:r w:rsidR="000F067A" w:rsidRPr="00F85702">
        <w:rPr>
          <w:rStyle w:val="FootnoteReference"/>
        </w:rPr>
        <w:footnoteReference w:id="65"/>
      </w:r>
      <w:r w:rsidR="000F067A" w:rsidRPr="00F85702">
        <w:t xml:space="preserve"> The social, historically prior to the individual, provides the material essential for individual self-formation.</w:t>
      </w:r>
    </w:p>
    <w:p w14:paraId="572E47F1" w14:textId="4820D692" w:rsidR="00A76065" w:rsidRPr="00F85702" w:rsidRDefault="00172DD4" w:rsidP="00F85702">
      <w:pPr>
        <w:spacing w:line="276" w:lineRule="auto"/>
        <w:ind w:firstLine="454"/>
      </w:pPr>
      <w:r w:rsidRPr="00F85702">
        <w:t xml:space="preserve">Likewise for C.P. Mead, </w:t>
      </w:r>
      <w:r w:rsidR="00F01C77" w:rsidRPr="00F85702">
        <w:t>Vygotsky’s</w:t>
      </w:r>
      <w:r w:rsidRPr="00F85702">
        <w:t xml:space="preserve"> American near contemporary, </w:t>
      </w:r>
      <w:r w:rsidR="00AB60BB" w:rsidRPr="00F85702">
        <w:t xml:space="preserve">individual growth or </w:t>
      </w:r>
      <w:r w:rsidRPr="00F85702">
        <w:t xml:space="preserve">self-formation </w:t>
      </w:r>
      <w:r w:rsidR="00AB60BB" w:rsidRPr="00F85702">
        <w:t xml:space="preserve">takes place through mutual exchange </w:t>
      </w:r>
      <w:r w:rsidRPr="00F85702">
        <w:t>in social settings</w:t>
      </w:r>
      <w:r w:rsidR="000F067A" w:rsidRPr="00F85702">
        <w:t xml:space="preserve"> through language. I</w:t>
      </w:r>
      <w:r w:rsidR="001415D1" w:rsidRPr="00F85702">
        <w:t>ndividuals create shared meanings or solve problems</w:t>
      </w:r>
      <w:r w:rsidR="00F01C77" w:rsidRPr="00F85702">
        <w:t>, triggering</w:t>
      </w:r>
      <w:r w:rsidR="001415D1" w:rsidRPr="00F85702">
        <w:t xml:space="preserve"> </w:t>
      </w:r>
      <w:r w:rsidR="00420A40" w:rsidRPr="00F85702">
        <w:t>reflection.</w:t>
      </w:r>
      <w:r w:rsidR="00AB60BB" w:rsidRPr="00F85702">
        <w:rPr>
          <w:rStyle w:val="FootnoteReference"/>
        </w:rPr>
        <w:footnoteReference w:id="66"/>
      </w:r>
      <w:r w:rsidRPr="00F85702">
        <w:t xml:space="preserve"> </w:t>
      </w:r>
      <w:r w:rsidR="00BD7C10" w:rsidRPr="00F85702">
        <w:t>Margaret Kettle</w:t>
      </w:r>
      <w:r w:rsidR="001C4456" w:rsidRPr="00F85702">
        <w:t xml:space="preserve"> </w:t>
      </w:r>
      <w:r w:rsidR="0087329A" w:rsidRPr="00F85702">
        <w:t>illustrates</w:t>
      </w:r>
      <w:r w:rsidR="00440CE0" w:rsidRPr="00F85702">
        <w:t xml:space="preserve"> the </w:t>
      </w:r>
      <w:r w:rsidR="001415D1" w:rsidRPr="00F85702">
        <w:t>crucial role</w:t>
      </w:r>
      <w:r w:rsidR="00440CE0" w:rsidRPr="00F85702">
        <w:t xml:space="preserve"> of language</w:t>
      </w:r>
      <w:r w:rsidR="001415D1" w:rsidRPr="00F85702">
        <w:t>-mediated</w:t>
      </w:r>
      <w:r w:rsidR="00440CE0" w:rsidRPr="00F85702">
        <w:t xml:space="preserve"> </w:t>
      </w:r>
      <w:r w:rsidR="001415D1" w:rsidRPr="00F85702">
        <w:t>social relations</w:t>
      </w:r>
      <w:r w:rsidR="0087329A" w:rsidRPr="00F85702">
        <w:t xml:space="preserve">. Her interview subject, </w:t>
      </w:r>
      <w:r w:rsidR="00BD7C10" w:rsidRPr="00F85702">
        <w:t xml:space="preserve">a Thai student studying </w:t>
      </w:r>
      <w:r w:rsidR="00440CE0" w:rsidRPr="00F85702">
        <w:t>in Australia</w:t>
      </w:r>
      <w:r w:rsidR="0087329A" w:rsidRPr="00F85702">
        <w:t>,</w:t>
      </w:r>
      <w:r w:rsidR="00440CE0" w:rsidRPr="00F85702">
        <w:t xml:space="preserve"> believed that his effective agency </w:t>
      </w:r>
      <w:r w:rsidR="00F01C77" w:rsidRPr="00F85702">
        <w:t xml:space="preserve">simply </w:t>
      </w:r>
      <w:r w:rsidR="00440CE0" w:rsidRPr="00F85702">
        <w:t xml:space="preserve">did not exist until he </w:t>
      </w:r>
      <w:r w:rsidR="0087329A" w:rsidRPr="00F85702">
        <w:t>learned to</w:t>
      </w:r>
      <w:r w:rsidR="00440CE0" w:rsidRPr="00F85702">
        <w:t xml:space="preserve"> communicate and interact </w:t>
      </w:r>
      <w:r w:rsidR="001415D1" w:rsidRPr="00F85702">
        <w:t xml:space="preserve">effectively </w:t>
      </w:r>
      <w:r w:rsidR="00440CE0" w:rsidRPr="00F85702">
        <w:t>with local persons.</w:t>
      </w:r>
      <w:r w:rsidR="00440CE0" w:rsidRPr="00F85702">
        <w:rPr>
          <w:rStyle w:val="FootnoteReference"/>
        </w:rPr>
        <w:footnoteReference w:id="67"/>
      </w:r>
    </w:p>
    <w:p w14:paraId="2151E034" w14:textId="77777777" w:rsidR="00642301" w:rsidRPr="00F85702" w:rsidRDefault="002327E8" w:rsidP="00F85702">
      <w:pPr>
        <w:spacing w:line="276" w:lineRule="auto"/>
      </w:pPr>
      <w:r w:rsidRPr="00F85702">
        <w:tab/>
        <w:t xml:space="preserve">Bildung and Confucian self-cultivation </w:t>
      </w:r>
      <w:r w:rsidR="00F01C77" w:rsidRPr="00F85702">
        <w:t xml:space="preserve">both </w:t>
      </w:r>
      <w:r w:rsidRPr="00F85702">
        <w:t>emphasise the interdependency</w:t>
      </w:r>
      <w:r w:rsidR="00F01C77" w:rsidRPr="00F85702">
        <w:t xml:space="preserve"> of i</w:t>
      </w:r>
      <w:r w:rsidRPr="00F85702">
        <w:t xml:space="preserve">ndividual and social, </w:t>
      </w:r>
      <w:r w:rsidR="0056082C" w:rsidRPr="00F85702">
        <w:t>e</w:t>
      </w:r>
      <w:r w:rsidRPr="00F85702">
        <w:t xml:space="preserve">ach in a distinctive way. </w:t>
      </w:r>
      <w:r w:rsidR="00884889" w:rsidRPr="00F85702">
        <w:rPr>
          <w:rFonts w:cs="Times New Roman"/>
        </w:rPr>
        <w:t>According to Ari Kivela, in the Kantian version of Bildung the aim of education is ‘the active autonomous person within the framework of social life’, a rational subject who uses reason in a public way and ‘lives in the public sphere among other individual beings.’</w:t>
      </w:r>
      <w:r w:rsidRPr="00F85702">
        <w:rPr>
          <w:rStyle w:val="FootnoteReference"/>
          <w:rFonts w:cs="Times New Roman"/>
        </w:rPr>
        <w:footnoteReference w:id="68"/>
      </w:r>
      <w:r w:rsidR="00764172" w:rsidRPr="00F85702">
        <w:rPr>
          <w:rFonts w:cs="Times New Roman"/>
        </w:rPr>
        <w:t xml:space="preserve"> For Fichte, as for Vygotsky, Meed and Dewey later, ‘self-consciousness and interpersonal relations emerge only simultaneously.’</w:t>
      </w:r>
      <w:r w:rsidR="00764172" w:rsidRPr="00F85702">
        <w:rPr>
          <w:rStyle w:val="FootnoteReference"/>
          <w:rFonts w:cs="Times New Roman"/>
        </w:rPr>
        <w:footnoteReference w:id="69"/>
      </w:r>
      <w:r w:rsidR="00764172" w:rsidRPr="00F85702">
        <w:rPr>
          <w:rFonts w:cs="Times New Roman"/>
        </w:rPr>
        <w:t xml:space="preserve"> </w:t>
      </w:r>
      <w:r w:rsidR="00764172" w:rsidRPr="00F85702">
        <w:t xml:space="preserve">However, while </w:t>
      </w:r>
      <w:r w:rsidR="00764172" w:rsidRPr="00F85702">
        <w:lastRenderedPageBreak/>
        <w:t xml:space="preserve">the social is built onto the individual in Bildung, perhaps the scaffolding could be dismantled. Civil society appears more abstract and more normative than </w:t>
      </w:r>
      <w:r w:rsidR="00642301" w:rsidRPr="00F85702">
        <w:t>the person</w:t>
      </w:r>
      <w:r w:rsidR="00764172" w:rsidRPr="00F85702">
        <w:t>.</w:t>
      </w:r>
      <w:r w:rsidR="00764172" w:rsidRPr="00F85702">
        <w:rPr>
          <w:rStyle w:val="FootnoteReference"/>
        </w:rPr>
        <w:footnoteReference w:id="70"/>
      </w:r>
      <w:r w:rsidR="00642301" w:rsidRPr="00F85702">
        <w:t xml:space="preserve"> </w:t>
      </w:r>
      <w:r w:rsidR="000A25FC" w:rsidRPr="00F85702">
        <w:t>Some c</w:t>
      </w:r>
      <w:r w:rsidR="00176197" w:rsidRPr="00F85702">
        <w:t xml:space="preserve">ontemporary advocates of Bildung </w:t>
      </w:r>
      <w:r w:rsidR="00642301" w:rsidRPr="00F85702">
        <w:t>want</w:t>
      </w:r>
      <w:r w:rsidR="000A25FC" w:rsidRPr="00F85702">
        <w:t xml:space="preserve"> </w:t>
      </w:r>
      <w:r w:rsidR="00642301" w:rsidRPr="00F85702">
        <w:t>a</w:t>
      </w:r>
      <w:r w:rsidR="00350E45" w:rsidRPr="00F85702">
        <w:t xml:space="preserve"> greater</w:t>
      </w:r>
      <w:r w:rsidR="000A25FC" w:rsidRPr="00F85702">
        <w:t xml:space="preserve"> emphasis on interdependent social relations</w:t>
      </w:r>
      <w:r w:rsidR="00D24B62" w:rsidRPr="00F85702">
        <w:t>.</w:t>
      </w:r>
      <w:r w:rsidR="000A25FC" w:rsidRPr="00F85702">
        <w:rPr>
          <w:rStyle w:val="FootnoteReference"/>
        </w:rPr>
        <w:footnoteReference w:id="71"/>
      </w:r>
      <w:r w:rsidR="000A25FC" w:rsidRPr="00F85702">
        <w:t xml:space="preserve"> </w:t>
      </w:r>
    </w:p>
    <w:p w14:paraId="40B656BC" w14:textId="529FEDE0" w:rsidR="00176197" w:rsidRPr="00F85702" w:rsidRDefault="00D24B62" w:rsidP="00F85702">
      <w:pPr>
        <w:spacing w:line="276" w:lineRule="auto"/>
        <w:ind w:firstLine="454"/>
      </w:pPr>
      <w:r w:rsidRPr="00F85702">
        <w:t>The</w:t>
      </w:r>
      <w:r w:rsidR="0084720E" w:rsidRPr="00F85702">
        <w:t xml:space="preserve">re is no doubt that self-formation in the general culture, and in education, are </w:t>
      </w:r>
      <w:r w:rsidR="00642301" w:rsidRPr="00F85702">
        <w:t xml:space="preserve">often trapped in high individualism. </w:t>
      </w:r>
      <w:r w:rsidR="00642301" w:rsidRPr="00F85702">
        <w:rPr>
          <w:rFonts w:cs="Times New Roman"/>
        </w:rPr>
        <w:t>Individuals, and groups, are nested in a much larger lattice of social exchange, in which the resources and capabilities of self-formation are unevenly distributed</w:t>
      </w:r>
      <w:r w:rsidR="0084720E" w:rsidRPr="00F85702">
        <w:t xml:space="preserve">. </w:t>
      </w:r>
      <w:r w:rsidR="00642301" w:rsidRPr="00F85702">
        <w:t>Yet the move to the social</w:t>
      </w:r>
      <w:r w:rsidR="00764172" w:rsidRPr="00F85702">
        <w:t xml:space="preserve"> </w:t>
      </w:r>
      <w:r w:rsidRPr="00F85702">
        <w:t>should not be overstated</w:t>
      </w:r>
      <w:r w:rsidR="00642301" w:rsidRPr="00F85702">
        <w:t>. L</w:t>
      </w:r>
      <w:r w:rsidRPr="00F85702">
        <w:rPr>
          <w:rFonts w:cs="Times New Roman"/>
        </w:rPr>
        <w:t xml:space="preserve">earning </w:t>
      </w:r>
      <w:r w:rsidR="0084720E" w:rsidRPr="00F85702">
        <w:rPr>
          <w:rFonts w:cs="Times New Roman"/>
        </w:rPr>
        <w:t>is</w:t>
      </w:r>
      <w:r w:rsidRPr="00F85702">
        <w:rPr>
          <w:rFonts w:cs="Times New Roman"/>
        </w:rPr>
        <w:t xml:space="preserve"> individually appropriated, and the </w:t>
      </w:r>
      <w:r w:rsidR="00642301" w:rsidRPr="00F85702">
        <w:rPr>
          <w:rFonts w:cs="Times New Roman"/>
        </w:rPr>
        <w:t xml:space="preserve">some </w:t>
      </w:r>
      <w:r w:rsidRPr="00F85702">
        <w:rPr>
          <w:rFonts w:cs="Times New Roman"/>
        </w:rPr>
        <w:t>imagining individual</w:t>
      </w:r>
      <w:r w:rsidR="00642301" w:rsidRPr="00F85702">
        <w:rPr>
          <w:rFonts w:cs="Times New Roman"/>
        </w:rPr>
        <w:t>s</w:t>
      </w:r>
      <w:r w:rsidRPr="00F85702">
        <w:rPr>
          <w:rFonts w:cs="Times New Roman"/>
        </w:rPr>
        <w:t xml:space="preserve"> </w:t>
      </w:r>
      <w:r w:rsidR="00642301" w:rsidRPr="00F85702">
        <w:rPr>
          <w:rFonts w:cs="Times New Roman"/>
        </w:rPr>
        <w:t>exceed their</w:t>
      </w:r>
      <w:r w:rsidRPr="00F85702">
        <w:rPr>
          <w:rFonts w:cs="Times New Roman"/>
        </w:rPr>
        <w:t xml:space="preserve"> context</w:t>
      </w:r>
      <w:r w:rsidR="00642301" w:rsidRPr="00F85702">
        <w:rPr>
          <w:rFonts w:cs="Times New Roman"/>
        </w:rPr>
        <w:t>s</w:t>
      </w:r>
      <w:r w:rsidRPr="00F85702">
        <w:rPr>
          <w:rFonts w:cs="Times New Roman"/>
        </w:rPr>
        <w:t xml:space="preserve">. Individual agency is always both </w:t>
      </w:r>
      <w:r w:rsidR="00931626" w:rsidRPr="00F85702">
        <w:rPr>
          <w:rFonts w:cs="Times New Roman"/>
        </w:rPr>
        <w:t>socially separated</w:t>
      </w:r>
      <w:r w:rsidR="0084720E" w:rsidRPr="00F85702">
        <w:rPr>
          <w:rFonts w:cs="Times New Roman"/>
        </w:rPr>
        <w:t xml:space="preserve"> </w:t>
      </w:r>
      <w:r w:rsidR="0084720E" w:rsidRPr="00F85702">
        <w:rPr>
          <w:rFonts w:cs="Times New Roman"/>
          <w:i/>
        </w:rPr>
        <w:t xml:space="preserve">and </w:t>
      </w:r>
      <w:r w:rsidR="0084720E" w:rsidRPr="00F85702">
        <w:rPr>
          <w:rFonts w:cs="Times New Roman"/>
        </w:rPr>
        <w:t>socially embedded</w:t>
      </w:r>
      <w:r w:rsidR="00931626" w:rsidRPr="00F85702">
        <w:rPr>
          <w:rFonts w:cs="Times New Roman"/>
        </w:rPr>
        <w:t>.</w:t>
      </w:r>
      <w:r w:rsidR="000C6E0E" w:rsidRPr="00F85702">
        <w:rPr>
          <w:rFonts w:cs="Times New Roman"/>
        </w:rPr>
        <w:t xml:space="preserve"> This double coding of the self</w:t>
      </w:r>
      <w:r w:rsidR="00642301" w:rsidRPr="00F85702">
        <w:rPr>
          <w:rFonts w:cs="Times New Roman"/>
        </w:rPr>
        <w:t>,</w:t>
      </w:r>
      <w:r w:rsidR="000C6E0E" w:rsidRPr="00F85702">
        <w:rPr>
          <w:rFonts w:cs="Times New Roman"/>
        </w:rPr>
        <w:t xml:space="preserve"> </w:t>
      </w:r>
      <w:r w:rsidR="00EA6918" w:rsidRPr="00F85702">
        <w:rPr>
          <w:rFonts w:cs="Times New Roman"/>
        </w:rPr>
        <w:t>one of the distinctive achievements</w:t>
      </w:r>
      <w:r w:rsidR="000C6E0E" w:rsidRPr="00F85702">
        <w:rPr>
          <w:rFonts w:cs="Times New Roman"/>
        </w:rPr>
        <w:t xml:space="preserve"> of Anglo-American-European thought</w:t>
      </w:r>
      <w:r w:rsidR="00EA6918" w:rsidRPr="00F85702">
        <w:rPr>
          <w:rFonts w:cs="Times New Roman"/>
        </w:rPr>
        <w:t>, widen</w:t>
      </w:r>
      <w:r w:rsidR="00642301" w:rsidRPr="00F85702">
        <w:rPr>
          <w:rFonts w:cs="Times New Roman"/>
        </w:rPr>
        <w:t>s</w:t>
      </w:r>
      <w:r w:rsidR="00EA6918" w:rsidRPr="00F85702">
        <w:rPr>
          <w:rFonts w:cs="Times New Roman"/>
        </w:rPr>
        <w:t xml:space="preserve"> the scope for creative agency that translates itself into otherness, into seeing and doing differently, and then brings that back into the social realm</w:t>
      </w:r>
      <w:r w:rsidR="000C6E0E" w:rsidRPr="00F85702">
        <w:rPr>
          <w:rFonts w:cs="Times New Roman"/>
        </w:rPr>
        <w:t xml:space="preserve">. </w:t>
      </w:r>
    </w:p>
    <w:p w14:paraId="0E883E38" w14:textId="0F2B203F" w:rsidR="00CA58B5" w:rsidRPr="00F85702" w:rsidRDefault="004048D6" w:rsidP="00F85702">
      <w:pPr>
        <w:pStyle w:val="p1"/>
        <w:spacing w:line="276" w:lineRule="auto"/>
        <w:rPr>
          <w:rFonts w:asciiTheme="minorHAnsi" w:hAnsiTheme="minorHAnsi"/>
          <w:sz w:val="24"/>
          <w:szCs w:val="24"/>
        </w:rPr>
      </w:pPr>
      <w:r w:rsidRPr="00F85702">
        <w:rPr>
          <w:rFonts w:asciiTheme="minorHAnsi" w:hAnsiTheme="minorHAnsi"/>
          <w:sz w:val="24"/>
          <w:szCs w:val="24"/>
        </w:rPr>
        <w:tab/>
      </w:r>
      <w:r w:rsidR="00F359B1" w:rsidRPr="00F85702">
        <w:rPr>
          <w:rFonts w:asciiTheme="minorHAnsi" w:hAnsiTheme="minorHAnsi"/>
          <w:sz w:val="24"/>
          <w:szCs w:val="24"/>
        </w:rPr>
        <w:t>On the whole</w:t>
      </w:r>
      <w:r w:rsidR="0056082C" w:rsidRPr="00F85702">
        <w:rPr>
          <w:rFonts w:asciiTheme="minorHAnsi" w:hAnsiTheme="minorHAnsi"/>
          <w:sz w:val="24"/>
          <w:szCs w:val="24"/>
        </w:rPr>
        <w:t>,</w:t>
      </w:r>
      <w:r w:rsidR="00F359B1" w:rsidRPr="00F85702">
        <w:rPr>
          <w:rFonts w:asciiTheme="minorHAnsi" w:hAnsiTheme="minorHAnsi"/>
          <w:sz w:val="24"/>
          <w:szCs w:val="24"/>
        </w:rPr>
        <w:t xml:space="preserve"> the social dimension is more central to </w:t>
      </w:r>
      <w:r w:rsidRPr="00F85702">
        <w:rPr>
          <w:rFonts w:asciiTheme="minorHAnsi" w:hAnsiTheme="minorHAnsi"/>
          <w:sz w:val="24"/>
          <w:szCs w:val="24"/>
        </w:rPr>
        <w:t xml:space="preserve">Confucian thought </w:t>
      </w:r>
      <w:r w:rsidR="00F359B1" w:rsidRPr="00F85702">
        <w:rPr>
          <w:rFonts w:asciiTheme="minorHAnsi" w:hAnsiTheme="minorHAnsi"/>
          <w:sz w:val="24"/>
          <w:szCs w:val="24"/>
        </w:rPr>
        <w:t xml:space="preserve">than </w:t>
      </w:r>
      <w:r w:rsidR="00851EF0" w:rsidRPr="00F85702">
        <w:rPr>
          <w:rFonts w:asciiTheme="minorHAnsi" w:hAnsiTheme="minorHAnsi"/>
          <w:sz w:val="24"/>
          <w:szCs w:val="24"/>
        </w:rPr>
        <w:t>in</w:t>
      </w:r>
      <w:r w:rsidR="00F359B1" w:rsidRPr="00F85702">
        <w:rPr>
          <w:rFonts w:asciiTheme="minorHAnsi" w:hAnsiTheme="minorHAnsi"/>
          <w:sz w:val="24"/>
          <w:szCs w:val="24"/>
        </w:rPr>
        <w:t xml:space="preserve"> Bildung. </w:t>
      </w:r>
      <w:r w:rsidR="00851EF0" w:rsidRPr="00F85702">
        <w:rPr>
          <w:rFonts w:asciiTheme="minorHAnsi" w:hAnsiTheme="minorHAnsi"/>
          <w:sz w:val="24"/>
          <w:szCs w:val="24"/>
        </w:rPr>
        <w:t xml:space="preserve">In Chinese language, the word ‘Ren’ combines the word for ‘two’ and the word for ‘human being’. </w:t>
      </w:r>
      <w:r w:rsidR="00F359B1" w:rsidRPr="00F85702">
        <w:rPr>
          <w:rFonts w:asciiTheme="minorHAnsi" w:hAnsiTheme="minorHAnsi"/>
          <w:sz w:val="24"/>
          <w:szCs w:val="24"/>
        </w:rPr>
        <w:t xml:space="preserve">Confucian ideas </w:t>
      </w:r>
      <w:r w:rsidR="00851EF0" w:rsidRPr="00F85702">
        <w:rPr>
          <w:rFonts w:asciiTheme="minorHAnsi" w:hAnsiTheme="minorHAnsi"/>
          <w:sz w:val="24"/>
          <w:szCs w:val="24"/>
        </w:rPr>
        <w:t xml:space="preserve">were </w:t>
      </w:r>
      <w:r w:rsidR="00F359B1" w:rsidRPr="00F85702">
        <w:rPr>
          <w:rFonts w:asciiTheme="minorHAnsi" w:hAnsiTheme="minorHAnsi"/>
          <w:sz w:val="24"/>
          <w:szCs w:val="24"/>
        </w:rPr>
        <w:t>always</w:t>
      </w:r>
      <w:r w:rsidRPr="00F85702">
        <w:rPr>
          <w:rFonts w:asciiTheme="minorHAnsi" w:hAnsiTheme="minorHAnsi"/>
          <w:sz w:val="24"/>
          <w:szCs w:val="24"/>
        </w:rPr>
        <w:t xml:space="preserve"> </w:t>
      </w:r>
      <w:r w:rsidR="00851EF0" w:rsidRPr="00F85702">
        <w:rPr>
          <w:rFonts w:asciiTheme="minorHAnsi" w:hAnsiTheme="minorHAnsi"/>
          <w:sz w:val="24"/>
          <w:szCs w:val="24"/>
        </w:rPr>
        <w:t xml:space="preserve">both normative and consistently </w:t>
      </w:r>
      <w:r w:rsidRPr="00F85702">
        <w:rPr>
          <w:rFonts w:asciiTheme="minorHAnsi" w:hAnsiTheme="minorHAnsi"/>
          <w:sz w:val="24"/>
          <w:szCs w:val="24"/>
        </w:rPr>
        <w:t xml:space="preserve">relational. </w:t>
      </w:r>
      <w:r w:rsidR="00F359B1" w:rsidRPr="00F85702">
        <w:rPr>
          <w:rFonts w:asciiTheme="minorHAnsi" w:hAnsiTheme="minorHAnsi"/>
          <w:sz w:val="24"/>
          <w:szCs w:val="24"/>
        </w:rPr>
        <w:t xml:space="preserve">According to </w:t>
      </w:r>
      <w:r w:rsidR="001A59F9" w:rsidRPr="00F85702">
        <w:rPr>
          <w:rFonts w:asciiTheme="minorHAnsi" w:hAnsiTheme="minorHAnsi"/>
          <w:sz w:val="24"/>
          <w:szCs w:val="24"/>
        </w:rPr>
        <w:t>Zhao and B</w:t>
      </w:r>
      <w:r w:rsidR="00F359B1" w:rsidRPr="00F85702">
        <w:rPr>
          <w:rFonts w:asciiTheme="minorHAnsi" w:hAnsiTheme="minorHAnsi"/>
          <w:sz w:val="24"/>
          <w:szCs w:val="24"/>
        </w:rPr>
        <w:t xml:space="preserve">iesta, ‘Confucius cared about a person’s individual development, but strongly maintained that it should take place in the context of human relationships.’ </w:t>
      </w:r>
      <w:r w:rsidR="00851EF0" w:rsidRPr="00F85702">
        <w:rPr>
          <w:rFonts w:asciiTheme="minorHAnsi" w:hAnsiTheme="minorHAnsi"/>
          <w:sz w:val="24"/>
          <w:szCs w:val="24"/>
        </w:rPr>
        <w:t>For Sun</w:t>
      </w:r>
      <w:r w:rsidR="00F359B1" w:rsidRPr="00F85702">
        <w:rPr>
          <w:rFonts w:asciiTheme="minorHAnsi" w:hAnsiTheme="minorHAnsi"/>
          <w:sz w:val="24"/>
          <w:szCs w:val="24"/>
        </w:rPr>
        <w:t xml:space="preserve"> </w:t>
      </w:r>
      <w:r w:rsidR="001A59F9" w:rsidRPr="00F85702">
        <w:rPr>
          <w:rFonts w:asciiTheme="minorHAnsi" w:hAnsiTheme="minorHAnsi"/>
          <w:sz w:val="24"/>
          <w:szCs w:val="24"/>
        </w:rPr>
        <w:t>the Confucian view of self</w:t>
      </w:r>
      <w:r w:rsidR="0084720E" w:rsidRPr="00F85702">
        <w:rPr>
          <w:rFonts w:asciiTheme="minorHAnsi" w:hAnsiTheme="minorHAnsi"/>
          <w:sz w:val="24"/>
          <w:szCs w:val="24"/>
        </w:rPr>
        <w:t xml:space="preserve"> has</w:t>
      </w:r>
      <w:r w:rsidR="006A6B28" w:rsidRPr="00F85702">
        <w:rPr>
          <w:rFonts w:asciiTheme="minorHAnsi" w:hAnsiTheme="minorHAnsi"/>
          <w:sz w:val="24"/>
          <w:szCs w:val="24"/>
        </w:rPr>
        <w:t xml:space="preserve"> three aspects: the ‘I’ undivided with the universe, the ‘I’ in unity with other human beings, and the wholeness of ‘I’ with self</w:t>
      </w:r>
      <w:r w:rsidR="00F359B1" w:rsidRPr="00F85702">
        <w:rPr>
          <w:rFonts w:asciiTheme="minorHAnsi" w:hAnsiTheme="minorHAnsi"/>
          <w:sz w:val="24"/>
          <w:szCs w:val="24"/>
        </w:rPr>
        <w:t xml:space="preserve"> that enables the reflexive work of self on self</w:t>
      </w:r>
      <w:r w:rsidR="006A6B28" w:rsidRPr="00F85702">
        <w:rPr>
          <w:rFonts w:asciiTheme="minorHAnsi" w:hAnsiTheme="minorHAnsi"/>
          <w:sz w:val="24"/>
          <w:szCs w:val="24"/>
        </w:rPr>
        <w:t>.</w:t>
      </w:r>
      <w:r w:rsidR="006A6B28" w:rsidRPr="00F85702">
        <w:rPr>
          <w:rStyle w:val="FootnoteReference"/>
          <w:rFonts w:asciiTheme="minorHAnsi" w:hAnsiTheme="minorHAnsi"/>
          <w:sz w:val="24"/>
          <w:szCs w:val="24"/>
        </w:rPr>
        <w:footnoteReference w:id="72"/>
      </w:r>
      <w:r w:rsidR="006A6B28" w:rsidRPr="00F85702">
        <w:rPr>
          <w:rFonts w:asciiTheme="minorHAnsi" w:hAnsiTheme="minorHAnsi"/>
          <w:sz w:val="24"/>
          <w:szCs w:val="24"/>
        </w:rPr>
        <w:t xml:space="preserve"> </w:t>
      </w:r>
      <w:r w:rsidR="000C6E0E" w:rsidRPr="00F85702">
        <w:rPr>
          <w:rFonts w:asciiTheme="minorHAnsi" w:hAnsiTheme="minorHAnsi"/>
          <w:sz w:val="24"/>
          <w:szCs w:val="24"/>
        </w:rPr>
        <w:t>Confucian</w:t>
      </w:r>
      <w:r w:rsidR="00851EF0" w:rsidRPr="00F85702">
        <w:rPr>
          <w:rFonts w:asciiTheme="minorHAnsi" w:hAnsiTheme="minorHAnsi"/>
          <w:sz w:val="24"/>
          <w:szCs w:val="24"/>
        </w:rPr>
        <w:t>ism</w:t>
      </w:r>
      <w:r w:rsidR="000C6E0E" w:rsidRPr="00F85702">
        <w:rPr>
          <w:rFonts w:asciiTheme="minorHAnsi" w:hAnsiTheme="minorHAnsi"/>
          <w:sz w:val="24"/>
          <w:szCs w:val="24"/>
        </w:rPr>
        <w:t xml:space="preserve"> in education means </w:t>
      </w:r>
      <w:r w:rsidR="00851EF0" w:rsidRPr="00F85702">
        <w:rPr>
          <w:rFonts w:asciiTheme="minorHAnsi" w:hAnsiTheme="minorHAnsi"/>
          <w:sz w:val="24"/>
          <w:szCs w:val="24"/>
        </w:rPr>
        <w:t>cultivating</w:t>
      </w:r>
      <w:r w:rsidR="000C6E0E" w:rsidRPr="00F85702">
        <w:rPr>
          <w:rFonts w:asciiTheme="minorHAnsi" w:hAnsiTheme="minorHAnsi"/>
          <w:sz w:val="24"/>
          <w:szCs w:val="24"/>
        </w:rPr>
        <w:t xml:space="preserve"> all three types of relationship. Hence we find</w:t>
      </w:r>
      <w:r w:rsidR="00172DD4" w:rsidRPr="00F85702">
        <w:rPr>
          <w:rFonts w:asciiTheme="minorHAnsi" w:hAnsiTheme="minorHAnsi"/>
          <w:sz w:val="24"/>
          <w:szCs w:val="24"/>
        </w:rPr>
        <w:t xml:space="preserve"> </w:t>
      </w:r>
      <w:r w:rsidR="000C6E0E" w:rsidRPr="00F85702">
        <w:rPr>
          <w:rFonts w:asciiTheme="minorHAnsi" w:hAnsiTheme="minorHAnsi"/>
          <w:sz w:val="24"/>
          <w:szCs w:val="24"/>
        </w:rPr>
        <w:t xml:space="preserve">on one hand </w:t>
      </w:r>
      <w:r w:rsidR="00851EF0" w:rsidRPr="00F85702">
        <w:rPr>
          <w:rFonts w:asciiTheme="minorHAnsi" w:hAnsiTheme="minorHAnsi"/>
          <w:sz w:val="24"/>
          <w:szCs w:val="24"/>
        </w:rPr>
        <w:t xml:space="preserve">a </w:t>
      </w:r>
      <w:r w:rsidR="00172DD4" w:rsidRPr="00F85702">
        <w:rPr>
          <w:rFonts w:asciiTheme="minorHAnsi" w:hAnsiTheme="minorHAnsi"/>
          <w:sz w:val="24"/>
          <w:szCs w:val="24"/>
        </w:rPr>
        <w:t>direct, unmediated reflexivity, of self on self, as in the Stoics of the Hellenic period described by Foucault</w:t>
      </w:r>
      <w:r w:rsidR="000C6E0E" w:rsidRPr="00F85702">
        <w:rPr>
          <w:rFonts w:asciiTheme="minorHAnsi" w:hAnsiTheme="minorHAnsi"/>
          <w:sz w:val="24"/>
          <w:szCs w:val="24"/>
        </w:rPr>
        <w:t>. On the other hand th</w:t>
      </w:r>
      <w:r w:rsidR="00172DD4" w:rsidRPr="00F85702">
        <w:rPr>
          <w:rFonts w:asciiTheme="minorHAnsi" w:hAnsiTheme="minorHAnsi"/>
          <w:sz w:val="24"/>
          <w:szCs w:val="24"/>
        </w:rPr>
        <w:t xml:space="preserve">ere are </w:t>
      </w:r>
      <w:r w:rsidR="000C6E0E" w:rsidRPr="00F85702">
        <w:rPr>
          <w:rFonts w:asciiTheme="minorHAnsi" w:hAnsiTheme="minorHAnsi"/>
          <w:sz w:val="24"/>
          <w:szCs w:val="24"/>
        </w:rPr>
        <w:t xml:space="preserve">also </w:t>
      </w:r>
      <w:r w:rsidR="00851EF0" w:rsidRPr="00F85702">
        <w:rPr>
          <w:rFonts w:asciiTheme="minorHAnsi" w:hAnsiTheme="minorHAnsi"/>
          <w:sz w:val="24"/>
          <w:szCs w:val="24"/>
        </w:rPr>
        <w:t xml:space="preserve">mediated </w:t>
      </w:r>
      <w:r w:rsidR="00172DD4" w:rsidRPr="00F85702">
        <w:rPr>
          <w:rFonts w:asciiTheme="minorHAnsi" w:hAnsiTheme="minorHAnsi"/>
          <w:sz w:val="24"/>
          <w:szCs w:val="24"/>
        </w:rPr>
        <w:t>forms of reflexivity</w:t>
      </w:r>
      <w:r w:rsidR="000C6E0E" w:rsidRPr="00F85702">
        <w:rPr>
          <w:rFonts w:asciiTheme="minorHAnsi" w:hAnsiTheme="minorHAnsi"/>
          <w:sz w:val="24"/>
          <w:szCs w:val="24"/>
        </w:rPr>
        <w:t>,</w:t>
      </w:r>
      <w:r w:rsidR="00172DD4" w:rsidRPr="00F85702">
        <w:rPr>
          <w:rFonts w:asciiTheme="minorHAnsi" w:hAnsiTheme="minorHAnsi"/>
          <w:sz w:val="24"/>
          <w:szCs w:val="24"/>
        </w:rPr>
        <w:t xml:space="preserve"> </w:t>
      </w:r>
      <w:r w:rsidR="00851EF0" w:rsidRPr="00F85702">
        <w:rPr>
          <w:rFonts w:asciiTheme="minorHAnsi" w:hAnsiTheme="minorHAnsi"/>
          <w:sz w:val="24"/>
          <w:szCs w:val="24"/>
        </w:rPr>
        <w:t xml:space="preserve">of </w:t>
      </w:r>
      <w:r w:rsidR="000C6E0E" w:rsidRPr="00F85702">
        <w:rPr>
          <w:rFonts w:asciiTheme="minorHAnsi" w:hAnsiTheme="minorHAnsi"/>
          <w:sz w:val="24"/>
          <w:szCs w:val="24"/>
        </w:rPr>
        <w:t xml:space="preserve">two </w:t>
      </w:r>
      <w:r w:rsidR="00851EF0" w:rsidRPr="00F85702">
        <w:rPr>
          <w:rFonts w:asciiTheme="minorHAnsi" w:hAnsiTheme="minorHAnsi"/>
          <w:sz w:val="24"/>
          <w:szCs w:val="24"/>
        </w:rPr>
        <w:t>kinds</w:t>
      </w:r>
      <w:r w:rsidR="000C6E0E" w:rsidRPr="00F85702">
        <w:rPr>
          <w:rFonts w:asciiTheme="minorHAnsi" w:hAnsiTheme="minorHAnsi"/>
          <w:sz w:val="24"/>
          <w:szCs w:val="24"/>
        </w:rPr>
        <w:t xml:space="preserve">: </w:t>
      </w:r>
      <w:r w:rsidR="00851EF0" w:rsidRPr="00F85702">
        <w:rPr>
          <w:rFonts w:asciiTheme="minorHAnsi" w:hAnsiTheme="minorHAnsi"/>
          <w:sz w:val="24"/>
          <w:szCs w:val="24"/>
        </w:rPr>
        <w:t>in</w:t>
      </w:r>
      <w:r w:rsidR="00172DD4" w:rsidRPr="00F85702">
        <w:rPr>
          <w:rFonts w:asciiTheme="minorHAnsi" w:hAnsiTheme="minorHAnsi"/>
          <w:sz w:val="24"/>
          <w:szCs w:val="24"/>
        </w:rPr>
        <w:t xml:space="preserve"> personal relations</w:t>
      </w:r>
      <w:r w:rsidR="000C6E0E" w:rsidRPr="00F85702">
        <w:rPr>
          <w:rFonts w:asciiTheme="minorHAnsi" w:hAnsiTheme="minorHAnsi"/>
          <w:sz w:val="24"/>
          <w:szCs w:val="24"/>
        </w:rPr>
        <w:t xml:space="preserve">hips, and through engagement in </w:t>
      </w:r>
      <w:r w:rsidR="00172DD4" w:rsidRPr="00F85702">
        <w:rPr>
          <w:rFonts w:asciiTheme="minorHAnsi" w:hAnsiTheme="minorHAnsi"/>
          <w:sz w:val="24"/>
          <w:szCs w:val="24"/>
        </w:rPr>
        <w:t xml:space="preserve">the world as a whole, </w:t>
      </w:r>
      <w:r w:rsidR="00172DD4" w:rsidRPr="00F85702">
        <w:rPr>
          <w:rFonts w:asciiTheme="minorHAnsi" w:hAnsiTheme="minorHAnsi"/>
          <w:i/>
          <w:sz w:val="24"/>
          <w:szCs w:val="24"/>
        </w:rPr>
        <w:t>Tianxia</w:t>
      </w:r>
      <w:r w:rsidR="00172DD4" w:rsidRPr="00F85702">
        <w:rPr>
          <w:rFonts w:asciiTheme="minorHAnsi" w:hAnsiTheme="minorHAnsi"/>
          <w:sz w:val="24"/>
          <w:szCs w:val="24"/>
        </w:rPr>
        <w:t xml:space="preserve">, all under heaven, the global public good in its largest sense. </w:t>
      </w:r>
      <w:r w:rsidR="00851EF0" w:rsidRPr="00F85702">
        <w:rPr>
          <w:rFonts w:asciiTheme="minorHAnsi" w:hAnsiTheme="minorHAnsi"/>
          <w:sz w:val="24"/>
          <w:szCs w:val="24"/>
        </w:rPr>
        <w:t>S</w:t>
      </w:r>
      <w:r w:rsidR="000C6E0E" w:rsidRPr="00F85702">
        <w:rPr>
          <w:rFonts w:asciiTheme="minorHAnsi" w:hAnsiTheme="minorHAnsi"/>
          <w:sz w:val="24"/>
          <w:szCs w:val="24"/>
        </w:rPr>
        <w:t xml:space="preserve">elf-formation can be continually monitored </w:t>
      </w:r>
      <w:r w:rsidR="00851EF0" w:rsidRPr="00F85702">
        <w:rPr>
          <w:rFonts w:asciiTheme="minorHAnsi" w:hAnsiTheme="minorHAnsi"/>
          <w:sz w:val="24"/>
          <w:szCs w:val="24"/>
        </w:rPr>
        <w:t>by</w:t>
      </w:r>
      <w:r w:rsidR="000C6E0E" w:rsidRPr="00F85702">
        <w:rPr>
          <w:rFonts w:asciiTheme="minorHAnsi" w:hAnsiTheme="minorHAnsi"/>
          <w:sz w:val="24"/>
          <w:szCs w:val="24"/>
        </w:rPr>
        <w:t xml:space="preserve"> all three forms of reflexivity. </w:t>
      </w:r>
      <w:r w:rsidR="00CA58B5" w:rsidRPr="00F85702">
        <w:rPr>
          <w:rFonts w:asciiTheme="minorHAnsi" w:hAnsiTheme="minorHAnsi"/>
          <w:sz w:val="24"/>
          <w:szCs w:val="24"/>
        </w:rPr>
        <w:t xml:space="preserve">Adapting </w:t>
      </w:r>
      <w:r w:rsidR="0084720E" w:rsidRPr="00F85702">
        <w:rPr>
          <w:rFonts w:asciiTheme="minorHAnsi" w:hAnsiTheme="minorHAnsi"/>
          <w:sz w:val="24"/>
          <w:szCs w:val="24"/>
        </w:rPr>
        <w:t xml:space="preserve">the Confucian text </w:t>
      </w:r>
      <w:r w:rsidR="0084720E" w:rsidRPr="00F85702">
        <w:rPr>
          <w:rFonts w:asciiTheme="minorHAnsi" w:hAnsiTheme="minorHAnsi"/>
          <w:i/>
          <w:sz w:val="24"/>
          <w:szCs w:val="24"/>
        </w:rPr>
        <w:t>The Great Learning</w:t>
      </w:r>
      <w:r w:rsidR="0084720E" w:rsidRPr="00F85702">
        <w:rPr>
          <w:rFonts w:asciiTheme="minorHAnsi" w:hAnsiTheme="minorHAnsi"/>
          <w:sz w:val="24"/>
          <w:szCs w:val="24"/>
        </w:rPr>
        <w:t xml:space="preserve">, </w:t>
      </w:r>
      <w:r w:rsidR="00851EF0" w:rsidRPr="00F85702">
        <w:rPr>
          <w:rFonts w:asciiTheme="minorHAnsi" w:hAnsiTheme="minorHAnsi"/>
          <w:sz w:val="24"/>
          <w:szCs w:val="24"/>
        </w:rPr>
        <w:t xml:space="preserve">Song Dynasty </w:t>
      </w:r>
      <w:r w:rsidR="00CA58B5" w:rsidRPr="00F85702">
        <w:rPr>
          <w:rFonts w:asciiTheme="minorHAnsi" w:hAnsiTheme="minorHAnsi"/>
          <w:sz w:val="24"/>
          <w:szCs w:val="24"/>
        </w:rPr>
        <w:t>neo-Confucianism identi</w:t>
      </w:r>
      <w:r w:rsidR="00CA58B5" w:rsidRPr="00F85702">
        <w:rPr>
          <w:rStyle w:val="s1"/>
          <w:rFonts w:asciiTheme="minorHAnsi" w:hAnsiTheme="minorHAnsi"/>
          <w:sz w:val="24"/>
          <w:szCs w:val="24"/>
        </w:rPr>
        <w:t>fi</w:t>
      </w:r>
      <w:r w:rsidR="00CA58B5" w:rsidRPr="00F85702">
        <w:rPr>
          <w:rFonts w:asciiTheme="minorHAnsi" w:hAnsiTheme="minorHAnsi"/>
          <w:sz w:val="24"/>
          <w:szCs w:val="24"/>
        </w:rPr>
        <w:t>ed eight stages to the re</w:t>
      </w:r>
      <w:r w:rsidR="00DD41E7" w:rsidRPr="00F85702">
        <w:rPr>
          <w:rFonts w:asciiTheme="minorHAnsi" w:hAnsiTheme="minorHAnsi"/>
          <w:sz w:val="24"/>
          <w:szCs w:val="24"/>
        </w:rPr>
        <w:t>alization of self-cultivation: ‘I</w:t>
      </w:r>
      <w:r w:rsidR="00CA58B5" w:rsidRPr="00F85702">
        <w:rPr>
          <w:rFonts w:asciiTheme="minorHAnsi" w:hAnsiTheme="minorHAnsi"/>
          <w:sz w:val="24"/>
          <w:szCs w:val="24"/>
        </w:rPr>
        <w:t>nvestigating things; extending one</w:t>
      </w:r>
      <w:r w:rsidR="00CA58B5" w:rsidRPr="00F85702">
        <w:rPr>
          <w:rStyle w:val="s1"/>
          <w:rFonts w:asciiTheme="minorHAnsi" w:hAnsiTheme="minorHAnsi"/>
          <w:sz w:val="24"/>
          <w:szCs w:val="24"/>
        </w:rPr>
        <w:t>’</w:t>
      </w:r>
      <w:r w:rsidR="00CA58B5" w:rsidRPr="00F85702">
        <w:rPr>
          <w:rFonts w:asciiTheme="minorHAnsi" w:hAnsiTheme="minorHAnsi"/>
          <w:sz w:val="24"/>
          <w:szCs w:val="24"/>
        </w:rPr>
        <w:t xml:space="preserve"> s knowledge; making one</w:t>
      </w:r>
      <w:r w:rsidR="00CA58B5" w:rsidRPr="00F85702">
        <w:rPr>
          <w:rStyle w:val="s1"/>
          <w:rFonts w:asciiTheme="minorHAnsi" w:hAnsiTheme="minorHAnsi"/>
          <w:sz w:val="24"/>
          <w:szCs w:val="24"/>
        </w:rPr>
        <w:t>’</w:t>
      </w:r>
      <w:r w:rsidR="00CA58B5" w:rsidRPr="00F85702">
        <w:rPr>
          <w:rFonts w:asciiTheme="minorHAnsi" w:hAnsiTheme="minorHAnsi"/>
          <w:sz w:val="24"/>
          <w:szCs w:val="24"/>
        </w:rPr>
        <w:t xml:space="preserve"> s intentions sincere; rectifying one</w:t>
      </w:r>
      <w:r w:rsidR="00CA58B5" w:rsidRPr="00F85702">
        <w:rPr>
          <w:rStyle w:val="s1"/>
          <w:rFonts w:asciiTheme="minorHAnsi" w:hAnsiTheme="minorHAnsi"/>
          <w:sz w:val="24"/>
          <w:szCs w:val="24"/>
        </w:rPr>
        <w:t>’</w:t>
      </w:r>
      <w:r w:rsidR="00CA58B5" w:rsidRPr="00F85702">
        <w:rPr>
          <w:rFonts w:asciiTheme="minorHAnsi" w:hAnsiTheme="minorHAnsi"/>
          <w:sz w:val="24"/>
          <w:szCs w:val="24"/>
        </w:rPr>
        <w:t xml:space="preserve"> s mind; cultivating one</w:t>
      </w:r>
      <w:r w:rsidR="00CA58B5" w:rsidRPr="00F85702">
        <w:rPr>
          <w:rStyle w:val="s1"/>
          <w:rFonts w:asciiTheme="minorHAnsi" w:hAnsiTheme="minorHAnsi"/>
          <w:sz w:val="24"/>
          <w:szCs w:val="24"/>
        </w:rPr>
        <w:t>’</w:t>
      </w:r>
      <w:r w:rsidR="00CA58B5" w:rsidRPr="00F85702">
        <w:rPr>
          <w:rFonts w:asciiTheme="minorHAnsi" w:hAnsiTheme="minorHAnsi"/>
          <w:sz w:val="24"/>
          <w:szCs w:val="24"/>
        </w:rPr>
        <w:t xml:space="preserve"> s personal life; regulating one</w:t>
      </w:r>
      <w:r w:rsidR="00CA58B5" w:rsidRPr="00F85702">
        <w:rPr>
          <w:rStyle w:val="s1"/>
          <w:rFonts w:asciiTheme="minorHAnsi" w:hAnsiTheme="minorHAnsi"/>
          <w:sz w:val="24"/>
          <w:szCs w:val="24"/>
        </w:rPr>
        <w:t>’</w:t>
      </w:r>
      <w:r w:rsidR="00CA58B5" w:rsidRPr="00F85702">
        <w:rPr>
          <w:rFonts w:asciiTheme="minorHAnsi" w:hAnsiTheme="minorHAnsi"/>
          <w:sz w:val="24"/>
          <w:szCs w:val="24"/>
        </w:rPr>
        <w:t xml:space="preserve"> s family; governing one</w:t>
      </w:r>
      <w:r w:rsidR="00CA58B5" w:rsidRPr="00F85702">
        <w:rPr>
          <w:rStyle w:val="s1"/>
          <w:rFonts w:asciiTheme="minorHAnsi" w:hAnsiTheme="minorHAnsi"/>
          <w:sz w:val="24"/>
          <w:szCs w:val="24"/>
        </w:rPr>
        <w:t>’</w:t>
      </w:r>
      <w:r w:rsidR="00CA58B5" w:rsidRPr="00F85702">
        <w:rPr>
          <w:rFonts w:asciiTheme="minorHAnsi" w:hAnsiTheme="minorHAnsi"/>
          <w:sz w:val="24"/>
          <w:szCs w:val="24"/>
        </w:rPr>
        <w:t xml:space="preserve"> s state; and setting the world at peace </w:t>
      </w:r>
      <w:r w:rsidR="00DD41E7" w:rsidRPr="00F85702">
        <w:rPr>
          <w:rFonts w:asciiTheme="minorHAnsi" w:hAnsiTheme="minorHAnsi"/>
          <w:sz w:val="24"/>
          <w:szCs w:val="24"/>
        </w:rPr>
        <w:t>and harmony.’</w:t>
      </w:r>
      <w:r w:rsidR="00DD41E7" w:rsidRPr="00F85702">
        <w:rPr>
          <w:rStyle w:val="FootnoteReference"/>
          <w:rFonts w:asciiTheme="minorHAnsi" w:hAnsiTheme="minorHAnsi"/>
          <w:sz w:val="24"/>
          <w:szCs w:val="24"/>
        </w:rPr>
        <w:footnoteReference w:id="73"/>
      </w:r>
    </w:p>
    <w:p w14:paraId="66FA2FA3" w14:textId="25FC7B12" w:rsidR="00931626" w:rsidRPr="00F85702" w:rsidRDefault="00420A40" w:rsidP="00F85702">
      <w:pPr>
        <w:spacing w:line="276" w:lineRule="auto"/>
      </w:pPr>
      <w:r w:rsidRPr="00F85702">
        <w:tab/>
        <w:t xml:space="preserve">At the same time, </w:t>
      </w:r>
      <w:r w:rsidR="00DD41E7" w:rsidRPr="00F85702">
        <w:t>in a</w:t>
      </w:r>
      <w:r w:rsidRPr="00F85702">
        <w:t xml:space="preserve"> normative approach to the social </w:t>
      </w:r>
      <w:r w:rsidR="00DD41E7" w:rsidRPr="00F85702">
        <w:t>there are</w:t>
      </w:r>
      <w:r w:rsidRPr="00F85702">
        <w:t xml:space="preserve"> </w:t>
      </w:r>
      <w:r w:rsidR="00896260" w:rsidRPr="00F85702">
        <w:t xml:space="preserve">potential </w:t>
      </w:r>
      <w:r w:rsidRPr="00F85702">
        <w:t xml:space="preserve">dilemmas for self-formation. </w:t>
      </w:r>
      <w:r w:rsidR="00896260" w:rsidRPr="00F85702">
        <w:t xml:space="preserve">It is one matter for education to move beyond methodological individualism to foreground the relational, the contextual and the ecological, as it should do. It is another matter for education to fill the content of the social with its preferred version </w:t>
      </w:r>
      <w:r w:rsidR="00896260" w:rsidRPr="00F85702">
        <w:lastRenderedPageBreak/>
        <w:t xml:space="preserve">of </w:t>
      </w:r>
      <w:r w:rsidR="000C6E0E" w:rsidRPr="00F85702">
        <w:t>social relation</w:t>
      </w:r>
      <w:r w:rsidR="00896260" w:rsidRPr="00F85702">
        <w:t xml:space="preserve">s. </w:t>
      </w:r>
      <w:r w:rsidR="000C6E0E" w:rsidRPr="00F85702">
        <w:t>Agency freedom</w:t>
      </w:r>
      <w:r w:rsidR="00896260" w:rsidRPr="00F85702">
        <w:t xml:space="preserve"> requires that students map the social for themselves.</w:t>
      </w:r>
      <w:r w:rsidR="00851EF0" w:rsidRPr="00F85702">
        <w:t xml:space="preserve"> </w:t>
      </w:r>
      <w:r w:rsidR="00851EF0" w:rsidRPr="00F85702">
        <w:rPr>
          <w:rFonts w:cs="Times New Roman"/>
        </w:rPr>
        <w:t>Driving a single social philosophy through higher education violates all three Sen freedoms.</w:t>
      </w:r>
    </w:p>
    <w:p w14:paraId="3CA0F5FD" w14:textId="77777777" w:rsidR="00943D7F" w:rsidRPr="00F85702" w:rsidRDefault="00943D7F" w:rsidP="00F85702">
      <w:pPr>
        <w:spacing w:line="276" w:lineRule="auto"/>
      </w:pPr>
    </w:p>
    <w:p w14:paraId="0609BA90" w14:textId="18F073C7" w:rsidR="00943D7F" w:rsidRPr="00F85702" w:rsidRDefault="00307035" w:rsidP="00F85702">
      <w:pPr>
        <w:spacing w:line="276" w:lineRule="auto"/>
        <w:rPr>
          <w:b/>
        </w:rPr>
      </w:pPr>
      <w:r w:rsidRPr="00F85702">
        <w:rPr>
          <w:b/>
        </w:rPr>
        <w:t>Other</w:t>
      </w:r>
      <w:r w:rsidR="00943D7F" w:rsidRPr="00F85702">
        <w:rPr>
          <w:b/>
        </w:rPr>
        <w:t xml:space="preserve"> explanations </w:t>
      </w:r>
    </w:p>
    <w:p w14:paraId="0ABD295E" w14:textId="77777777" w:rsidR="00307035" w:rsidRPr="00F85702" w:rsidRDefault="00307035" w:rsidP="00F85702">
      <w:pPr>
        <w:spacing w:line="276" w:lineRule="auto"/>
      </w:pPr>
    </w:p>
    <w:p w14:paraId="6C62AB29" w14:textId="528E9358" w:rsidR="00034FF7" w:rsidRPr="00F85702" w:rsidRDefault="00851EF0" w:rsidP="00F85702">
      <w:pPr>
        <w:spacing w:line="276" w:lineRule="auto"/>
      </w:pPr>
      <w:r w:rsidRPr="00F85702">
        <w:t>H</w:t>
      </w:r>
      <w:r w:rsidR="00EA6918" w:rsidRPr="00F85702">
        <w:t>igher education as self-formation has a long pedigree and enables rich educational practice</w:t>
      </w:r>
      <w:r w:rsidRPr="00F85702">
        <w:t xml:space="preserve"> but as you know it </w:t>
      </w:r>
      <w:r w:rsidR="00EA6918" w:rsidRPr="00F85702">
        <w:t xml:space="preserve">is </w:t>
      </w:r>
      <w:r w:rsidRPr="00F85702">
        <w:t>not</w:t>
      </w:r>
      <w:r w:rsidR="00EA6918" w:rsidRPr="00F85702">
        <w:t xml:space="preserve"> the only or the dominant idea of higher education. </w:t>
      </w:r>
      <w:r w:rsidR="008C0E46" w:rsidRPr="00F85702">
        <w:t xml:space="preserve">Ashwin, Abbas and McLean examine ways that ‘high quality’ higher education is represented in </w:t>
      </w:r>
      <w:r w:rsidRPr="00F85702">
        <w:t>the</w:t>
      </w:r>
      <w:r w:rsidR="008C0E46" w:rsidRPr="00F85702">
        <w:t xml:space="preserve"> policy-related documents of </w:t>
      </w:r>
      <w:r w:rsidRPr="00F85702">
        <w:t xml:space="preserve">UK </w:t>
      </w:r>
      <w:r w:rsidR="008C0E46" w:rsidRPr="00F85702">
        <w:t xml:space="preserve">government and other actors. </w:t>
      </w:r>
      <w:r w:rsidRPr="00F85702">
        <w:t>T</w:t>
      </w:r>
      <w:r w:rsidR="008C0E46" w:rsidRPr="00F85702">
        <w:t>here are two broad types of representations</w:t>
      </w:r>
      <w:r w:rsidR="009747AD" w:rsidRPr="00F85702">
        <w:t>. First,</w:t>
      </w:r>
      <w:r w:rsidR="008C0E46" w:rsidRPr="00F85702">
        <w:t xml:space="preserve"> the ‘dominant market-oriented generic discourse’, </w:t>
      </w:r>
      <w:r w:rsidRPr="00F85702">
        <w:t>where</w:t>
      </w:r>
      <w:r w:rsidR="008C0E46" w:rsidRPr="00F85702">
        <w:t xml:space="preserve"> quality is secured through the consumer power of students in a competitive </w:t>
      </w:r>
      <w:r w:rsidR="000E50A0" w:rsidRPr="00F85702">
        <w:t>market of producer institutions</w:t>
      </w:r>
      <w:r w:rsidR="009747AD" w:rsidRPr="00F85702">
        <w:t>. Second,</w:t>
      </w:r>
      <w:r w:rsidR="008C0E46" w:rsidRPr="00F85702">
        <w:t xml:space="preserve"> a more fragmented set of discourse</w:t>
      </w:r>
      <w:r w:rsidR="00652BB2" w:rsidRPr="00F85702">
        <w:t xml:space="preserve">s </w:t>
      </w:r>
      <w:r w:rsidR="009747AD" w:rsidRPr="00F85702">
        <w:t xml:space="preserve">that </w:t>
      </w:r>
      <w:r w:rsidR="00800D98" w:rsidRPr="00F85702">
        <w:t>acknowledge</w:t>
      </w:r>
      <w:r w:rsidR="00652BB2" w:rsidRPr="00F85702">
        <w:t xml:space="preserve"> transformati</w:t>
      </w:r>
      <w:r w:rsidR="009747AD" w:rsidRPr="00F85702">
        <w:t>on</w:t>
      </w:r>
      <w:r w:rsidR="00652BB2" w:rsidRPr="00F85702">
        <w:t xml:space="preserve"> </w:t>
      </w:r>
      <w:r w:rsidR="00B456A9" w:rsidRPr="00F85702">
        <w:t>in</w:t>
      </w:r>
      <w:r w:rsidR="00652BB2" w:rsidRPr="00F85702">
        <w:t xml:space="preserve"> higher education</w:t>
      </w:r>
      <w:r w:rsidR="00B456A9" w:rsidRPr="00F85702">
        <w:t>. D</w:t>
      </w:r>
      <w:r w:rsidR="000E50A0" w:rsidRPr="00F85702">
        <w:t>isciplinary knowledge and critical thinking are mentioned</w:t>
      </w:r>
      <w:r w:rsidR="00800D98" w:rsidRPr="00F85702">
        <w:t xml:space="preserve"> but</w:t>
      </w:r>
      <w:r w:rsidR="000E50A0" w:rsidRPr="00F85702">
        <w:t xml:space="preserve"> the </w:t>
      </w:r>
      <w:r w:rsidR="00B456A9" w:rsidRPr="00F85702">
        <w:t xml:space="preserve">main </w:t>
      </w:r>
      <w:r w:rsidR="000E50A0" w:rsidRPr="00F85702">
        <w:t xml:space="preserve">emphasis </w:t>
      </w:r>
      <w:r w:rsidR="00800D98" w:rsidRPr="00F85702">
        <w:t>is</w:t>
      </w:r>
      <w:r w:rsidR="000E50A0" w:rsidRPr="00F85702">
        <w:t xml:space="preserve"> on </w:t>
      </w:r>
      <w:r w:rsidR="00652BB2" w:rsidRPr="00F85702">
        <w:t>teaching</w:t>
      </w:r>
      <w:r w:rsidR="00B456A9" w:rsidRPr="00F85702">
        <w:t xml:space="preserve">, </w:t>
      </w:r>
      <w:r w:rsidR="00C91F1E" w:rsidRPr="00F85702">
        <w:t xml:space="preserve">on </w:t>
      </w:r>
      <w:r w:rsidR="00B456A9" w:rsidRPr="00F85702">
        <w:t>higher education as other-formation</w:t>
      </w:r>
      <w:r w:rsidR="00652BB2" w:rsidRPr="00F85702">
        <w:t>.</w:t>
      </w:r>
      <w:r w:rsidR="00AE301B" w:rsidRPr="00F85702">
        <w:rPr>
          <w:rStyle w:val="FootnoteReference"/>
        </w:rPr>
        <w:footnoteReference w:id="74"/>
      </w:r>
      <w:r w:rsidR="008C0E46" w:rsidRPr="00F85702">
        <w:t xml:space="preserve"> </w:t>
      </w:r>
      <w:r w:rsidR="000E50A0" w:rsidRPr="00F85702">
        <w:t xml:space="preserve">It is striking that </w:t>
      </w:r>
      <w:r w:rsidR="00B456A9" w:rsidRPr="00F85702">
        <w:t xml:space="preserve">overall, </w:t>
      </w:r>
      <w:r w:rsidR="000E50A0" w:rsidRPr="00F85702">
        <w:t xml:space="preserve">in </w:t>
      </w:r>
      <w:r w:rsidRPr="00F85702">
        <w:t>all the material</w:t>
      </w:r>
      <w:r w:rsidR="00935F60" w:rsidRPr="00F85702">
        <w:t>, knowledge and student formation are downplayed</w:t>
      </w:r>
      <w:r w:rsidR="00800D98" w:rsidRPr="00F85702">
        <w:t>,</w:t>
      </w:r>
      <w:r w:rsidR="00935F60" w:rsidRPr="00F85702">
        <w:t xml:space="preserve"> and </w:t>
      </w:r>
      <w:r w:rsidR="00034FF7" w:rsidRPr="00F85702">
        <w:t xml:space="preserve">agency driven </w:t>
      </w:r>
      <w:r w:rsidR="00935F60" w:rsidRPr="00F85702">
        <w:t xml:space="preserve">self-formation </w:t>
      </w:r>
      <w:r w:rsidR="00034FF7" w:rsidRPr="00F85702">
        <w:t>is</w:t>
      </w:r>
      <w:r w:rsidR="00935F60" w:rsidRPr="00F85702">
        <w:t xml:space="preserve"> </w:t>
      </w:r>
      <w:r w:rsidR="00034FF7" w:rsidRPr="00F85702">
        <w:t xml:space="preserve">absent, despite the </w:t>
      </w:r>
      <w:r w:rsidR="00C91F1E" w:rsidRPr="00F85702">
        <w:t xml:space="preserve">prevailing </w:t>
      </w:r>
      <w:r w:rsidR="00034FF7" w:rsidRPr="00F85702">
        <w:t>student-centeredness</w:t>
      </w:r>
      <w:r w:rsidR="00C91F1E" w:rsidRPr="00F85702">
        <w:t xml:space="preserve"> rhetoric</w:t>
      </w:r>
      <w:r w:rsidR="00935F60" w:rsidRPr="00F85702">
        <w:t>.</w:t>
      </w:r>
      <w:r w:rsidR="00C91F1E" w:rsidRPr="00F85702">
        <w:t xml:space="preserve"> E</w:t>
      </w:r>
      <w:r w:rsidR="00D513A6" w:rsidRPr="00F85702">
        <w:t xml:space="preserve">ven the alternate discourses </w:t>
      </w:r>
      <w:r w:rsidR="00EA6918" w:rsidRPr="00F85702">
        <w:t>do</w:t>
      </w:r>
      <w:r w:rsidR="00D513A6" w:rsidRPr="00F85702">
        <w:t xml:space="preserve"> not </w:t>
      </w:r>
      <w:r w:rsidR="00EA6918" w:rsidRPr="00F85702">
        <w:t>‘</w:t>
      </w:r>
      <w:r w:rsidR="00D513A6" w:rsidRPr="00F85702">
        <w:t>give a sense of what is special about the knowledge that students are engaging with</w:t>
      </w:r>
      <w:r w:rsidR="00EA6918" w:rsidRPr="00F85702">
        <w:t>’</w:t>
      </w:r>
      <w:r w:rsidR="00D513A6" w:rsidRPr="00F85702">
        <w:t xml:space="preserve"> </w:t>
      </w:r>
      <w:r w:rsidR="00EA6918" w:rsidRPr="00F85702">
        <w:t>or</w:t>
      </w:r>
      <w:r w:rsidR="00D513A6" w:rsidRPr="00F85702">
        <w:t xml:space="preserve"> </w:t>
      </w:r>
      <w:r w:rsidR="00EA6918" w:rsidRPr="00F85702">
        <w:t>‘</w:t>
      </w:r>
      <w:r w:rsidR="00D513A6" w:rsidRPr="00F85702">
        <w:t>give a sense of the identities that they dev</w:t>
      </w:r>
      <w:r w:rsidR="00AE301B" w:rsidRPr="00F85702">
        <w:t>e</w:t>
      </w:r>
      <w:r w:rsidR="00D513A6" w:rsidRPr="00F85702">
        <w:t>lop through this engagement</w:t>
      </w:r>
      <w:r w:rsidR="00B456A9" w:rsidRPr="00F85702">
        <w:t>.</w:t>
      </w:r>
      <w:r w:rsidR="00D513A6" w:rsidRPr="00F85702">
        <w:t>’</w:t>
      </w:r>
      <w:r w:rsidR="00AE301B" w:rsidRPr="00F85702">
        <w:rPr>
          <w:rStyle w:val="FootnoteReference"/>
        </w:rPr>
        <w:footnoteReference w:id="75"/>
      </w:r>
      <w:r w:rsidR="00D513A6" w:rsidRPr="00F85702">
        <w:t xml:space="preserve"> </w:t>
      </w:r>
    </w:p>
    <w:p w14:paraId="32221097" w14:textId="3F3F5CB0" w:rsidR="00AE717A" w:rsidRPr="00F85702" w:rsidRDefault="00C91F1E" w:rsidP="00F85702">
      <w:pPr>
        <w:spacing w:line="276" w:lineRule="auto"/>
        <w:ind w:firstLine="454"/>
      </w:pPr>
      <w:r w:rsidRPr="00F85702">
        <w:t>T</w:t>
      </w:r>
      <w:r w:rsidR="00034FF7" w:rsidRPr="00F85702">
        <w:t xml:space="preserve">his </w:t>
      </w:r>
      <w:r w:rsidR="00935F60" w:rsidRPr="00F85702">
        <w:t xml:space="preserve">says more about the ideological </w:t>
      </w:r>
      <w:r w:rsidR="00034FF7" w:rsidRPr="00F85702">
        <w:t xml:space="preserve">nature </w:t>
      </w:r>
      <w:r w:rsidR="00935F60" w:rsidRPr="00F85702">
        <w:t xml:space="preserve">of policy discussion than </w:t>
      </w:r>
      <w:r w:rsidR="00034FF7" w:rsidRPr="00F85702">
        <w:t>the</w:t>
      </w:r>
      <w:r w:rsidR="00935F60" w:rsidRPr="00F85702">
        <w:t xml:space="preserve"> potentials </w:t>
      </w:r>
      <w:r w:rsidR="00034FF7" w:rsidRPr="00F85702">
        <w:t>of</w:t>
      </w:r>
      <w:r w:rsidR="00935F60" w:rsidRPr="00F85702">
        <w:t xml:space="preserve"> higher education. </w:t>
      </w:r>
      <w:r w:rsidRPr="00F85702">
        <w:t>The</w:t>
      </w:r>
      <w:r w:rsidR="00800D98" w:rsidRPr="00F85702">
        <w:t xml:space="preserve"> market-consumer paradigm drastically shrinks what higher education has to offer, its value to individuals and societies, when compared to Bildung, Dewey and Confucian self-cultivation. </w:t>
      </w:r>
      <w:r w:rsidR="00C9482B" w:rsidRPr="00F85702">
        <w:t xml:space="preserve">It narrows the practical agenda to immediate student satisfaction, short-term graduate salaries and </w:t>
      </w:r>
      <w:r w:rsidRPr="00F85702">
        <w:t xml:space="preserve">speculative </w:t>
      </w:r>
      <w:r w:rsidR="00C9482B" w:rsidRPr="00F85702">
        <w:t xml:space="preserve">judgments about long term position. The consumer paradigm is not psychologically sophisticated. It assumes </w:t>
      </w:r>
      <w:r w:rsidR="001D58C8" w:rsidRPr="00F85702">
        <w:t xml:space="preserve">that </w:t>
      </w:r>
      <w:r w:rsidR="00C9482B" w:rsidRPr="00F85702">
        <w:t xml:space="preserve">students salivate at market signals, like Pavlov’s </w:t>
      </w:r>
      <w:r w:rsidR="00C9482B" w:rsidRPr="00F85702">
        <w:rPr>
          <w:i/>
        </w:rPr>
        <w:t>sobaka</w:t>
      </w:r>
      <w:r w:rsidR="00C9482B" w:rsidRPr="00F85702">
        <w:t xml:space="preserve"> with </w:t>
      </w:r>
      <w:r w:rsidR="00670ED2" w:rsidRPr="00F85702">
        <w:t xml:space="preserve">just </w:t>
      </w:r>
      <w:r w:rsidR="00C9482B" w:rsidRPr="00F85702">
        <w:t xml:space="preserve">one thing </w:t>
      </w:r>
      <w:r w:rsidR="004A138D" w:rsidRPr="00F85702">
        <w:t>o</w:t>
      </w:r>
      <w:r w:rsidR="00C9482B" w:rsidRPr="00F85702">
        <w:t>n its mind</w:t>
      </w:r>
      <w:r w:rsidR="00261E38" w:rsidRPr="00F85702">
        <w:t>, f</w:t>
      </w:r>
      <w:r w:rsidR="00C9482B" w:rsidRPr="00F85702">
        <w:t xml:space="preserve">ood. </w:t>
      </w:r>
      <w:r w:rsidR="00C47830" w:rsidRPr="00F85702">
        <w:t xml:space="preserve">As Ashwin and McVitty remark, </w:t>
      </w:r>
      <w:r w:rsidRPr="00F85702">
        <w:t>it</w:t>
      </w:r>
      <w:r w:rsidR="00C47830" w:rsidRPr="00F85702">
        <w:t xml:space="preserve"> asks students to commodify their own intellectual and personal transformation</w:t>
      </w:r>
      <w:r w:rsidRPr="00F85702">
        <w:t xml:space="preserve">, with </w:t>
      </w:r>
      <w:r w:rsidR="001D58C8" w:rsidRPr="00F85702">
        <w:t xml:space="preserve">little real </w:t>
      </w:r>
      <w:r w:rsidR="00C47830" w:rsidRPr="00F85702">
        <w:t>agency</w:t>
      </w:r>
      <w:r w:rsidR="001D58C8" w:rsidRPr="00F85702">
        <w:t xml:space="preserve"> on offer</w:t>
      </w:r>
      <w:r w:rsidR="00C47830" w:rsidRPr="00F85702">
        <w:t>.</w:t>
      </w:r>
      <w:r w:rsidR="00C47830" w:rsidRPr="00F85702">
        <w:rPr>
          <w:rStyle w:val="FootnoteReference"/>
        </w:rPr>
        <w:footnoteReference w:id="76"/>
      </w:r>
      <w:r w:rsidR="00C47830" w:rsidRPr="00F85702">
        <w:t xml:space="preserve"> How much power do mass consumers </w:t>
      </w:r>
      <w:r w:rsidR="00670ED2" w:rsidRPr="00F85702">
        <w:t xml:space="preserve">ever </w:t>
      </w:r>
      <w:r w:rsidR="00C47830" w:rsidRPr="00F85702">
        <w:t xml:space="preserve">exercise? </w:t>
      </w:r>
      <w:r w:rsidRPr="00F85702">
        <w:rPr>
          <w:iCs/>
        </w:rPr>
        <w:t>Fortunately,</w:t>
      </w:r>
      <w:r w:rsidR="006C7517" w:rsidRPr="00F85702">
        <w:rPr>
          <w:iCs/>
        </w:rPr>
        <w:t xml:space="preserve"> </w:t>
      </w:r>
      <w:r w:rsidR="00AE717A" w:rsidRPr="00F85702">
        <w:rPr>
          <w:iCs/>
        </w:rPr>
        <w:t xml:space="preserve">students have a less </w:t>
      </w:r>
      <w:r w:rsidR="00DF6EE7" w:rsidRPr="00F85702">
        <w:rPr>
          <w:iCs/>
        </w:rPr>
        <w:t>consumptionist</w:t>
      </w:r>
      <w:r w:rsidR="00AE717A" w:rsidRPr="00F85702">
        <w:rPr>
          <w:iCs/>
        </w:rPr>
        <w:t xml:space="preserve"> take. </w:t>
      </w:r>
      <w:r w:rsidRPr="00F85702">
        <w:rPr>
          <w:iCs/>
        </w:rPr>
        <w:t xml:space="preserve">A recent </w:t>
      </w:r>
      <w:r w:rsidR="00AE717A" w:rsidRPr="00F85702">
        <w:rPr>
          <w:iCs/>
        </w:rPr>
        <w:t>survey of 9000 students at 123 institutions found 34 per cent believed universities should be accountable for poor graduate employment</w:t>
      </w:r>
      <w:r w:rsidR="00DF6EE7" w:rsidRPr="00F85702">
        <w:rPr>
          <w:iCs/>
        </w:rPr>
        <w:t xml:space="preserve"> figures</w:t>
      </w:r>
      <w:r w:rsidR="00AE717A" w:rsidRPr="00F85702">
        <w:rPr>
          <w:iCs/>
        </w:rPr>
        <w:t xml:space="preserve"> but 68 per cent </w:t>
      </w:r>
      <w:r w:rsidRPr="00F85702">
        <w:rPr>
          <w:iCs/>
        </w:rPr>
        <w:t>saw them as</w:t>
      </w:r>
      <w:r w:rsidR="00AE717A" w:rsidRPr="00F85702">
        <w:rPr>
          <w:iCs/>
        </w:rPr>
        <w:t xml:space="preserve"> accountable for poor teaching. When asked which factors demonstrate </w:t>
      </w:r>
      <w:r w:rsidR="00670ED2" w:rsidRPr="00F85702">
        <w:rPr>
          <w:iCs/>
        </w:rPr>
        <w:t xml:space="preserve">that </w:t>
      </w:r>
      <w:r w:rsidR="00AE717A" w:rsidRPr="00F85702">
        <w:rPr>
          <w:iCs/>
        </w:rPr>
        <w:t xml:space="preserve">a university has excellent teaching, graduate employment came last out of seven </w:t>
      </w:r>
      <w:r w:rsidR="00B66662" w:rsidRPr="00F85702">
        <w:rPr>
          <w:iCs/>
        </w:rPr>
        <w:t>option</w:t>
      </w:r>
      <w:r w:rsidR="00AE717A" w:rsidRPr="00F85702">
        <w:rPr>
          <w:iCs/>
        </w:rPr>
        <w:t>s</w:t>
      </w:r>
      <w:r w:rsidR="00DF6EE7" w:rsidRPr="00F85702">
        <w:rPr>
          <w:iCs/>
        </w:rPr>
        <w:t>.</w:t>
      </w:r>
      <w:r w:rsidR="00EF7854" w:rsidRPr="00F85702">
        <w:rPr>
          <w:rStyle w:val="FootnoteReference"/>
          <w:iCs/>
        </w:rPr>
        <w:footnoteReference w:id="77"/>
      </w:r>
      <w:r w:rsidR="00DF6EE7" w:rsidRPr="00F85702">
        <w:rPr>
          <w:iCs/>
        </w:rPr>
        <w:t xml:space="preserve"> </w:t>
      </w:r>
      <w:r w:rsidR="00B66662" w:rsidRPr="00F85702">
        <w:rPr>
          <w:iCs/>
        </w:rPr>
        <w:t>M</w:t>
      </w:r>
      <w:r w:rsidR="00DF6EE7" w:rsidRPr="00F85702">
        <w:rPr>
          <w:iCs/>
        </w:rPr>
        <w:t>ost students have not bou</w:t>
      </w:r>
      <w:r w:rsidR="00261E38" w:rsidRPr="00F85702">
        <w:rPr>
          <w:iCs/>
        </w:rPr>
        <w:t xml:space="preserve">ght </w:t>
      </w:r>
      <w:r w:rsidR="00670ED2" w:rsidRPr="00F85702">
        <w:rPr>
          <w:iCs/>
        </w:rPr>
        <w:t xml:space="preserve">into </w:t>
      </w:r>
      <w:r w:rsidR="00DF6EE7" w:rsidRPr="00F85702">
        <w:rPr>
          <w:iCs/>
        </w:rPr>
        <w:t xml:space="preserve">the </w:t>
      </w:r>
      <w:r w:rsidR="00670ED2" w:rsidRPr="00F85702">
        <w:rPr>
          <w:iCs/>
        </w:rPr>
        <w:t xml:space="preserve">idea of the </w:t>
      </w:r>
      <w:r w:rsidR="00DF6EE7" w:rsidRPr="00F85702">
        <w:rPr>
          <w:iCs/>
        </w:rPr>
        <w:t xml:space="preserve">nexus between teaching quality, satisfaction, employment and </w:t>
      </w:r>
      <w:r w:rsidR="00670ED2" w:rsidRPr="00F85702">
        <w:rPr>
          <w:iCs/>
        </w:rPr>
        <w:t>choice of</w:t>
      </w:r>
      <w:r w:rsidR="00DF6EE7" w:rsidRPr="00F85702">
        <w:rPr>
          <w:iCs/>
        </w:rPr>
        <w:t xml:space="preserve"> </w:t>
      </w:r>
      <w:r w:rsidR="00670ED2" w:rsidRPr="00F85702">
        <w:rPr>
          <w:iCs/>
        </w:rPr>
        <w:t>university</w:t>
      </w:r>
      <w:r w:rsidR="00DF6EE7" w:rsidRPr="00F85702">
        <w:rPr>
          <w:iCs/>
        </w:rPr>
        <w:t xml:space="preserve">. They don’t self-form </w:t>
      </w:r>
      <w:r w:rsidR="00A3314B" w:rsidRPr="00F85702">
        <w:rPr>
          <w:iCs/>
        </w:rPr>
        <w:t xml:space="preserve">while shopping </w:t>
      </w:r>
      <w:r w:rsidR="00DF6EE7" w:rsidRPr="00F85702">
        <w:rPr>
          <w:iCs/>
        </w:rPr>
        <w:t xml:space="preserve">at </w:t>
      </w:r>
      <w:r w:rsidR="00FB5609" w:rsidRPr="00F85702">
        <w:rPr>
          <w:iCs/>
        </w:rPr>
        <w:t>Tesco, or not much</w:t>
      </w:r>
      <w:r w:rsidR="00261E38" w:rsidRPr="00F85702">
        <w:rPr>
          <w:iCs/>
        </w:rPr>
        <w:t>. T</w:t>
      </w:r>
      <w:r w:rsidR="00DF6EE7" w:rsidRPr="00F85702">
        <w:rPr>
          <w:iCs/>
        </w:rPr>
        <w:t xml:space="preserve">hey do in higher education. </w:t>
      </w:r>
    </w:p>
    <w:p w14:paraId="562E3AA9" w14:textId="799A8F9F" w:rsidR="00C9482B" w:rsidRPr="00F85702" w:rsidRDefault="00800D98" w:rsidP="00F85702">
      <w:pPr>
        <w:spacing w:line="276" w:lineRule="auto"/>
        <w:ind w:firstLine="454"/>
      </w:pPr>
      <w:r w:rsidRPr="00F85702">
        <w:lastRenderedPageBreak/>
        <w:t>And y</w:t>
      </w:r>
      <w:r w:rsidR="00A4431B" w:rsidRPr="00F85702">
        <w:t>et</w:t>
      </w:r>
      <w:r w:rsidRPr="00F85702">
        <w:t xml:space="preserve">—the </w:t>
      </w:r>
      <w:r w:rsidR="00034FF7" w:rsidRPr="00F85702">
        <w:t xml:space="preserve">idea </w:t>
      </w:r>
      <w:r w:rsidR="00AE717A" w:rsidRPr="00F85702">
        <w:t>of</w:t>
      </w:r>
      <w:r w:rsidR="00034FF7" w:rsidRPr="00F85702">
        <w:t xml:space="preserve"> higher education as</w:t>
      </w:r>
      <w:r w:rsidR="00A4431B" w:rsidRPr="00F85702">
        <w:t xml:space="preserve"> an</w:t>
      </w:r>
      <w:r w:rsidR="00034FF7" w:rsidRPr="00F85702">
        <w:t xml:space="preserve"> investment in future </w:t>
      </w:r>
      <w:r w:rsidR="00AE717A" w:rsidRPr="00F85702">
        <w:t xml:space="preserve">graduate </w:t>
      </w:r>
      <w:r w:rsidR="00034FF7" w:rsidRPr="00F85702">
        <w:t xml:space="preserve">productivity, </w:t>
      </w:r>
      <w:r w:rsidR="00AE717A" w:rsidRPr="00F85702">
        <w:t>in</w:t>
      </w:r>
      <w:r w:rsidR="00034FF7" w:rsidRPr="00F85702">
        <w:t xml:space="preserve"> human capital, and the idea that completing a degree enhances employability, are </w:t>
      </w:r>
      <w:r w:rsidR="00C91F1E" w:rsidRPr="00F85702">
        <w:t>not</w:t>
      </w:r>
      <w:r w:rsidR="00034FF7" w:rsidRPr="00F85702">
        <w:t xml:space="preserve"> </w:t>
      </w:r>
      <w:r w:rsidR="00A4431B" w:rsidRPr="00F85702">
        <w:t xml:space="preserve">wholly wrong. </w:t>
      </w:r>
      <w:r w:rsidR="00034FF7" w:rsidRPr="00F85702">
        <w:t xml:space="preserve">Some students, some of the time, make decisions about higher education according to </w:t>
      </w:r>
      <w:r w:rsidR="00C9482B" w:rsidRPr="00F85702">
        <w:t xml:space="preserve">human capital </w:t>
      </w:r>
      <w:r w:rsidR="00C91F1E" w:rsidRPr="00F85702">
        <w:t>calculations of future earnings</w:t>
      </w:r>
      <w:r w:rsidR="00C9482B" w:rsidRPr="00F85702">
        <w:t xml:space="preserve">. </w:t>
      </w:r>
      <w:r w:rsidR="00261E38" w:rsidRPr="00F85702">
        <w:t>Most students hope that their degree will at enhance their economic prospects; a</w:t>
      </w:r>
      <w:r w:rsidR="00AE717A" w:rsidRPr="00F85702">
        <w:t>nd s</w:t>
      </w:r>
      <w:r w:rsidR="00C9482B" w:rsidRPr="00F85702">
        <w:t>ome</w:t>
      </w:r>
      <w:r w:rsidR="00034FF7" w:rsidRPr="00F85702">
        <w:t xml:space="preserve"> </w:t>
      </w:r>
      <w:r w:rsidR="00C91F1E" w:rsidRPr="00F85702">
        <w:t>behave</w:t>
      </w:r>
      <w:r w:rsidR="00034FF7" w:rsidRPr="00F85702">
        <w:t xml:space="preserve"> as consumers</w:t>
      </w:r>
      <w:r w:rsidR="00C9482B" w:rsidRPr="00F85702">
        <w:t>.</w:t>
      </w:r>
      <w:r w:rsidR="00E512F6" w:rsidRPr="00F85702">
        <w:rPr>
          <w:rStyle w:val="FootnoteReference"/>
        </w:rPr>
        <w:footnoteReference w:id="78"/>
      </w:r>
      <w:r w:rsidR="00C9482B" w:rsidRPr="00F85702">
        <w:t xml:space="preserve"> </w:t>
      </w:r>
      <w:r w:rsidR="00C91F1E" w:rsidRPr="00F85702">
        <w:t>Under a</w:t>
      </w:r>
      <w:r w:rsidR="00A4431B" w:rsidRPr="00F85702">
        <w:t xml:space="preserve"> consump</w:t>
      </w:r>
      <w:r w:rsidR="00261E38" w:rsidRPr="00F85702">
        <w:t>tion</w:t>
      </w:r>
      <w:r w:rsidR="00C91F1E" w:rsidRPr="00F85702">
        <w:t>-based policy</w:t>
      </w:r>
      <w:r w:rsidR="00261E38" w:rsidRPr="00F85702">
        <w:t xml:space="preserve"> </w:t>
      </w:r>
      <w:r w:rsidR="00A4431B" w:rsidRPr="00F85702">
        <w:t>such behaviours will increase</w:t>
      </w:r>
      <w:r w:rsidR="00034FF7" w:rsidRPr="00F85702">
        <w:t>.</w:t>
      </w:r>
      <w:r w:rsidR="00307035" w:rsidRPr="00F85702">
        <w:rPr>
          <w:rStyle w:val="FootnoteReference"/>
        </w:rPr>
        <w:footnoteReference w:id="79"/>
      </w:r>
      <w:r w:rsidR="00034FF7" w:rsidRPr="00F85702">
        <w:t xml:space="preserve"> Likewise</w:t>
      </w:r>
      <w:r w:rsidR="006B535D" w:rsidRPr="00F85702">
        <w:t>, the</w:t>
      </w:r>
      <w:r w:rsidR="00B456A9" w:rsidRPr="00F85702">
        <w:t xml:space="preserve"> idea</w:t>
      </w:r>
      <w:r w:rsidR="00034FF7" w:rsidRPr="00F85702">
        <w:t xml:space="preserve"> of </w:t>
      </w:r>
      <w:r w:rsidR="00B456A9" w:rsidRPr="00F85702">
        <w:t>society</w:t>
      </w:r>
      <w:r w:rsidR="00034FF7" w:rsidRPr="00F85702">
        <w:t xml:space="preserve"> as a field of investment in positional goods </w:t>
      </w:r>
      <w:r w:rsidR="00C91F1E" w:rsidRPr="00F85702">
        <w:t>i</w:t>
      </w:r>
      <w:r w:rsidR="00034FF7" w:rsidRPr="00F85702">
        <w:t>s salien</w:t>
      </w:r>
      <w:r w:rsidR="00C91F1E" w:rsidRPr="00F85702">
        <w:t>t</w:t>
      </w:r>
      <w:r w:rsidR="00034FF7" w:rsidRPr="00F85702">
        <w:t xml:space="preserve">. </w:t>
      </w:r>
      <w:r w:rsidR="00C91F1E" w:rsidRPr="00F85702">
        <w:t>M</w:t>
      </w:r>
      <w:r w:rsidR="00A4431B" w:rsidRPr="00F85702">
        <w:t xml:space="preserve">ost families see in higher education the potential to maintain </w:t>
      </w:r>
      <w:r w:rsidR="00487D9A" w:rsidRPr="00F85702">
        <w:t xml:space="preserve">or uplift </w:t>
      </w:r>
      <w:r w:rsidR="00B456A9" w:rsidRPr="00F85702">
        <w:t xml:space="preserve">their </w:t>
      </w:r>
      <w:r w:rsidR="006B535D" w:rsidRPr="00F85702">
        <w:t>social position. And no doubt</w:t>
      </w:r>
      <w:r w:rsidR="00A4431B" w:rsidRPr="00F85702">
        <w:t xml:space="preserve"> some </w:t>
      </w:r>
      <w:r w:rsidR="00034FF7" w:rsidRPr="00F85702">
        <w:t xml:space="preserve">students </w:t>
      </w:r>
      <w:r w:rsidR="006B535D" w:rsidRPr="00F85702">
        <w:t>want</w:t>
      </w:r>
      <w:r w:rsidR="00034FF7" w:rsidRPr="00F85702">
        <w:t xml:space="preserve"> Bourdieu-ian social and cultural capital</w:t>
      </w:r>
      <w:r w:rsidR="00A4431B" w:rsidRPr="00F85702">
        <w:t xml:space="preserve">s. </w:t>
      </w:r>
    </w:p>
    <w:p w14:paraId="076009F0" w14:textId="43FC3444" w:rsidR="00943D7F" w:rsidRPr="00F85702" w:rsidRDefault="00C9482B" w:rsidP="00F85702">
      <w:pPr>
        <w:spacing w:line="276" w:lineRule="auto"/>
        <w:ind w:firstLine="454"/>
      </w:pPr>
      <w:r w:rsidRPr="00F85702">
        <w:t>T</w:t>
      </w:r>
      <w:r w:rsidR="00A4431B" w:rsidRPr="00F85702">
        <w:t>here are also other ways in which stu</w:t>
      </w:r>
      <w:r w:rsidR="00F52F41" w:rsidRPr="00F85702">
        <w:t xml:space="preserve">dents expand themselves, </w:t>
      </w:r>
      <w:r w:rsidR="00A4431B" w:rsidRPr="00F85702">
        <w:t>their resources</w:t>
      </w:r>
      <w:r w:rsidR="00F52F41" w:rsidRPr="00F85702">
        <w:t xml:space="preserve"> and projects</w:t>
      </w:r>
      <w:r w:rsidR="00487D9A" w:rsidRPr="00F85702">
        <w:t xml:space="preserve">. Some love the subjects they study and </w:t>
      </w:r>
      <w:r w:rsidR="0040207A" w:rsidRPr="00F85702">
        <w:t xml:space="preserve">find </w:t>
      </w:r>
      <w:r w:rsidR="00487D9A" w:rsidRPr="00F85702">
        <w:t xml:space="preserve">knowledge an end in itself. </w:t>
      </w:r>
      <w:r w:rsidR="00B456A9" w:rsidRPr="00F85702">
        <w:t>Some</w:t>
      </w:r>
      <w:r w:rsidR="00487D9A" w:rsidRPr="00F85702">
        <w:t xml:space="preserve"> </w:t>
      </w:r>
      <w:r w:rsidR="00C91F1E" w:rsidRPr="00F85702">
        <w:t>are looking for a mate.</w:t>
      </w:r>
      <w:r w:rsidR="00487D9A" w:rsidRPr="00F85702">
        <w:t xml:space="preserve"> Some </w:t>
      </w:r>
      <w:r w:rsidRPr="00F85702">
        <w:t xml:space="preserve">are </w:t>
      </w:r>
      <w:r w:rsidR="00487D9A" w:rsidRPr="00F85702">
        <w:t xml:space="preserve">intensively </w:t>
      </w:r>
      <w:r w:rsidRPr="00F85702">
        <w:t xml:space="preserve">engaged </w:t>
      </w:r>
      <w:r w:rsidR="00487D9A" w:rsidRPr="00F85702">
        <w:t>in cultural or</w:t>
      </w:r>
      <w:r w:rsidRPr="00F85702">
        <w:t xml:space="preserve"> political action. </w:t>
      </w:r>
      <w:r w:rsidR="00B456A9" w:rsidRPr="00F85702">
        <w:t xml:space="preserve">Some </w:t>
      </w:r>
      <w:r w:rsidR="00C91F1E" w:rsidRPr="00F85702">
        <w:t>want to</w:t>
      </w:r>
      <w:r w:rsidR="00F52F41" w:rsidRPr="00F85702">
        <w:t xml:space="preserve"> work on global problems. </w:t>
      </w:r>
      <w:r w:rsidR="00B456A9" w:rsidRPr="00F85702">
        <w:t>Many</w:t>
      </w:r>
      <w:r w:rsidR="00487D9A" w:rsidRPr="00F85702">
        <w:t xml:space="preserve"> </w:t>
      </w:r>
      <w:r w:rsidR="00F52F41" w:rsidRPr="00F85702">
        <w:t xml:space="preserve">are </w:t>
      </w:r>
      <w:r w:rsidR="00487D9A" w:rsidRPr="00F85702">
        <w:t>‘find</w:t>
      </w:r>
      <w:r w:rsidR="00F52F41" w:rsidRPr="00F85702">
        <w:t>ing</w:t>
      </w:r>
      <w:r w:rsidR="00487D9A" w:rsidRPr="00F85702">
        <w:t xml:space="preserve"> themselves’ while </w:t>
      </w:r>
      <w:r w:rsidR="007B4898" w:rsidRPr="00F85702">
        <w:t>moving</w:t>
      </w:r>
      <w:r w:rsidR="00487D9A" w:rsidRPr="00F85702">
        <w:t xml:space="preserve"> into adult life. </w:t>
      </w:r>
      <w:r w:rsidR="00C91F1E" w:rsidRPr="00F85702">
        <w:t>Some want</w:t>
      </w:r>
      <w:r w:rsidR="003F1A13" w:rsidRPr="00F85702">
        <w:t xml:space="preserve"> to please their families</w:t>
      </w:r>
      <w:r w:rsidR="00C91F1E" w:rsidRPr="00F85702">
        <w:t>,</w:t>
      </w:r>
      <w:r w:rsidR="003F1A13" w:rsidRPr="00F85702">
        <w:t xml:space="preserve"> self-form</w:t>
      </w:r>
      <w:r w:rsidR="00C91F1E" w:rsidRPr="00F85702">
        <w:t>ing</w:t>
      </w:r>
      <w:r w:rsidR="003F1A13" w:rsidRPr="00F85702">
        <w:t xml:space="preserve"> in other-determined ways. </w:t>
      </w:r>
      <w:r w:rsidR="00487D9A" w:rsidRPr="00F85702">
        <w:t xml:space="preserve">And students nurture more than one of these different </w:t>
      </w:r>
      <w:r w:rsidR="003F1A13" w:rsidRPr="00F85702">
        <w:t>projects</w:t>
      </w:r>
      <w:r w:rsidR="00487D9A" w:rsidRPr="00F85702">
        <w:t xml:space="preserve"> simultaneously</w:t>
      </w:r>
      <w:r w:rsidR="003F1A13" w:rsidRPr="00F85702">
        <w:t xml:space="preserve">, and position them </w:t>
      </w:r>
      <w:r w:rsidR="00C91F1E" w:rsidRPr="00F85702">
        <w:t>variously,</w:t>
      </w:r>
      <w:r w:rsidR="003F1A13" w:rsidRPr="00F85702">
        <w:t xml:space="preserve"> as immediate gratification, as investment, as identity</w:t>
      </w:r>
      <w:r w:rsidR="00487D9A" w:rsidRPr="00F85702">
        <w:t xml:space="preserve">. </w:t>
      </w:r>
      <w:r w:rsidR="00C91F1E" w:rsidRPr="00F85702">
        <w:t>M</w:t>
      </w:r>
      <w:r w:rsidR="003F1A13" w:rsidRPr="00F85702">
        <w:t>any</w:t>
      </w:r>
      <w:r w:rsidR="00487D9A" w:rsidRPr="00F85702">
        <w:t xml:space="preserve"> who study </w:t>
      </w:r>
      <w:r w:rsidR="003F1A13" w:rsidRPr="00F85702">
        <w:t>mentally expanding</w:t>
      </w:r>
      <w:r w:rsidR="00487D9A" w:rsidRPr="00F85702">
        <w:t xml:space="preserve"> disciplines </w:t>
      </w:r>
      <w:r w:rsidR="009E3508" w:rsidRPr="00F85702">
        <w:t>like</w:t>
      </w:r>
      <w:r w:rsidR="00487D9A" w:rsidRPr="00F85702">
        <w:t xml:space="preserve"> philosophy</w:t>
      </w:r>
      <w:r w:rsidR="00C91F1E" w:rsidRPr="00F85702">
        <w:t xml:space="preserve"> have</w:t>
      </w:r>
      <w:r w:rsidR="003F1A13" w:rsidRPr="00F85702">
        <w:t xml:space="preserve"> shelve</w:t>
      </w:r>
      <w:r w:rsidR="00C91F1E" w:rsidRPr="00F85702">
        <w:t>d</w:t>
      </w:r>
      <w:r w:rsidR="00B456A9" w:rsidRPr="00F85702">
        <w:t xml:space="preserve"> </w:t>
      </w:r>
      <w:r w:rsidR="003F1A13" w:rsidRPr="00F85702">
        <w:t>the thorny question</w:t>
      </w:r>
      <w:r w:rsidR="007B4898" w:rsidRPr="00F85702">
        <w:t xml:space="preserve"> </w:t>
      </w:r>
      <w:r w:rsidR="003F1A13" w:rsidRPr="00F85702">
        <w:t>of</w:t>
      </w:r>
      <w:r w:rsidR="007B4898" w:rsidRPr="00F85702">
        <w:t xml:space="preserve"> where </w:t>
      </w:r>
      <w:r w:rsidR="00C91F1E" w:rsidRPr="00F85702">
        <w:t xml:space="preserve">will take them but they still </w:t>
      </w:r>
      <w:r w:rsidR="003F1A13" w:rsidRPr="00F85702">
        <w:t>want</w:t>
      </w:r>
      <w:r w:rsidR="007B4898" w:rsidRPr="00F85702">
        <w:t xml:space="preserve"> a job after graduation. </w:t>
      </w:r>
    </w:p>
    <w:p w14:paraId="2382ACD6" w14:textId="583F3382" w:rsidR="00A4431B" w:rsidRPr="00F85702" w:rsidRDefault="00A4431B" w:rsidP="00F85702">
      <w:pPr>
        <w:spacing w:line="276" w:lineRule="auto"/>
        <w:ind w:firstLine="454"/>
        <w:rPr>
          <w:iCs/>
        </w:rPr>
      </w:pPr>
      <w:r w:rsidRPr="00F85702">
        <w:t>I say ‘some’, ‘many’</w:t>
      </w:r>
      <w:r w:rsidR="00B456A9" w:rsidRPr="00F85702">
        <w:t>,</w:t>
      </w:r>
      <w:r w:rsidRPr="00F85702">
        <w:t xml:space="preserve"> </w:t>
      </w:r>
      <w:r w:rsidR="00C9482B" w:rsidRPr="00F85702">
        <w:t xml:space="preserve">‘much’, </w:t>
      </w:r>
      <w:r w:rsidRPr="00F85702">
        <w:t xml:space="preserve">‘most’. </w:t>
      </w:r>
      <w:r w:rsidR="00487D9A" w:rsidRPr="00F85702">
        <w:t>N</w:t>
      </w:r>
      <w:r w:rsidRPr="00F85702">
        <w:t>o</w:t>
      </w:r>
      <w:r w:rsidR="00EC3C45" w:rsidRPr="00F85702">
        <w:t>t ‘all’. No</w:t>
      </w:r>
      <w:r w:rsidRPr="00F85702">
        <w:t xml:space="preserve">ne of these </w:t>
      </w:r>
      <w:r w:rsidR="007B4898" w:rsidRPr="00F85702">
        <w:t>paradigm</w:t>
      </w:r>
      <w:r w:rsidRPr="00F85702">
        <w:t>s apply to all students, all of the time</w:t>
      </w:r>
      <w:r w:rsidR="00B456A9" w:rsidRPr="00F85702">
        <w:t>, everywhere</w:t>
      </w:r>
      <w:r w:rsidRPr="00F85702">
        <w:t xml:space="preserve">. None </w:t>
      </w:r>
      <w:r w:rsidR="00F52F41" w:rsidRPr="00F85702">
        <w:t>i</w:t>
      </w:r>
      <w:r w:rsidR="00487D9A" w:rsidRPr="00F85702">
        <w:t>s</w:t>
      </w:r>
      <w:r w:rsidRPr="00F85702">
        <w:t xml:space="preserve"> a universal </w:t>
      </w:r>
      <w:r w:rsidR="00B456A9" w:rsidRPr="00F85702">
        <w:t xml:space="preserve">or even hegemonic </w:t>
      </w:r>
      <w:r w:rsidR="00F52F41" w:rsidRPr="00F85702">
        <w:t>explanation</w:t>
      </w:r>
      <w:r w:rsidR="00487D9A" w:rsidRPr="00F85702">
        <w:t xml:space="preserve"> </w:t>
      </w:r>
      <w:r w:rsidRPr="00F85702">
        <w:t xml:space="preserve">of higher education. </w:t>
      </w:r>
      <w:r w:rsidR="00487D9A" w:rsidRPr="00F85702">
        <w:t xml:space="preserve">Yet that is how </w:t>
      </w:r>
      <w:r w:rsidR="00F52F41" w:rsidRPr="00F85702">
        <w:t>h</w:t>
      </w:r>
      <w:r w:rsidR="00487D9A" w:rsidRPr="00F85702">
        <w:t>uman capital theory, the consumer paradigm, the theory of positional good</w:t>
      </w:r>
      <w:r w:rsidR="00F52F41" w:rsidRPr="00F85702">
        <w:t xml:space="preserve">s, Bourdieu’s capitals, even liberal education, present themselves—as </w:t>
      </w:r>
      <w:r w:rsidR="00F52F41" w:rsidRPr="00F85702">
        <w:rPr>
          <w:iCs/>
        </w:rPr>
        <w:t>contending claims for the status of single transcendent truth. Each claim is holistic</w:t>
      </w:r>
      <w:r w:rsidR="00132989" w:rsidRPr="00F85702">
        <w:rPr>
          <w:iCs/>
        </w:rPr>
        <w:t>,</w:t>
      </w:r>
      <w:r w:rsidR="00F52F41" w:rsidRPr="00F85702">
        <w:rPr>
          <w:iCs/>
        </w:rPr>
        <w:t xml:space="preserve"> </w:t>
      </w:r>
      <w:r w:rsidR="00B456A9" w:rsidRPr="00F85702">
        <w:rPr>
          <w:iCs/>
        </w:rPr>
        <w:t>yet</w:t>
      </w:r>
      <w:r w:rsidR="007B4898" w:rsidRPr="00F85702">
        <w:rPr>
          <w:iCs/>
        </w:rPr>
        <w:t xml:space="preserve"> </w:t>
      </w:r>
      <w:r w:rsidR="00F52F41" w:rsidRPr="00F85702">
        <w:rPr>
          <w:iCs/>
        </w:rPr>
        <w:t xml:space="preserve">grounded in a </w:t>
      </w:r>
      <w:r w:rsidR="00B456A9" w:rsidRPr="00F85702">
        <w:rPr>
          <w:iCs/>
        </w:rPr>
        <w:t>part</w:t>
      </w:r>
      <w:r w:rsidR="00132989" w:rsidRPr="00F85702">
        <w:rPr>
          <w:iCs/>
        </w:rPr>
        <w:t>ial</w:t>
      </w:r>
      <w:r w:rsidR="00F52F41" w:rsidRPr="00F85702">
        <w:rPr>
          <w:iCs/>
        </w:rPr>
        <w:t xml:space="preserve"> slice of the world. </w:t>
      </w:r>
      <w:r w:rsidR="00132989" w:rsidRPr="00F85702">
        <w:rPr>
          <w:iCs/>
        </w:rPr>
        <w:t>T</w:t>
      </w:r>
      <w:r w:rsidR="00F52F41" w:rsidRPr="00F85702">
        <w:rPr>
          <w:iCs/>
        </w:rPr>
        <w:t xml:space="preserve">he framing of higher education </w:t>
      </w:r>
      <w:r w:rsidR="00132989" w:rsidRPr="00F85702">
        <w:rPr>
          <w:iCs/>
        </w:rPr>
        <w:t>should</w:t>
      </w:r>
      <w:r w:rsidR="00F52F41" w:rsidRPr="00F85702">
        <w:rPr>
          <w:iCs/>
        </w:rPr>
        <w:t xml:space="preserve"> encompass all these phenomena, without elevating any one to dominance. Higher education as self-formation, and self-formation as the expansion of freedoms</w:t>
      </w:r>
      <w:r w:rsidR="004A138D" w:rsidRPr="00F85702">
        <w:rPr>
          <w:iCs/>
        </w:rPr>
        <w:t>: that is the</w:t>
      </w:r>
      <w:r w:rsidR="00B456A9" w:rsidRPr="00F85702">
        <w:rPr>
          <w:iCs/>
        </w:rPr>
        <w:t xml:space="preserve"> </w:t>
      </w:r>
      <w:r w:rsidR="007B4898" w:rsidRPr="00F85702">
        <w:rPr>
          <w:iCs/>
        </w:rPr>
        <w:t>inclusive</w:t>
      </w:r>
      <w:r w:rsidR="00F52F41" w:rsidRPr="00F85702">
        <w:rPr>
          <w:iCs/>
        </w:rPr>
        <w:t xml:space="preserve"> framing.</w:t>
      </w:r>
      <w:r w:rsidR="007B4898" w:rsidRPr="00F85702">
        <w:rPr>
          <w:iCs/>
        </w:rPr>
        <w:t xml:space="preserve"> </w:t>
      </w:r>
      <w:r w:rsidR="00923B59" w:rsidRPr="00F85702">
        <w:rPr>
          <w:iCs/>
        </w:rPr>
        <w:t xml:space="preserve">Self-formation includes all </w:t>
      </w:r>
      <w:r w:rsidR="00C247BC" w:rsidRPr="00F85702">
        <w:rPr>
          <w:iCs/>
        </w:rPr>
        <w:t xml:space="preserve">the </w:t>
      </w:r>
      <w:r w:rsidR="00923B59" w:rsidRPr="00F85702">
        <w:rPr>
          <w:iCs/>
        </w:rPr>
        <w:t xml:space="preserve">different ways </w:t>
      </w:r>
      <w:r w:rsidR="00C247BC" w:rsidRPr="00F85702">
        <w:rPr>
          <w:iCs/>
        </w:rPr>
        <w:t>that</w:t>
      </w:r>
      <w:r w:rsidR="00923B59" w:rsidRPr="00F85702">
        <w:rPr>
          <w:iCs/>
        </w:rPr>
        <w:t xml:space="preserve"> students build agency and extend their effective freedoms by augmenting themselves</w:t>
      </w:r>
      <w:r w:rsidR="00B456A9" w:rsidRPr="00F85702">
        <w:rPr>
          <w:iCs/>
        </w:rPr>
        <w:t>. H</w:t>
      </w:r>
      <w:r w:rsidR="00923B59" w:rsidRPr="00F85702">
        <w:rPr>
          <w:iCs/>
        </w:rPr>
        <w:t xml:space="preserve">igher education as socially-nested self-formation </w:t>
      </w:r>
      <w:r w:rsidR="00C247BC" w:rsidRPr="00F85702">
        <w:rPr>
          <w:iCs/>
        </w:rPr>
        <w:t>takes</w:t>
      </w:r>
      <w:r w:rsidR="004A138D" w:rsidRPr="00F85702">
        <w:rPr>
          <w:iCs/>
        </w:rPr>
        <w:t xml:space="preserve"> the investigation </w:t>
      </w:r>
      <w:r w:rsidR="00800D98" w:rsidRPr="00F85702">
        <w:rPr>
          <w:iCs/>
        </w:rPr>
        <w:t>to</w:t>
      </w:r>
      <w:r w:rsidR="00923B59" w:rsidRPr="00F85702">
        <w:rPr>
          <w:iCs/>
        </w:rPr>
        <w:t xml:space="preserve"> the augmentation of </w:t>
      </w:r>
      <w:r w:rsidR="00A2655D" w:rsidRPr="00F85702">
        <w:rPr>
          <w:iCs/>
        </w:rPr>
        <w:t xml:space="preserve">others and </w:t>
      </w:r>
      <w:r w:rsidR="00923B59" w:rsidRPr="00F85702">
        <w:rPr>
          <w:iCs/>
        </w:rPr>
        <w:t xml:space="preserve">the common good. </w:t>
      </w:r>
    </w:p>
    <w:p w14:paraId="0A69FD61" w14:textId="77777777" w:rsidR="00943D7F" w:rsidRPr="00F85702" w:rsidRDefault="00943D7F" w:rsidP="00F85702">
      <w:pPr>
        <w:spacing w:line="276" w:lineRule="auto"/>
      </w:pPr>
    </w:p>
    <w:p w14:paraId="384B1F75" w14:textId="1E158145" w:rsidR="008636D1" w:rsidRPr="00F85702" w:rsidRDefault="00943D7F" w:rsidP="00F85702">
      <w:pPr>
        <w:spacing w:line="276" w:lineRule="auto"/>
        <w:rPr>
          <w:b/>
        </w:rPr>
      </w:pPr>
      <w:r w:rsidRPr="00F85702">
        <w:rPr>
          <w:b/>
        </w:rPr>
        <w:t>Conclusions</w:t>
      </w:r>
    </w:p>
    <w:p w14:paraId="37785304" w14:textId="77777777" w:rsidR="00943D7F" w:rsidRPr="00F85702" w:rsidRDefault="00943D7F" w:rsidP="00F85702">
      <w:pPr>
        <w:spacing w:line="276" w:lineRule="auto"/>
      </w:pPr>
    </w:p>
    <w:p w14:paraId="5748B651" w14:textId="71C61922" w:rsidR="006A25A4" w:rsidRPr="00F85702" w:rsidRDefault="00262FA4" w:rsidP="00F85702">
      <w:pPr>
        <w:spacing w:line="276" w:lineRule="auto"/>
        <w:rPr>
          <w:rFonts w:cs="Times New Roman"/>
        </w:rPr>
      </w:pPr>
      <w:r w:rsidRPr="00F85702">
        <w:rPr>
          <w:rFonts w:cs="Times New Roman"/>
        </w:rPr>
        <w:t>This paper has argued that higher education—education, not ‘the university’</w:t>
      </w:r>
      <w:r w:rsidR="000111A8" w:rsidRPr="00F85702">
        <w:rPr>
          <w:rFonts w:cs="Times New Roman"/>
        </w:rPr>
        <w:t>,</w:t>
      </w:r>
      <w:r w:rsidRPr="00F85702">
        <w:rPr>
          <w:rFonts w:cs="Times New Roman"/>
        </w:rPr>
        <w:t xml:space="preserve"> or research—is comprised of processes of student self-formation</w:t>
      </w:r>
      <w:r w:rsidR="00AA1B0D" w:rsidRPr="00F85702">
        <w:rPr>
          <w:rFonts w:cs="Times New Roman"/>
        </w:rPr>
        <w:t>, and student self-formation is a practice of freedom</w:t>
      </w:r>
      <w:r w:rsidR="006A25A4" w:rsidRPr="00F85702">
        <w:rPr>
          <w:rFonts w:cs="Times New Roman"/>
        </w:rPr>
        <w:t xml:space="preserve">. </w:t>
      </w:r>
      <w:r w:rsidR="00FD7365" w:rsidRPr="00F85702">
        <w:rPr>
          <w:rFonts w:cs="Times New Roman"/>
        </w:rPr>
        <w:t>S</w:t>
      </w:r>
      <w:r w:rsidR="000111A8" w:rsidRPr="00F85702">
        <w:rPr>
          <w:rFonts w:cs="Times New Roman"/>
        </w:rPr>
        <w:t>tudent self-formation</w:t>
      </w:r>
      <w:r w:rsidR="006A25A4" w:rsidRPr="00F85702">
        <w:rPr>
          <w:rFonts w:cs="Times New Roman"/>
        </w:rPr>
        <w:t xml:space="preserve"> ha</w:t>
      </w:r>
      <w:r w:rsidR="00AA1B0D" w:rsidRPr="00F85702">
        <w:rPr>
          <w:rFonts w:cs="Times New Roman"/>
        </w:rPr>
        <w:t>s</w:t>
      </w:r>
      <w:r w:rsidR="006A25A4" w:rsidRPr="00F85702">
        <w:rPr>
          <w:rFonts w:cs="Times New Roman"/>
        </w:rPr>
        <w:t xml:space="preserve"> a long history in education</w:t>
      </w:r>
      <w:r w:rsidR="00FD7365" w:rsidRPr="00F85702">
        <w:rPr>
          <w:rFonts w:cs="Times New Roman"/>
        </w:rPr>
        <w:t>,</w:t>
      </w:r>
      <w:r w:rsidR="006A25A4" w:rsidRPr="00F85702">
        <w:rPr>
          <w:rFonts w:cs="Times New Roman"/>
        </w:rPr>
        <w:t xml:space="preserve"> and it </w:t>
      </w:r>
      <w:r w:rsidR="00AA1B0D" w:rsidRPr="00F85702">
        <w:rPr>
          <w:rFonts w:cs="Times New Roman"/>
        </w:rPr>
        <w:t>i</w:t>
      </w:r>
      <w:r w:rsidR="006A25A4" w:rsidRPr="00F85702">
        <w:rPr>
          <w:rFonts w:cs="Times New Roman"/>
        </w:rPr>
        <w:t xml:space="preserve">s widely understood, especially in East Asia where education often goes deeper than </w:t>
      </w:r>
      <w:r w:rsidR="000111A8" w:rsidRPr="00F85702">
        <w:rPr>
          <w:rFonts w:cs="Times New Roman"/>
        </w:rPr>
        <w:t>elsewhere</w:t>
      </w:r>
      <w:r w:rsidR="006A25A4" w:rsidRPr="00F85702">
        <w:rPr>
          <w:rFonts w:cs="Times New Roman"/>
        </w:rPr>
        <w:t xml:space="preserve">. </w:t>
      </w:r>
      <w:r w:rsidR="000111A8" w:rsidRPr="00F85702">
        <w:rPr>
          <w:rFonts w:cs="Times New Roman"/>
        </w:rPr>
        <w:t>Self-formation</w:t>
      </w:r>
      <w:r w:rsidR="006A25A4" w:rsidRPr="00F85702">
        <w:rPr>
          <w:rFonts w:cs="Times New Roman"/>
        </w:rPr>
        <w:t xml:space="preserve"> is </w:t>
      </w:r>
      <w:r w:rsidR="000111A8" w:rsidRPr="00F85702">
        <w:rPr>
          <w:rFonts w:cs="Times New Roman"/>
        </w:rPr>
        <w:t>our</w:t>
      </w:r>
      <w:r w:rsidR="006A25A4" w:rsidRPr="00F85702">
        <w:rPr>
          <w:rFonts w:cs="Times New Roman"/>
        </w:rPr>
        <w:t xml:space="preserve"> best explanation and practice of higher education. The way forward is to build on it. </w:t>
      </w:r>
    </w:p>
    <w:p w14:paraId="3618FE89" w14:textId="2624F9F6" w:rsidR="00262FA4" w:rsidRPr="00F85702" w:rsidRDefault="00262FA4" w:rsidP="00F85702">
      <w:pPr>
        <w:spacing w:line="276" w:lineRule="auto"/>
        <w:ind w:firstLine="454"/>
        <w:rPr>
          <w:rFonts w:cs="Times New Roman"/>
        </w:rPr>
      </w:pPr>
      <w:r w:rsidRPr="00F85702">
        <w:rPr>
          <w:rFonts w:cs="Times New Roman"/>
        </w:rPr>
        <w:lastRenderedPageBreak/>
        <w:t xml:space="preserve">Like all </w:t>
      </w:r>
      <w:r w:rsidR="00031123" w:rsidRPr="00F85702">
        <w:rPr>
          <w:rFonts w:cs="Times New Roman"/>
        </w:rPr>
        <w:t>large</w:t>
      </w:r>
      <w:r w:rsidRPr="00F85702">
        <w:rPr>
          <w:rFonts w:cs="Times New Roman"/>
        </w:rPr>
        <w:t xml:space="preserve"> ideas in education</w:t>
      </w:r>
      <w:r w:rsidR="00031123" w:rsidRPr="00F85702">
        <w:rPr>
          <w:rFonts w:cs="Times New Roman"/>
        </w:rPr>
        <w:t>,</w:t>
      </w:r>
      <w:r w:rsidRPr="00F85702">
        <w:rPr>
          <w:rFonts w:cs="Times New Roman"/>
        </w:rPr>
        <w:t xml:space="preserve"> such as equality of opportunity, self-formation is both a norm that is pursued and a living empirical reality. It</w:t>
      </w:r>
      <w:r w:rsidR="00031123" w:rsidRPr="00F85702">
        <w:rPr>
          <w:rFonts w:cs="Times New Roman"/>
        </w:rPr>
        <w:t xml:space="preserve"> is open-ended, it is about potential more than outcomes, and it</w:t>
      </w:r>
      <w:r w:rsidRPr="00F85702">
        <w:rPr>
          <w:rFonts w:cs="Times New Roman"/>
        </w:rPr>
        <w:t xml:space="preserve">s practices are always incomplete. </w:t>
      </w:r>
      <w:r w:rsidR="00031123" w:rsidRPr="00F85702">
        <w:rPr>
          <w:rFonts w:cs="Times New Roman"/>
        </w:rPr>
        <w:t>However, s</w:t>
      </w:r>
      <w:r w:rsidRPr="00F85702">
        <w:rPr>
          <w:rFonts w:cs="Times New Roman"/>
        </w:rPr>
        <w:t>elf-formation is both necessary and sufficient to understand higher education. It takes in all the ways students augment themselves</w:t>
      </w:r>
      <w:r w:rsidR="006A25A4" w:rsidRPr="00F85702">
        <w:rPr>
          <w:rFonts w:cs="Times New Roman"/>
        </w:rPr>
        <w:t>. A</w:t>
      </w:r>
      <w:r w:rsidRPr="00F85702">
        <w:rPr>
          <w:rFonts w:cs="Times New Roman"/>
        </w:rPr>
        <w:t>s socially-nested self-</w:t>
      </w:r>
      <w:r w:rsidR="00FB0B00" w:rsidRPr="00F85702">
        <w:rPr>
          <w:rFonts w:cs="Times New Roman"/>
        </w:rPr>
        <w:t>formation</w:t>
      </w:r>
      <w:r w:rsidR="00031123" w:rsidRPr="00F85702">
        <w:rPr>
          <w:rFonts w:cs="Times New Roman"/>
        </w:rPr>
        <w:t>,</w:t>
      </w:r>
      <w:r w:rsidRPr="00F85702">
        <w:rPr>
          <w:rFonts w:cs="Times New Roman"/>
        </w:rPr>
        <w:t xml:space="preserve"> it can take in all </w:t>
      </w:r>
      <w:r w:rsidR="00FB0B00" w:rsidRPr="00F85702">
        <w:rPr>
          <w:rFonts w:cs="Times New Roman"/>
        </w:rPr>
        <w:t>ways the self-form</w:t>
      </w:r>
      <w:r w:rsidR="00FD7365" w:rsidRPr="00F85702">
        <w:rPr>
          <w:rFonts w:cs="Times New Roman"/>
        </w:rPr>
        <w:t>ing students contribute</w:t>
      </w:r>
      <w:r w:rsidR="00FB0B00" w:rsidRPr="00F85702">
        <w:rPr>
          <w:rFonts w:cs="Times New Roman"/>
        </w:rPr>
        <w:t xml:space="preserve"> to ongoing social formation. </w:t>
      </w:r>
      <w:r w:rsidR="006A25A4" w:rsidRPr="00F85702">
        <w:rPr>
          <w:rFonts w:cs="Times New Roman"/>
        </w:rPr>
        <w:t>H</w:t>
      </w:r>
      <w:r w:rsidR="00FB0B00" w:rsidRPr="00F85702">
        <w:rPr>
          <w:rFonts w:cs="Times New Roman"/>
        </w:rPr>
        <w:t>owever</w:t>
      </w:r>
      <w:r w:rsidR="006A25A4" w:rsidRPr="00F85702">
        <w:rPr>
          <w:rFonts w:cs="Times New Roman"/>
        </w:rPr>
        <w:t>,</w:t>
      </w:r>
      <w:r w:rsidR="00FB0B00" w:rsidRPr="00F85702">
        <w:rPr>
          <w:rFonts w:cs="Times New Roman"/>
        </w:rPr>
        <w:t xml:space="preserve"> </w:t>
      </w:r>
      <w:r w:rsidR="00FD7365" w:rsidRPr="00F85702">
        <w:rPr>
          <w:rFonts w:cs="Times New Roman"/>
        </w:rPr>
        <w:t xml:space="preserve">it is easier to secure </w:t>
      </w:r>
      <w:r w:rsidR="00FB0B00" w:rsidRPr="00F85702">
        <w:rPr>
          <w:rFonts w:cs="Times New Roman"/>
        </w:rPr>
        <w:t xml:space="preserve">agreement on </w:t>
      </w:r>
      <w:r w:rsidR="00FD7365" w:rsidRPr="00F85702">
        <w:rPr>
          <w:rFonts w:cs="Times New Roman"/>
        </w:rPr>
        <w:t>individual</w:t>
      </w:r>
      <w:r w:rsidR="00FB0B00" w:rsidRPr="00F85702">
        <w:rPr>
          <w:rFonts w:cs="Times New Roman"/>
        </w:rPr>
        <w:t xml:space="preserve"> self-formation</w:t>
      </w:r>
      <w:r w:rsidR="00FD7365" w:rsidRPr="00F85702">
        <w:rPr>
          <w:rFonts w:cs="Times New Roman"/>
        </w:rPr>
        <w:t xml:space="preserve"> than on social formation</w:t>
      </w:r>
      <w:r w:rsidR="0087699C" w:rsidRPr="00F85702">
        <w:rPr>
          <w:rFonts w:cs="Times New Roman"/>
        </w:rPr>
        <w:t xml:space="preserve">. </w:t>
      </w:r>
    </w:p>
    <w:p w14:paraId="1CCAE948" w14:textId="6FFE0CA1" w:rsidR="00943D7F" w:rsidRPr="00F85702" w:rsidRDefault="00031123" w:rsidP="00F85702">
      <w:pPr>
        <w:shd w:val="clear" w:color="auto" w:fill="FFFFFF" w:themeFill="background1"/>
        <w:spacing w:line="276" w:lineRule="auto"/>
      </w:pPr>
      <w:r w:rsidRPr="00F85702">
        <w:tab/>
        <w:t xml:space="preserve">Once self-formation is </w:t>
      </w:r>
      <w:r w:rsidR="00FD7365" w:rsidRPr="00F85702">
        <w:t xml:space="preserve">at </w:t>
      </w:r>
      <w:r w:rsidRPr="00F85702">
        <w:t>the heart, student-centred</w:t>
      </w:r>
      <w:r w:rsidR="00E45DBC" w:rsidRPr="00F85702">
        <w:t xml:space="preserve"> learning</w:t>
      </w:r>
      <w:r w:rsidRPr="00F85702">
        <w:t xml:space="preserve"> </w:t>
      </w:r>
      <w:r w:rsidR="006B535D" w:rsidRPr="00F85702">
        <w:t xml:space="preserve">can </w:t>
      </w:r>
      <w:r w:rsidRPr="00F85702">
        <w:t>develop</w:t>
      </w:r>
      <w:r w:rsidR="00FD7365" w:rsidRPr="00F85702">
        <w:t xml:space="preserve"> more fully and students are</w:t>
      </w:r>
      <w:r w:rsidR="00AB52D8" w:rsidRPr="00F85702">
        <w:t xml:space="preserve"> the primary unit of analysis</w:t>
      </w:r>
      <w:r w:rsidR="00FD7365" w:rsidRPr="00F85702">
        <w:t>. D</w:t>
      </w:r>
      <w:r w:rsidR="00AB52D8" w:rsidRPr="00F85702">
        <w:t xml:space="preserve">isciplines, </w:t>
      </w:r>
      <w:r w:rsidR="00FD7365" w:rsidRPr="00F85702">
        <w:t xml:space="preserve">sets of </w:t>
      </w:r>
      <w:r w:rsidR="00AB52D8" w:rsidRPr="00F85702">
        <w:t xml:space="preserve">knowledge, </w:t>
      </w:r>
      <w:r w:rsidR="00FD7365" w:rsidRPr="00F85702">
        <w:t>may be</w:t>
      </w:r>
      <w:r w:rsidR="00AB52D8" w:rsidRPr="00F85702">
        <w:t xml:space="preserve"> as important as institutions. </w:t>
      </w:r>
      <w:r w:rsidR="00FD7365" w:rsidRPr="00F85702">
        <w:t xml:space="preserve">What </w:t>
      </w:r>
      <w:r w:rsidR="00E517DB" w:rsidRPr="00F85702">
        <w:t xml:space="preserve">practices </w:t>
      </w:r>
      <w:r w:rsidR="00FD7365" w:rsidRPr="00F85702">
        <w:t>can expand self-formation?</w:t>
      </w:r>
      <w:r w:rsidRPr="00F85702">
        <w:t xml:space="preserve"> </w:t>
      </w:r>
      <w:r w:rsidR="007E2D5A" w:rsidRPr="00F85702">
        <w:rPr>
          <w:rFonts w:cs="Times New Roman"/>
        </w:rPr>
        <w:t xml:space="preserve">Fostering the agency freedom of students and its scope to act is </w:t>
      </w:r>
      <w:r w:rsidR="007E2D5A" w:rsidRPr="00F85702">
        <w:rPr>
          <w:rFonts w:cs="Times New Roman"/>
          <w:i/>
        </w:rPr>
        <w:t>the</w:t>
      </w:r>
      <w:r w:rsidR="007E2D5A" w:rsidRPr="00F85702">
        <w:rPr>
          <w:rFonts w:cs="Times New Roman"/>
        </w:rPr>
        <w:t xml:space="preserve"> key to </w:t>
      </w:r>
      <w:r w:rsidR="00FD7365" w:rsidRPr="00F85702">
        <w:rPr>
          <w:rFonts w:cs="Times New Roman"/>
        </w:rPr>
        <w:t>moving forward</w:t>
      </w:r>
      <w:r w:rsidR="007E2D5A" w:rsidRPr="00F85702">
        <w:rPr>
          <w:rFonts w:cs="Times New Roman"/>
        </w:rPr>
        <w:t xml:space="preserve">. </w:t>
      </w:r>
      <w:r w:rsidR="00AB52D8" w:rsidRPr="00F85702">
        <w:rPr>
          <w:rFonts w:cs="Times New Roman"/>
        </w:rPr>
        <w:t xml:space="preserve">Expanding the space in which students are free of constraint and coercion, </w:t>
      </w:r>
      <w:r w:rsidR="00E45DBC" w:rsidRPr="00F85702">
        <w:rPr>
          <w:rFonts w:cs="Times New Roman"/>
        </w:rPr>
        <w:t xml:space="preserve">for example </w:t>
      </w:r>
      <w:r w:rsidR="006B535D" w:rsidRPr="00F85702">
        <w:rPr>
          <w:rFonts w:cs="Times New Roman"/>
        </w:rPr>
        <w:t>less</w:t>
      </w:r>
      <w:r w:rsidR="00E45DBC" w:rsidRPr="00F85702">
        <w:rPr>
          <w:rFonts w:cs="Times New Roman"/>
        </w:rPr>
        <w:t xml:space="preserve"> </w:t>
      </w:r>
      <w:r w:rsidR="00AB52D8" w:rsidRPr="00F85702">
        <w:rPr>
          <w:rFonts w:cs="Times New Roman"/>
        </w:rPr>
        <w:t xml:space="preserve">authoritarian administration </w:t>
      </w:r>
      <w:r w:rsidR="006B535D" w:rsidRPr="00F85702">
        <w:rPr>
          <w:rFonts w:cs="Times New Roman"/>
        </w:rPr>
        <w:t>or</w:t>
      </w:r>
      <w:r w:rsidR="00AB52D8" w:rsidRPr="00F85702">
        <w:rPr>
          <w:rFonts w:cs="Times New Roman"/>
        </w:rPr>
        <w:t xml:space="preserve"> discriminatory practice</w:t>
      </w:r>
      <w:r w:rsidR="00E517DB" w:rsidRPr="00F85702">
        <w:rPr>
          <w:rFonts w:cs="Times New Roman"/>
        </w:rPr>
        <w:t>s</w:t>
      </w:r>
      <w:r w:rsidR="00AB52D8" w:rsidRPr="00F85702">
        <w:rPr>
          <w:rFonts w:cs="Times New Roman"/>
        </w:rPr>
        <w:t xml:space="preserve">, </w:t>
      </w:r>
      <w:r w:rsidR="00FD7365" w:rsidRPr="00F85702">
        <w:rPr>
          <w:rFonts w:cs="Times New Roman"/>
        </w:rPr>
        <w:t>grows</w:t>
      </w:r>
      <w:r w:rsidR="00E45DBC" w:rsidRPr="00F85702">
        <w:rPr>
          <w:rFonts w:cs="Times New Roman"/>
        </w:rPr>
        <w:t xml:space="preserve"> </w:t>
      </w:r>
      <w:r w:rsidR="00AB52D8" w:rsidRPr="00F85702">
        <w:rPr>
          <w:rFonts w:cs="Times New Roman"/>
        </w:rPr>
        <w:t xml:space="preserve">freedom as control. </w:t>
      </w:r>
      <w:r w:rsidR="00FE48AE" w:rsidRPr="00F85702">
        <w:rPr>
          <w:rFonts w:cs="Times New Roman"/>
        </w:rPr>
        <w:t>R</w:t>
      </w:r>
      <w:r w:rsidR="007E2D5A" w:rsidRPr="00F85702">
        <w:rPr>
          <w:rFonts w:cs="Times New Roman"/>
        </w:rPr>
        <w:t>esources and opportunities, such as information, affordable housing</w:t>
      </w:r>
      <w:r w:rsidR="00FE48AE" w:rsidRPr="00F85702">
        <w:rPr>
          <w:rFonts w:cs="Times New Roman"/>
        </w:rPr>
        <w:t xml:space="preserve"> and </w:t>
      </w:r>
      <w:r w:rsidR="007E2D5A" w:rsidRPr="00F85702">
        <w:rPr>
          <w:rFonts w:cs="Times New Roman"/>
        </w:rPr>
        <w:t xml:space="preserve">mobility, augment effective freedom. </w:t>
      </w:r>
      <w:r w:rsidR="006B535D" w:rsidRPr="00F85702">
        <w:rPr>
          <w:rFonts w:cs="Times New Roman"/>
        </w:rPr>
        <w:t xml:space="preserve">Note </w:t>
      </w:r>
      <w:r w:rsidR="00FD7365" w:rsidRPr="00F85702">
        <w:rPr>
          <w:rFonts w:cs="Times New Roman"/>
        </w:rPr>
        <w:t xml:space="preserve">also </w:t>
      </w:r>
      <w:r w:rsidR="006B535D" w:rsidRPr="00F85702">
        <w:rPr>
          <w:rFonts w:cs="Times New Roman"/>
        </w:rPr>
        <w:t>that</w:t>
      </w:r>
      <w:r w:rsidR="007E2D5A" w:rsidRPr="00F85702">
        <w:rPr>
          <w:rFonts w:cs="Times New Roman"/>
        </w:rPr>
        <w:t xml:space="preserve"> h</w:t>
      </w:r>
      <w:r w:rsidR="00E45DBC" w:rsidRPr="00F85702">
        <w:rPr>
          <w:rFonts w:cs="Times New Roman"/>
        </w:rPr>
        <w:t>igher education</w:t>
      </w:r>
      <w:r w:rsidR="00FD7365" w:rsidRPr="00F85702">
        <w:rPr>
          <w:rFonts w:cs="Times New Roman"/>
        </w:rPr>
        <w:t xml:space="preserve"> is only one domain</w:t>
      </w:r>
      <w:r w:rsidR="00E45DBC" w:rsidRPr="00F85702">
        <w:rPr>
          <w:rFonts w:cs="Times New Roman"/>
        </w:rPr>
        <w:t xml:space="preserve"> in which students form themselves</w:t>
      </w:r>
      <w:r w:rsidR="007E2D5A" w:rsidRPr="00F85702">
        <w:rPr>
          <w:rFonts w:cs="Times New Roman"/>
        </w:rPr>
        <w:t>; and its</w:t>
      </w:r>
      <w:r w:rsidR="00E45DBC" w:rsidRPr="00F85702">
        <w:rPr>
          <w:rFonts w:cs="Times New Roman"/>
        </w:rPr>
        <w:t xml:space="preserve"> effectiveness is optimised in synchrony with other domains, such as the home, work and social communications. </w:t>
      </w:r>
    </w:p>
    <w:p w14:paraId="29BED441" w14:textId="60B11E05" w:rsidR="00C247BC" w:rsidRPr="00F85702" w:rsidRDefault="00FD7365" w:rsidP="00F85702">
      <w:pPr>
        <w:spacing w:line="276" w:lineRule="auto"/>
        <w:ind w:firstLine="454"/>
      </w:pPr>
      <w:r w:rsidRPr="00F85702">
        <w:rPr>
          <w:iCs/>
        </w:rPr>
        <w:t>Empirical r</w:t>
      </w:r>
      <w:r w:rsidR="00C247BC" w:rsidRPr="00F85702">
        <w:rPr>
          <w:iCs/>
        </w:rPr>
        <w:t xml:space="preserve">esearch </w:t>
      </w:r>
      <w:r w:rsidRPr="00F85702">
        <w:rPr>
          <w:iCs/>
        </w:rPr>
        <w:t>can investigate</w:t>
      </w:r>
      <w:r w:rsidR="00C247BC" w:rsidRPr="00F85702">
        <w:rPr>
          <w:iCs/>
        </w:rPr>
        <w:t xml:space="preserve"> the mix and match of each student’s different projects of self-formation, and </w:t>
      </w:r>
      <w:r w:rsidR="006B535D" w:rsidRPr="00F85702">
        <w:rPr>
          <w:iCs/>
        </w:rPr>
        <w:t>i</w:t>
      </w:r>
      <w:r w:rsidR="00C247BC" w:rsidRPr="00F85702">
        <w:rPr>
          <w:iCs/>
        </w:rPr>
        <w:t>variation</w:t>
      </w:r>
      <w:r w:rsidR="00AB52D8" w:rsidRPr="00F85702">
        <w:rPr>
          <w:iCs/>
        </w:rPr>
        <w:t>s</w:t>
      </w:r>
      <w:r w:rsidR="00C247BC" w:rsidRPr="00F85702">
        <w:rPr>
          <w:iCs/>
        </w:rPr>
        <w:t xml:space="preserve"> in self-formation</w:t>
      </w:r>
      <w:r w:rsidR="007E2D5A" w:rsidRPr="00F85702">
        <w:rPr>
          <w:iCs/>
        </w:rPr>
        <w:t xml:space="preserve">, its </w:t>
      </w:r>
      <w:r w:rsidR="006B535D" w:rsidRPr="00F85702">
        <w:rPr>
          <w:iCs/>
        </w:rPr>
        <w:t>resources</w:t>
      </w:r>
      <w:r w:rsidR="00C247BC" w:rsidRPr="00F85702">
        <w:rPr>
          <w:iCs/>
        </w:rPr>
        <w:t xml:space="preserve"> and strategie</w:t>
      </w:r>
      <w:r w:rsidR="006B535D" w:rsidRPr="00F85702">
        <w:rPr>
          <w:iCs/>
        </w:rPr>
        <w:t>s,</w:t>
      </w:r>
      <w:r w:rsidR="00C247BC" w:rsidRPr="00F85702">
        <w:rPr>
          <w:iCs/>
        </w:rPr>
        <w:t xml:space="preserve"> by country, class, culture, </w:t>
      </w:r>
      <w:r w:rsidRPr="00F85702">
        <w:rPr>
          <w:iCs/>
        </w:rPr>
        <w:t>gender, and over time. There is</w:t>
      </w:r>
      <w:r w:rsidR="00C247BC" w:rsidRPr="00F85702">
        <w:rPr>
          <w:iCs/>
        </w:rPr>
        <w:t xml:space="preserve"> scope to explore how immersion in knowledge, evolving competences, growing self-efficacy and changing values, f</w:t>
      </w:r>
      <w:r w:rsidRPr="00F85702">
        <w:rPr>
          <w:iCs/>
        </w:rPr>
        <w:t>eed agency freedom and develop</w:t>
      </w:r>
      <w:r w:rsidR="00C247BC" w:rsidRPr="00F85702">
        <w:rPr>
          <w:iCs/>
        </w:rPr>
        <w:t xml:space="preserve"> the portfolio of personal projects.</w:t>
      </w:r>
      <w:r w:rsidR="00C247BC" w:rsidRPr="00F85702">
        <w:rPr>
          <w:rStyle w:val="FootnoteReference"/>
          <w:iCs/>
        </w:rPr>
        <w:footnoteReference w:id="80"/>
      </w:r>
      <w:r w:rsidR="00031123" w:rsidRPr="00F85702">
        <w:rPr>
          <w:iCs/>
        </w:rPr>
        <w:t xml:space="preserve"> And there is inquiry into </w:t>
      </w:r>
      <w:r w:rsidR="00396D51" w:rsidRPr="00F85702">
        <w:rPr>
          <w:iCs/>
        </w:rPr>
        <w:t>those techniques</w:t>
      </w:r>
      <w:r w:rsidR="00031123" w:rsidRPr="00F85702">
        <w:rPr>
          <w:iCs/>
        </w:rPr>
        <w:t xml:space="preserve"> in higher education that</w:t>
      </w:r>
      <w:r w:rsidR="00AB52D8" w:rsidRPr="00F85702">
        <w:rPr>
          <w:iCs/>
        </w:rPr>
        <w:t xml:space="preserve"> already, now,</w:t>
      </w:r>
      <w:r w:rsidR="00031123" w:rsidRPr="00F85702">
        <w:rPr>
          <w:iCs/>
        </w:rPr>
        <w:t xml:space="preserve"> open </w:t>
      </w:r>
      <w:r w:rsidR="00396D51" w:rsidRPr="00F85702">
        <w:rPr>
          <w:iCs/>
        </w:rPr>
        <w:t>the way to</w:t>
      </w:r>
      <w:r w:rsidR="00031123" w:rsidRPr="00F85702">
        <w:rPr>
          <w:iCs/>
        </w:rPr>
        <w:t xml:space="preserve"> truth</w:t>
      </w:r>
      <w:r w:rsidRPr="00F85702">
        <w:rPr>
          <w:iCs/>
        </w:rPr>
        <w:t>s</w:t>
      </w:r>
      <w:r w:rsidR="00031123" w:rsidRPr="00F85702">
        <w:rPr>
          <w:iCs/>
        </w:rPr>
        <w:t xml:space="preserve"> of the other world and the other life</w:t>
      </w:r>
      <w:r w:rsidR="00AB52D8" w:rsidRPr="00F85702">
        <w:rPr>
          <w:iCs/>
        </w:rPr>
        <w:t xml:space="preserve">, as Foucault puts it—truths </w:t>
      </w:r>
      <w:r w:rsidR="00031123" w:rsidRPr="00F85702">
        <w:rPr>
          <w:iCs/>
        </w:rPr>
        <w:t xml:space="preserve">that </w:t>
      </w:r>
      <w:r w:rsidR="00AB52D8" w:rsidRPr="00F85702">
        <w:rPr>
          <w:iCs/>
        </w:rPr>
        <w:t>enable us to become</w:t>
      </w:r>
      <w:r w:rsidR="00031123" w:rsidRPr="00F85702">
        <w:rPr>
          <w:iCs/>
        </w:rPr>
        <w:t xml:space="preserve"> radically other.</w:t>
      </w:r>
      <w:r w:rsidR="00AB52D8" w:rsidRPr="00F85702">
        <w:rPr>
          <w:iCs/>
        </w:rPr>
        <w:t xml:space="preserve"> How is it that by working on ourselves in higher education, by pushing our</w:t>
      </w:r>
      <w:r w:rsidRPr="00F85702">
        <w:rPr>
          <w:iCs/>
        </w:rPr>
        <w:t>selves at the limit</w:t>
      </w:r>
      <w:r w:rsidR="00AB52D8" w:rsidRPr="00F85702">
        <w:rPr>
          <w:iCs/>
        </w:rPr>
        <w:t>, we can make a new self and a new world?</w:t>
      </w:r>
    </w:p>
    <w:p w14:paraId="5DECD616" w14:textId="77777777" w:rsidR="00A63B3A" w:rsidRPr="00F85702" w:rsidRDefault="00A63B3A" w:rsidP="00F85702">
      <w:pPr>
        <w:spacing w:line="276" w:lineRule="auto"/>
      </w:pPr>
    </w:p>
    <w:p w14:paraId="31D048A3" w14:textId="1E7F6252" w:rsidR="001543EB" w:rsidRPr="00F85702" w:rsidRDefault="001543EB" w:rsidP="00F85702">
      <w:pPr>
        <w:spacing w:line="276" w:lineRule="auto"/>
      </w:pPr>
      <w:r w:rsidRPr="00F85702">
        <w:br w:type="page"/>
      </w:r>
    </w:p>
    <w:p w14:paraId="17EB93BF" w14:textId="7D4A1466" w:rsidR="001543EB" w:rsidRPr="00F85702" w:rsidRDefault="001543EB" w:rsidP="00F85702">
      <w:pPr>
        <w:spacing w:line="276" w:lineRule="auto"/>
        <w:rPr>
          <w:b/>
        </w:rPr>
      </w:pPr>
      <w:r w:rsidRPr="00F85702">
        <w:rPr>
          <w:b/>
        </w:rPr>
        <w:lastRenderedPageBreak/>
        <w:t>References</w:t>
      </w:r>
    </w:p>
    <w:p w14:paraId="438FC374" w14:textId="77777777" w:rsidR="001543EB" w:rsidRPr="00F85702" w:rsidRDefault="001543EB" w:rsidP="00F85702">
      <w:pPr>
        <w:spacing w:line="276" w:lineRule="auto"/>
      </w:pPr>
    </w:p>
    <w:p w14:paraId="6BA36016" w14:textId="2B7E624D" w:rsidR="003A2D86" w:rsidRPr="00F85702" w:rsidRDefault="003A2D86" w:rsidP="00F85702">
      <w:pPr>
        <w:spacing w:line="276" w:lineRule="auto"/>
        <w:rPr>
          <w:rFonts w:cs="Times New Roman"/>
          <w:lang w:eastAsia="en-GB"/>
        </w:rPr>
      </w:pPr>
      <w:r w:rsidRPr="00F85702">
        <w:rPr>
          <w:rFonts w:cs="Times New Roman"/>
          <w:lang w:eastAsia="en-GB"/>
        </w:rPr>
        <w:t xml:space="preserve">Ashwin, P. (2014). Knowledge, curriculum and student understanding in higher education. </w:t>
      </w:r>
      <w:r w:rsidRPr="00F85702">
        <w:rPr>
          <w:rFonts w:cs="Times New Roman"/>
          <w:i/>
          <w:lang w:eastAsia="en-GB"/>
        </w:rPr>
        <w:t>Higher Education</w:t>
      </w:r>
      <w:r w:rsidRPr="00F85702">
        <w:rPr>
          <w:rFonts w:cs="Times New Roman"/>
          <w:lang w:eastAsia="en-GB"/>
        </w:rPr>
        <w:t>, 67, pp. 123-126.</w:t>
      </w:r>
    </w:p>
    <w:p w14:paraId="1988AD48" w14:textId="77777777" w:rsidR="003A2D86" w:rsidRPr="00F85702" w:rsidRDefault="003A2D86" w:rsidP="00F85702">
      <w:pPr>
        <w:spacing w:line="276" w:lineRule="auto"/>
        <w:rPr>
          <w:rFonts w:cs="Times New Roman"/>
          <w:lang w:eastAsia="en-GB"/>
        </w:rPr>
      </w:pPr>
    </w:p>
    <w:p w14:paraId="0849BDFA" w14:textId="75AA18DC" w:rsidR="003A2D86" w:rsidRPr="00F85702" w:rsidRDefault="003A2D86" w:rsidP="00F85702">
      <w:pPr>
        <w:spacing w:line="276" w:lineRule="auto"/>
        <w:rPr>
          <w:rFonts w:cs="Times New Roman"/>
          <w:lang w:eastAsia="en-GB"/>
        </w:rPr>
      </w:pPr>
      <w:r w:rsidRPr="00F85702">
        <w:rPr>
          <w:rFonts w:cs="Times New Roman"/>
          <w:lang w:eastAsia="en-GB"/>
        </w:rPr>
        <w:t xml:space="preserve">Ashwin, P., Abbas, A. and McLean, M. (2014). How do students’ accounts of sociology change over the course of their undergraduate degrees? </w:t>
      </w:r>
      <w:r w:rsidRPr="00F85702">
        <w:rPr>
          <w:rFonts w:cs="Times New Roman"/>
          <w:i/>
          <w:lang w:eastAsia="en-GB"/>
        </w:rPr>
        <w:t>Higher Education</w:t>
      </w:r>
      <w:r w:rsidRPr="00F85702">
        <w:rPr>
          <w:rFonts w:cs="Times New Roman"/>
          <w:lang w:eastAsia="en-GB"/>
        </w:rPr>
        <w:t>, 67, pp. 219-234.</w:t>
      </w:r>
    </w:p>
    <w:p w14:paraId="6412DB3F" w14:textId="77777777" w:rsidR="003A2D86" w:rsidRPr="00F85702" w:rsidRDefault="003A2D86" w:rsidP="00F85702">
      <w:pPr>
        <w:spacing w:line="276" w:lineRule="auto"/>
        <w:rPr>
          <w:rFonts w:cs="Times New Roman"/>
          <w:lang w:eastAsia="en-GB"/>
        </w:rPr>
      </w:pPr>
    </w:p>
    <w:p w14:paraId="01D34C9E" w14:textId="1009D3E6" w:rsidR="003A2D86" w:rsidRPr="00F85702" w:rsidRDefault="003A2D86" w:rsidP="00F85702">
      <w:pPr>
        <w:spacing w:line="276" w:lineRule="auto"/>
        <w:rPr>
          <w:rFonts w:cs="Times New Roman"/>
          <w:lang w:eastAsia="en-GB"/>
        </w:rPr>
      </w:pPr>
      <w:r w:rsidRPr="00F85702">
        <w:rPr>
          <w:rFonts w:cs="Times New Roman"/>
          <w:lang w:eastAsia="en-GB"/>
        </w:rPr>
        <w:t xml:space="preserve">Ashwin, P., Abbas, A. and McLean, M. (2015). Representations of a high-quality system of undergraduate education in English higher education policy documents. </w:t>
      </w:r>
      <w:r w:rsidRPr="00F85702">
        <w:rPr>
          <w:rFonts w:cs="Times New Roman"/>
          <w:i/>
          <w:lang w:eastAsia="en-GB"/>
        </w:rPr>
        <w:t>Studies in Higher Education</w:t>
      </w:r>
      <w:r w:rsidRPr="00F85702">
        <w:rPr>
          <w:rFonts w:cs="Times New Roman"/>
          <w:lang w:eastAsia="en-GB"/>
        </w:rPr>
        <w:t>, 40 (4), pp. 610-623.</w:t>
      </w:r>
    </w:p>
    <w:p w14:paraId="2A8DE563" w14:textId="77777777" w:rsidR="003A2D86" w:rsidRPr="00F85702" w:rsidRDefault="003A2D86" w:rsidP="00F85702">
      <w:pPr>
        <w:spacing w:line="276" w:lineRule="auto"/>
        <w:rPr>
          <w:rFonts w:cs="Times New Roman"/>
          <w:lang w:eastAsia="en-GB"/>
        </w:rPr>
      </w:pPr>
    </w:p>
    <w:p w14:paraId="20A5D066" w14:textId="5FDD4D37" w:rsidR="003A2D86" w:rsidRPr="00F85702" w:rsidRDefault="003A2D86" w:rsidP="00F85702">
      <w:pPr>
        <w:spacing w:line="276" w:lineRule="auto"/>
        <w:rPr>
          <w:rFonts w:cs="Times New Roman"/>
          <w:lang w:eastAsia="en-GB"/>
        </w:rPr>
      </w:pPr>
      <w:r w:rsidRPr="00F85702">
        <w:rPr>
          <w:rFonts w:cs="Times New Roman"/>
          <w:lang w:eastAsia="en-GB"/>
        </w:rPr>
        <w:t xml:space="preserve">Ashwin ,P. and McVitty, D. (undated). </w:t>
      </w:r>
      <w:r w:rsidRPr="00F85702">
        <w:rPr>
          <w:rFonts w:cs="Times New Roman"/>
          <w:i/>
          <w:lang w:eastAsia="en-GB"/>
        </w:rPr>
        <w:t>The Meanings of Student Engagement: Implications for policies and practices.</w:t>
      </w:r>
      <w:r w:rsidRPr="00F85702">
        <w:rPr>
          <w:rFonts w:cs="Times New Roman"/>
          <w:lang w:eastAsia="en-GB"/>
        </w:rPr>
        <w:t xml:space="preserve"> Unpublished paper.  Department of Educational Research, Lancaster University; and National Union of Students (UK).</w:t>
      </w:r>
    </w:p>
    <w:p w14:paraId="222EF6E2" w14:textId="77777777" w:rsidR="003A2D86" w:rsidRPr="00F85702" w:rsidRDefault="003A2D86" w:rsidP="00F85702">
      <w:pPr>
        <w:spacing w:line="276" w:lineRule="auto"/>
        <w:rPr>
          <w:rFonts w:cs="Times New Roman"/>
          <w:lang w:eastAsia="en-GB"/>
        </w:rPr>
      </w:pPr>
    </w:p>
    <w:p w14:paraId="33F14F48" w14:textId="58775293" w:rsidR="00B00F28" w:rsidRPr="00F85702" w:rsidRDefault="00B00F28" w:rsidP="00F85702">
      <w:pPr>
        <w:spacing w:line="276" w:lineRule="auto"/>
        <w:rPr>
          <w:rFonts w:cs="Times New Roman"/>
          <w:lang w:eastAsia="en-GB"/>
        </w:rPr>
      </w:pPr>
      <w:r w:rsidRPr="00F85702">
        <w:rPr>
          <w:rFonts w:cs="Times New Roman"/>
          <w:lang w:eastAsia="en-GB"/>
        </w:rPr>
        <w:t xml:space="preserve">Ball, S. (2017). </w:t>
      </w:r>
      <w:r w:rsidR="0003612D" w:rsidRPr="00F85702">
        <w:rPr>
          <w:rFonts w:cs="Times New Roman"/>
          <w:i/>
          <w:lang w:eastAsia="en-GB"/>
        </w:rPr>
        <w:t>Foucault as Educator</w:t>
      </w:r>
      <w:r w:rsidR="0003612D" w:rsidRPr="00F85702">
        <w:rPr>
          <w:rFonts w:cs="Times New Roman"/>
          <w:lang w:eastAsia="en-GB"/>
        </w:rPr>
        <w:t>. Cham: Springer.</w:t>
      </w:r>
    </w:p>
    <w:p w14:paraId="541619B5" w14:textId="77777777" w:rsidR="00B00F28" w:rsidRPr="00F85702" w:rsidRDefault="00B00F28" w:rsidP="00F85702">
      <w:pPr>
        <w:spacing w:line="276" w:lineRule="auto"/>
        <w:rPr>
          <w:rFonts w:cs="Times New Roman"/>
          <w:lang w:eastAsia="en-GB"/>
        </w:rPr>
      </w:pPr>
    </w:p>
    <w:p w14:paraId="0D81E23A" w14:textId="77777777" w:rsidR="00687B07" w:rsidRPr="00F85702" w:rsidRDefault="00687B07" w:rsidP="00F85702">
      <w:pPr>
        <w:pStyle w:val="p1"/>
        <w:spacing w:line="276" w:lineRule="auto"/>
        <w:rPr>
          <w:rFonts w:asciiTheme="minorHAnsi" w:hAnsiTheme="minorHAnsi"/>
          <w:sz w:val="24"/>
          <w:szCs w:val="24"/>
        </w:rPr>
      </w:pPr>
      <w:r w:rsidRPr="00F85702">
        <w:rPr>
          <w:rFonts w:asciiTheme="minorHAnsi" w:hAnsiTheme="minorHAnsi"/>
          <w:sz w:val="24"/>
          <w:szCs w:val="24"/>
        </w:rPr>
        <w:t xml:space="preserve">Beck, U. (2016). Varieties of second modernity and the cosmopolitan vision. </w:t>
      </w:r>
      <w:r w:rsidRPr="00F85702">
        <w:rPr>
          <w:rFonts w:asciiTheme="minorHAnsi" w:hAnsiTheme="minorHAnsi"/>
          <w:i/>
          <w:sz w:val="24"/>
          <w:szCs w:val="24"/>
        </w:rPr>
        <w:t>Theory Culture Society</w:t>
      </w:r>
      <w:r w:rsidRPr="00F85702">
        <w:rPr>
          <w:rFonts w:asciiTheme="minorHAnsi" w:hAnsiTheme="minorHAnsi"/>
          <w:sz w:val="24"/>
          <w:szCs w:val="24"/>
        </w:rPr>
        <w:t>, 33 (7-8), pp. 257-270.</w:t>
      </w:r>
    </w:p>
    <w:p w14:paraId="4AD071A8" w14:textId="77777777" w:rsidR="00687B07" w:rsidRPr="00F85702" w:rsidRDefault="00687B07" w:rsidP="00F85702">
      <w:pPr>
        <w:pStyle w:val="p1"/>
        <w:spacing w:line="276" w:lineRule="auto"/>
        <w:rPr>
          <w:rFonts w:asciiTheme="minorHAnsi" w:hAnsiTheme="minorHAnsi"/>
          <w:sz w:val="24"/>
          <w:szCs w:val="24"/>
        </w:rPr>
      </w:pPr>
    </w:p>
    <w:p w14:paraId="4D080212" w14:textId="4B7B4BC1" w:rsidR="00410B1E" w:rsidRPr="00F85702" w:rsidRDefault="008968CE" w:rsidP="00F85702">
      <w:pPr>
        <w:spacing w:line="276" w:lineRule="auto"/>
        <w:rPr>
          <w:rFonts w:cs="Times New Roman"/>
          <w:lang w:eastAsia="en-GB"/>
        </w:rPr>
      </w:pPr>
      <w:r w:rsidRPr="00F85702">
        <w:rPr>
          <w:rFonts w:cs="Times New Roman"/>
          <w:lang w:eastAsia="en-GB"/>
        </w:rPr>
        <w:t xml:space="preserve">Berlin, I. (1969). Two conceptions of liberty. In I. Berlin, </w:t>
      </w:r>
      <w:r w:rsidRPr="00F85702">
        <w:rPr>
          <w:rFonts w:cs="Times New Roman"/>
          <w:i/>
          <w:lang w:eastAsia="en-GB"/>
        </w:rPr>
        <w:t>Four Essays on Liberty</w:t>
      </w:r>
      <w:r w:rsidRPr="00F85702">
        <w:rPr>
          <w:rFonts w:cs="Times New Roman"/>
          <w:lang w:eastAsia="en-GB"/>
        </w:rPr>
        <w:t xml:space="preserve"> (pp. </w:t>
      </w:r>
      <w:r w:rsidR="002A147C" w:rsidRPr="00F85702">
        <w:rPr>
          <w:rFonts w:cs="Times New Roman"/>
          <w:lang w:eastAsia="en-GB"/>
        </w:rPr>
        <w:t>15-35).</w:t>
      </w:r>
      <w:r w:rsidRPr="00F85702">
        <w:rPr>
          <w:rFonts w:cs="Times New Roman"/>
          <w:lang w:eastAsia="en-GB"/>
        </w:rPr>
        <w:t xml:space="preserve"> Oxford: Oxford University Press. </w:t>
      </w:r>
    </w:p>
    <w:p w14:paraId="474454D7" w14:textId="77777777" w:rsidR="00410B1E" w:rsidRPr="00F85702" w:rsidRDefault="00410B1E" w:rsidP="00F85702">
      <w:pPr>
        <w:spacing w:line="276" w:lineRule="auto"/>
        <w:rPr>
          <w:rFonts w:cs="Times New Roman"/>
          <w:lang w:eastAsia="en-GB"/>
        </w:rPr>
      </w:pPr>
    </w:p>
    <w:p w14:paraId="7E91BA5B" w14:textId="77777777" w:rsidR="00A57033" w:rsidRDefault="00A57033" w:rsidP="00A57033">
      <w:pPr>
        <w:widowControl w:val="0"/>
        <w:autoSpaceDE w:val="0"/>
        <w:autoSpaceDN w:val="0"/>
        <w:adjustRightInd w:val="0"/>
        <w:spacing w:line="288" w:lineRule="auto"/>
        <w:rPr>
          <w:rFonts w:cs="Times New Roman"/>
          <w:lang w:eastAsia="en-GB"/>
        </w:rPr>
      </w:pPr>
      <w:r>
        <w:rPr>
          <w:rFonts w:cs="Times New Roman"/>
          <w:lang w:eastAsia="en-GB"/>
        </w:rPr>
        <w:t xml:space="preserve">Bernstein, B. (2000). </w:t>
      </w:r>
      <w:r w:rsidRPr="00C03ECB">
        <w:rPr>
          <w:rFonts w:cs="Times New Roman"/>
          <w:i/>
          <w:lang w:eastAsia="en-GB"/>
        </w:rPr>
        <w:t>Pedagogy, Symbolic Control and Identity: Theory, research and critique</w:t>
      </w:r>
      <w:r>
        <w:rPr>
          <w:rFonts w:cs="Times New Roman"/>
          <w:lang w:eastAsia="en-GB"/>
        </w:rPr>
        <w:t>. Revised Edition. Oxford: Rowman and Littlefield.</w:t>
      </w:r>
    </w:p>
    <w:p w14:paraId="37A74320" w14:textId="77777777" w:rsidR="00A57033" w:rsidRDefault="00A57033" w:rsidP="00A57033">
      <w:pPr>
        <w:widowControl w:val="0"/>
        <w:autoSpaceDE w:val="0"/>
        <w:autoSpaceDN w:val="0"/>
        <w:adjustRightInd w:val="0"/>
        <w:spacing w:line="288" w:lineRule="auto"/>
        <w:rPr>
          <w:rFonts w:cs="Times New Roman"/>
          <w:lang w:eastAsia="en-GB"/>
        </w:rPr>
      </w:pPr>
    </w:p>
    <w:p w14:paraId="659A6460" w14:textId="41F6AD61" w:rsidR="008534A2" w:rsidRPr="00F85702" w:rsidRDefault="008534A2" w:rsidP="00F85702">
      <w:pPr>
        <w:widowControl w:val="0"/>
        <w:autoSpaceDE w:val="0"/>
        <w:autoSpaceDN w:val="0"/>
        <w:adjustRightInd w:val="0"/>
        <w:spacing w:line="276" w:lineRule="auto"/>
        <w:rPr>
          <w:rFonts w:cs="Times New Roman"/>
          <w:lang w:eastAsia="en-GB"/>
        </w:rPr>
      </w:pPr>
      <w:r w:rsidRPr="00F85702">
        <w:rPr>
          <w:rFonts w:cs="Times New Roman"/>
          <w:lang w:eastAsia="en-GB"/>
        </w:rPr>
        <w:t xml:space="preserve">Biesta, G. (2002). Bildung and modernity: The future of Bildung in a world of difference. </w:t>
      </w:r>
      <w:r w:rsidRPr="00F85702">
        <w:rPr>
          <w:rFonts w:cs="Times New Roman"/>
          <w:i/>
          <w:lang w:eastAsia="en-GB"/>
        </w:rPr>
        <w:t>Studies in Philosophy and Education</w:t>
      </w:r>
      <w:r w:rsidRPr="00F85702">
        <w:rPr>
          <w:rFonts w:cs="Times New Roman"/>
          <w:lang w:eastAsia="en-GB"/>
        </w:rPr>
        <w:t xml:space="preserve">, 21, pp. 343-352. </w:t>
      </w:r>
    </w:p>
    <w:p w14:paraId="5E911C2D" w14:textId="77777777" w:rsidR="008534A2" w:rsidRPr="00F85702" w:rsidRDefault="008534A2" w:rsidP="00F85702">
      <w:pPr>
        <w:widowControl w:val="0"/>
        <w:autoSpaceDE w:val="0"/>
        <w:autoSpaceDN w:val="0"/>
        <w:adjustRightInd w:val="0"/>
        <w:spacing w:line="276" w:lineRule="auto"/>
        <w:rPr>
          <w:rFonts w:cs="Times New Roman"/>
          <w:lang w:eastAsia="en-GB"/>
        </w:rPr>
      </w:pPr>
    </w:p>
    <w:p w14:paraId="0440AA97" w14:textId="00E60927" w:rsidR="001C2935" w:rsidRPr="00F85702" w:rsidRDefault="001C2935" w:rsidP="00F85702">
      <w:pPr>
        <w:widowControl w:val="0"/>
        <w:autoSpaceDE w:val="0"/>
        <w:autoSpaceDN w:val="0"/>
        <w:adjustRightInd w:val="0"/>
        <w:spacing w:line="276" w:lineRule="auto"/>
        <w:rPr>
          <w:rFonts w:asciiTheme="majorHAnsi" w:hAnsiTheme="majorHAnsi" w:cs="Times New Roman"/>
          <w:b/>
        </w:rPr>
      </w:pPr>
      <w:r w:rsidRPr="00F85702">
        <w:rPr>
          <w:iCs/>
        </w:rPr>
        <w:t xml:space="preserve">Biesta, G. (2012). </w:t>
      </w:r>
      <w:r w:rsidRPr="00F85702">
        <w:rPr>
          <w:rFonts w:asciiTheme="majorHAnsi" w:hAnsiTheme="majorHAnsi" w:cs="Times New Roman"/>
          <w:b/>
        </w:rPr>
        <w:t xml:space="preserve">George Herbert Mead: Formation through communication. In </w:t>
      </w:r>
      <w:r w:rsidRPr="00F85702">
        <w:rPr>
          <w:rFonts w:asciiTheme="majorHAnsi" w:hAnsiTheme="majorHAnsi"/>
          <w:b/>
        </w:rPr>
        <w:t xml:space="preserve">Siljander, P., Kivela, A. and Sutinen, A. (eds.) (2012). </w:t>
      </w:r>
      <w:r w:rsidRPr="00F85702">
        <w:rPr>
          <w:rFonts w:asciiTheme="majorHAnsi" w:hAnsiTheme="majorHAnsi"/>
          <w:b/>
          <w:i/>
        </w:rPr>
        <w:t>Theories of Bildung and Growth: Connections and controversies between Continental educational thinking and American pragmatism</w:t>
      </w:r>
      <w:r w:rsidRPr="00F85702">
        <w:rPr>
          <w:rFonts w:asciiTheme="majorHAnsi" w:hAnsiTheme="majorHAnsi"/>
          <w:b/>
        </w:rPr>
        <w:t xml:space="preserve"> (pp. 247-260). Rotterdam: Sense Publishers.</w:t>
      </w:r>
    </w:p>
    <w:p w14:paraId="32F40FDD" w14:textId="77777777" w:rsidR="001C2935" w:rsidRPr="00F85702" w:rsidRDefault="001C2935" w:rsidP="00F85702">
      <w:pPr>
        <w:pStyle w:val="p1"/>
        <w:spacing w:line="276" w:lineRule="auto"/>
        <w:rPr>
          <w:rFonts w:asciiTheme="minorHAnsi" w:hAnsiTheme="minorHAnsi"/>
          <w:iCs/>
          <w:sz w:val="24"/>
          <w:szCs w:val="24"/>
        </w:rPr>
      </w:pPr>
    </w:p>
    <w:p w14:paraId="51A12249" w14:textId="3194C270" w:rsidR="00A6390C" w:rsidRPr="00F85702" w:rsidRDefault="00A6390C" w:rsidP="00F85702">
      <w:pPr>
        <w:pStyle w:val="p1"/>
        <w:spacing w:line="276" w:lineRule="auto"/>
        <w:rPr>
          <w:rFonts w:asciiTheme="minorHAnsi" w:hAnsiTheme="minorHAnsi"/>
          <w:sz w:val="24"/>
          <w:szCs w:val="24"/>
        </w:rPr>
      </w:pPr>
      <w:r w:rsidRPr="00F85702">
        <w:rPr>
          <w:rFonts w:asciiTheme="minorHAnsi" w:hAnsiTheme="minorHAnsi"/>
          <w:iCs/>
          <w:sz w:val="24"/>
          <w:szCs w:val="24"/>
        </w:rPr>
        <w:t xml:space="preserve">Chai, W. Y. (2016). </w:t>
      </w:r>
      <w:r w:rsidRPr="00F85702">
        <w:rPr>
          <w:rStyle w:val="apple-converted-space"/>
          <w:rFonts w:asciiTheme="minorHAnsi" w:hAnsiTheme="minorHAnsi"/>
          <w:sz w:val="24"/>
          <w:szCs w:val="24"/>
        </w:rPr>
        <w:t> Ad</w:t>
      </w:r>
      <w:r w:rsidRPr="00F85702">
        <w:rPr>
          <w:rFonts w:asciiTheme="minorHAnsi" w:hAnsiTheme="minorHAnsi"/>
          <w:sz w:val="24"/>
          <w:szCs w:val="24"/>
        </w:rPr>
        <w:t xml:space="preserve">apting the Western model of liberal arts education in China: The cases of Fudan University and Lingnan University. In Jung, I., Nishimura, M. and Sasao, T., </w:t>
      </w:r>
      <w:r w:rsidRPr="00F85702">
        <w:rPr>
          <w:rFonts w:asciiTheme="minorHAnsi" w:hAnsiTheme="minorHAnsi"/>
          <w:i/>
          <w:sz w:val="24"/>
          <w:szCs w:val="24"/>
        </w:rPr>
        <w:t>Liberal Arts Education and Colleges in East Asia: Possibilities and challenges in the global age</w:t>
      </w:r>
      <w:r w:rsidRPr="00F85702">
        <w:rPr>
          <w:rFonts w:asciiTheme="minorHAnsi" w:hAnsiTheme="minorHAnsi"/>
          <w:sz w:val="24"/>
          <w:szCs w:val="24"/>
        </w:rPr>
        <w:t xml:space="preserve"> (pp. 75-86). Dordrecht: Springer.</w:t>
      </w:r>
    </w:p>
    <w:p w14:paraId="2DAD2BEE" w14:textId="77777777" w:rsidR="00A6390C" w:rsidRPr="00F85702" w:rsidRDefault="00A6390C" w:rsidP="00F85702">
      <w:pPr>
        <w:pStyle w:val="p1"/>
        <w:spacing w:line="276" w:lineRule="auto"/>
        <w:rPr>
          <w:rFonts w:asciiTheme="minorHAnsi" w:hAnsiTheme="minorHAnsi"/>
          <w:iCs/>
          <w:sz w:val="24"/>
          <w:szCs w:val="24"/>
        </w:rPr>
      </w:pPr>
    </w:p>
    <w:p w14:paraId="346230E8" w14:textId="6F099B20" w:rsidR="008D7D1C" w:rsidRPr="00F85702" w:rsidRDefault="008D7D1C" w:rsidP="00F85702">
      <w:pPr>
        <w:widowControl w:val="0"/>
        <w:autoSpaceDE w:val="0"/>
        <w:autoSpaceDN w:val="0"/>
        <w:adjustRightInd w:val="0"/>
        <w:spacing w:line="276" w:lineRule="auto"/>
        <w:rPr>
          <w:rFonts w:cs="Times New Roman"/>
          <w:lang w:eastAsia="en-GB"/>
        </w:rPr>
      </w:pPr>
      <w:r w:rsidRPr="00F85702">
        <w:rPr>
          <w:rFonts w:cs="Times New Roman"/>
          <w:lang w:eastAsia="en-GB"/>
        </w:rPr>
        <w:t xml:space="preserve">Clegg, S. (2011). Cultural capital and agency: Connecting critique and curriculum in higher </w:t>
      </w:r>
      <w:r w:rsidRPr="00F85702">
        <w:rPr>
          <w:rFonts w:cs="Times New Roman"/>
          <w:lang w:eastAsia="en-GB"/>
        </w:rPr>
        <w:lastRenderedPageBreak/>
        <w:t xml:space="preserve">education. </w:t>
      </w:r>
      <w:r w:rsidR="00ED5730" w:rsidRPr="00F85702">
        <w:rPr>
          <w:rFonts w:cs="Times New Roman"/>
          <w:i/>
          <w:lang w:eastAsia="en-GB"/>
        </w:rPr>
        <w:t>British Journal of Sociology of Education</w:t>
      </w:r>
      <w:r w:rsidR="00ED5730" w:rsidRPr="00F85702">
        <w:rPr>
          <w:rFonts w:cs="Times New Roman"/>
          <w:lang w:eastAsia="en-GB"/>
        </w:rPr>
        <w:t>, 32 (1), pp. 93-108.</w:t>
      </w:r>
    </w:p>
    <w:p w14:paraId="7C8D1F18" w14:textId="77777777" w:rsidR="008D7D1C" w:rsidRPr="00F85702" w:rsidRDefault="008D7D1C" w:rsidP="00F85702">
      <w:pPr>
        <w:widowControl w:val="0"/>
        <w:autoSpaceDE w:val="0"/>
        <w:autoSpaceDN w:val="0"/>
        <w:adjustRightInd w:val="0"/>
        <w:spacing w:line="276" w:lineRule="auto"/>
        <w:rPr>
          <w:rFonts w:cs="Times New Roman"/>
          <w:lang w:eastAsia="en-GB"/>
        </w:rPr>
      </w:pPr>
    </w:p>
    <w:p w14:paraId="4333C558" w14:textId="55E5ED92" w:rsidR="00A83767" w:rsidRPr="00F85702" w:rsidRDefault="00A83767" w:rsidP="00F85702">
      <w:pPr>
        <w:widowControl w:val="0"/>
        <w:autoSpaceDE w:val="0"/>
        <w:autoSpaceDN w:val="0"/>
        <w:adjustRightInd w:val="0"/>
        <w:spacing w:line="276" w:lineRule="auto"/>
        <w:rPr>
          <w:rFonts w:cs="Times New Roman"/>
          <w:lang w:eastAsia="en-GB"/>
        </w:rPr>
      </w:pPr>
      <w:r w:rsidRPr="00F85702">
        <w:rPr>
          <w:rFonts w:cs="Times New Roman"/>
          <w:lang w:eastAsia="en-GB"/>
        </w:rPr>
        <w:t xml:space="preserve">Dewey, J. (1927). </w:t>
      </w:r>
      <w:r w:rsidRPr="00F85702">
        <w:rPr>
          <w:rFonts w:cs="Times New Roman"/>
          <w:i/>
          <w:lang w:eastAsia="en-GB"/>
        </w:rPr>
        <w:t>The Public and its Problems</w:t>
      </w:r>
      <w:r w:rsidRPr="00F85702">
        <w:rPr>
          <w:rFonts w:cs="Times New Roman"/>
          <w:lang w:eastAsia="en-GB"/>
        </w:rPr>
        <w:t>. Athens: Swallow Press.</w:t>
      </w:r>
    </w:p>
    <w:p w14:paraId="47BA6C9F" w14:textId="77777777" w:rsidR="00A83767" w:rsidRPr="00F85702" w:rsidRDefault="00A83767" w:rsidP="00F85702">
      <w:pPr>
        <w:widowControl w:val="0"/>
        <w:autoSpaceDE w:val="0"/>
        <w:autoSpaceDN w:val="0"/>
        <w:adjustRightInd w:val="0"/>
        <w:spacing w:line="276" w:lineRule="auto"/>
        <w:rPr>
          <w:rFonts w:cs="Times New Roman"/>
          <w:lang w:eastAsia="en-GB"/>
        </w:rPr>
      </w:pPr>
    </w:p>
    <w:p w14:paraId="3AD3F59B" w14:textId="342698A3" w:rsidR="003A2D86" w:rsidRPr="00F85702" w:rsidRDefault="003A2D86" w:rsidP="00F85702">
      <w:pPr>
        <w:widowControl w:val="0"/>
        <w:autoSpaceDE w:val="0"/>
        <w:autoSpaceDN w:val="0"/>
        <w:adjustRightInd w:val="0"/>
        <w:spacing w:line="276" w:lineRule="auto"/>
        <w:rPr>
          <w:rFonts w:cs="Times New Roman"/>
          <w:lang w:eastAsia="en-GB"/>
        </w:rPr>
      </w:pPr>
      <w:r w:rsidRPr="00F85702">
        <w:rPr>
          <w:rFonts w:cs="Times New Roman"/>
          <w:lang w:eastAsia="en-GB"/>
        </w:rPr>
        <w:t xml:space="preserve">Dubet, F. (2000). The sociology of pupils. </w:t>
      </w:r>
      <w:r w:rsidRPr="00F85702">
        <w:rPr>
          <w:rFonts w:cs="Times New Roman"/>
          <w:i/>
          <w:lang w:eastAsia="en-GB"/>
        </w:rPr>
        <w:t>Journal of Education Policy</w:t>
      </w:r>
      <w:r w:rsidRPr="00F85702">
        <w:rPr>
          <w:rFonts w:cs="Times New Roman"/>
          <w:lang w:eastAsia="en-GB"/>
        </w:rPr>
        <w:t>, 15, pp. 93-104.</w:t>
      </w:r>
    </w:p>
    <w:p w14:paraId="46F6E10F" w14:textId="77777777" w:rsidR="003A2D86" w:rsidRPr="00F85702" w:rsidRDefault="003A2D86" w:rsidP="00F85702">
      <w:pPr>
        <w:widowControl w:val="0"/>
        <w:autoSpaceDE w:val="0"/>
        <w:autoSpaceDN w:val="0"/>
        <w:adjustRightInd w:val="0"/>
        <w:spacing w:line="276" w:lineRule="auto"/>
        <w:rPr>
          <w:rFonts w:cs="Times New Roman"/>
          <w:lang w:eastAsia="en-GB"/>
        </w:rPr>
      </w:pPr>
    </w:p>
    <w:p w14:paraId="6EE31AA1" w14:textId="70820496" w:rsidR="009F2148" w:rsidRPr="00F85702" w:rsidRDefault="009F2148" w:rsidP="00F85702">
      <w:pPr>
        <w:widowControl w:val="0"/>
        <w:autoSpaceDE w:val="0"/>
        <w:autoSpaceDN w:val="0"/>
        <w:adjustRightInd w:val="0"/>
        <w:spacing w:line="276" w:lineRule="auto"/>
        <w:rPr>
          <w:rFonts w:asciiTheme="majorHAnsi" w:hAnsiTheme="majorHAnsi" w:cs="‡ùOVˇ"/>
          <w:b/>
        </w:rPr>
      </w:pPr>
      <w:r w:rsidRPr="00F85702">
        <w:rPr>
          <w:rFonts w:cs="Times New Roman"/>
          <w:lang w:eastAsia="en-GB"/>
        </w:rPr>
        <w:t xml:space="preserve">Dyke, </w:t>
      </w:r>
      <w:r w:rsidRPr="00F85702">
        <w:rPr>
          <w:rFonts w:asciiTheme="majorHAnsi" w:hAnsiTheme="majorHAnsi" w:cs="‡ùOVˇ"/>
          <w:b/>
        </w:rPr>
        <w:t xml:space="preserve">M. (2015). Reconceptualising learning as a form of relational reflexivity. </w:t>
      </w:r>
      <w:r w:rsidRPr="00F85702">
        <w:rPr>
          <w:rFonts w:asciiTheme="majorHAnsi" w:hAnsiTheme="majorHAnsi" w:cs="‡ùOVˇ"/>
          <w:b/>
          <w:i/>
        </w:rPr>
        <w:t>British Journal of Sociology of Education</w:t>
      </w:r>
      <w:r w:rsidRPr="00F85702">
        <w:rPr>
          <w:rFonts w:asciiTheme="majorHAnsi" w:hAnsiTheme="majorHAnsi" w:cs="‡ùOVˇ"/>
          <w:b/>
        </w:rPr>
        <w:t>, 36 (4), pp. 542-557.</w:t>
      </w:r>
    </w:p>
    <w:p w14:paraId="55FD68DA" w14:textId="77777777" w:rsidR="009F2148" w:rsidRPr="00F85702" w:rsidRDefault="009F2148" w:rsidP="00F85702">
      <w:pPr>
        <w:spacing w:line="276" w:lineRule="auto"/>
        <w:rPr>
          <w:rFonts w:cs="Times New Roman"/>
          <w:lang w:eastAsia="en-GB"/>
        </w:rPr>
      </w:pPr>
    </w:p>
    <w:p w14:paraId="66083010" w14:textId="1A7A94E4" w:rsidR="001C2061" w:rsidRPr="00F85702" w:rsidRDefault="001C2061" w:rsidP="00F85702">
      <w:pPr>
        <w:spacing w:line="276" w:lineRule="auto"/>
        <w:rPr>
          <w:rFonts w:cs="Times New Roman"/>
          <w:lang w:eastAsia="en-GB"/>
        </w:rPr>
      </w:pPr>
      <w:r w:rsidRPr="00F85702">
        <w:rPr>
          <w:rFonts w:cs="Times New Roman"/>
          <w:lang w:eastAsia="en-GB"/>
        </w:rPr>
        <w:t xml:space="preserve">Foucault, M. (2005). </w:t>
      </w:r>
      <w:r w:rsidRPr="00F85702">
        <w:rPr>
          <w:rFonts w:asciiTheme="majorHAnsi" w:hAnsiTheme="majorHAnsi" w:cs="Times New Roman"/>
          <w:b/>
          <w:i/>
        </w:rPr>
        <w:t>The Hermeneutics of the Subject: Lectures at the College de France 1981-82.</w:t>
      </w:r>
      <w:r w:rsidRPr="00F85702">
        <w:rPr>
          <w:rFonts w:asciiTheme="majorHAnsi" w:hAnsiTheme="majorHAnsi" w:cs="Times New Roman"/>
          <w:b/>
        </w:rPr>
        <w:t xml:space="preserve"> Translated by Graham Burchell. </w:t>
      </w:r>
      <w:r w:rsidR="007942EA" w:rsidRPr="00F85702">
        <w:rPr>
          <w:rFonts w:asciiTheme="majorHAnsi" w:hAnsiTheme="majorHAnsi" w:cs="Times New Roman"/>
          <w:b/>
        </w:rPr>
        <w:t>Houndmills: Palgrave.</w:t>
      </w:r>
    </w:p>
    <w:p w14:paraId="2E48A46A" w14:textId="77777777" w:rsidR="001C2061" w:rsidRPr="00F85702" w:rsidRDefault="001C2061" w:rsidP="00F85702">
      <w:pPr>
        <w:spacing w:line="276" w:lineRule="auto"/>
        <w:rPr>
          <w:rFonts w:cs="Times New Roman"/>
          <w:lang w:eastAsia="en-GB"/>
        </w:rPr>
      </w:pPr>
    </w:p>
    <w:p w14:paraId="2093D2F9" w14:textId="7AAE0DF6" w:rsidR="00E3536B" w:rsidRPr="00F85702" w:rsidRDefault="00E3536B" w:rsidP="00F85702">
      <w:pPr>
        <w:spacing w:line="276" w:lineRule="auto"/>
        <w:rPr>
          <w:rFonts w:cs="Times New Roman"/>
          <w:lang w:eastAsia="en-GB"/>
        </w:rPr>
      </w:pPr>
      <w:r w:rsidRPr="00F85702">
        <w:rPr>
          <w:rFonts w:cs="Times New Roman"/>
          <w:lang w:eastAsia="en-GB"/>
        </w:rPr>
        <w:t>Foucault, M. (20</w:t>
      </w:r>
      <w:r w:rsidR="0054553F" w:rsidRPr="00F85702">
        <w:rPr>
          <w:rFonts w:cs="Times New Roman"/>
          <w:lang w:eastAsia="en-GB"/>
        </w:rPr>
        <w:t>10</w:t>
      </w:r>
      <w:r w:rsidRPr="00F85702">
        <w:rPr>
          <w:rFonts w:cs="Times New Roman"/>
          <w:lang w:eastAsia="en-GB"/>
        </w:rPr>
        <w:t xml:space="preserve">). </w:t>
      </w:r>
      <w:r w:rsidRPr="00F85702">
        <w:rPr>
          <w:rFonts w:asciiTheme="majorHAnsi" w:hAnsiTheme="majorHAnsi" w:cs="Times New Roman"/>
          <w:b/>
          <w:i/>
        </w:rPr>
        <w:t>The Government of the Self and Others: Lectures at the College de France 1982-83.</w:t>
      </w:r>
      <w:r w:rsidRPr="00F85702">
        <w:rPr>
          <w:rFonts w:asciiTheme="majorHAnsi" w:hAnsiTheme="majorHAnsi" w:cs="Times New Roman"/>
          <w:b/>
        </w:rPr>
        <w:t xml:space="preserve"> Translated by Graham Burchell. </w:t>
      </w:r>
      <w:r w:rsidR="007942EA" w:rsidRPr="00F85702">
        <w:rPr>
          <w:rFonts w:asciiTheme="majorHAnsi" w:hAnsiTheme="majorHAnsi" w:cs="Times New Roman"/>
          <w:b/>
        </w:rPr>
        <w:t>Houndmills: Palgrave</w:t>
      </w:r>
      <w:r w:rsidRPr="00F85702">
        <w:rPr>
          <w:rFonts w:asciiTheme="majorHAnsi" w:hAnsiTheme="majorHAnsi" w:cs="Times New Roman"/>
          <w:b/>
        </w:rPr>
        <w:t>.</w:t>
      </w:r>
    </w:p>
    <w:p w14:paraId="62115905" w14:textId="77777777" w:rsidR="00E3536B" w:rsidRPr="00F85702" w:rsidRDefault="00E3536B" w:rsidP="00F85702">
      <w:pPr>
        <w:spacing w:line="276" w:lineRule="auto"/>
        <w:rPr>
          <w:rFonts w:cs="Times New Roman"/>
          <w:lang w:eastAsia="en-GB"/>
        </w:rPr>
      </w:pPr>
    </w:p>
    <w:p w14:paraId="48E69196" w14:textId="37FA782A" w:rsidR="0054553F" w:rsidRPr="00F85702" w:rsidRDefault="0054553F" w:rsidP="00F85702">
      <w:pPr>
        <w:spacing w:line="276" w:lineRule="auto"/>
        <w:rPr>
          <w:rFonts w:cs="Times New Roman"/>
          <w:lang w:eastAsia="en-GB"/>
        </w:rPr>
      </w:pPr>
      <w:r w:rsidRPr="00F85702">
        <w:rPr>
          <w:rFonts w:cs="Times New Roman"/>
          <w:lang w:eastAsia="en-GB"/>
        </w:rPr>
        <w:t xml:space="preserve">Foucault, M. (2011). </w:t>
      </w:r>
      <w:r w:rsidRPr="00F85702">
        <w:rPr>
          <w:rFonts w:asciiTheme="majorHAnsi" w:hAnsiTheme="majorHAnsi" w:cs="Times New Roman"/>
          <w:b/>
          <w:i/>
        </w:rPr>
        <w:t>The Courage of Truth: Lectures at the College de France 1983-84.</w:t>
      </w:r>
      <w:r w:rsidRPr="00F85702">
        <w:rPr>
          <w:rFonts w:asciiTheme="majorHAnsi" w:hAnsiTheme="majorHAnsi" w:cs="Times New Roman"/>
          <w:b/>
        </w:rPr>
        <w:t xml:space="preserve"> Translated by Graham Burchell. Houndmills: Palgrave.</w:t>
      </w:r>
    </w:p>
    <w:p w14:paraId="506BF6FE" w14:textId="77777777" w:rsidR="0054553F" w:rsidRPr="00F85702" w:rsidRDefault="0054553F" w:rsidP="00F85702">
      <w:pPr>
        <w:spacing w:line="276" w:lineRule="auto"/>
        <w:rPr>
          <w:rFonts w:cs="Times New Roman"/>
          <w:lang w:eastAsia="en-GB"/>
        </w:rPr>
      </w:pPr>
    </w:p>
    <w:p w14:paraId="39153694" w14:textId="6328C634" w:rsidR="00410B1E" w:rsidRPr="00F85702" w:rsidRDefault="00410B1E" w:rsidP="00F85702">
      <w:pPr>
        <w:spacing w:line="276" w:lineRule="auto"/>
        <w:rPr>
          <w:rFonts w:cs="Times New Roman"/>
          <w:lang w:eastAsia="en-GB"/>
        </w:rPr>
      </w:pPr>
      <w:r w:rsidRPr="00F85702">
        <w:rPr>
          <w:rFonts w:cs="Times New Roman"/>
          <w:lang w:eastAsia="en-GB"/>
        </w:rPr>
        <w:t xml:space="preserve">Giddens, A (1991). </w:t>
      </w:r>
      <w:r w:rsidRPr="00F85702">
        <w:rPr>
          <w:rFonts w:cs="Times New Roman"/>
          <w:i/>
          <w:lang w:eastAsia="en-GB"/>
        </w:rPr>
        <w:t>Modernity and Self-identity: Self and society in the late modern age</w:t>
      </w:r>
      <w:r w:rsidRPr="00F85702">
        <w:rPr>
          <w:rFonts w:cs="Times New Roman"/>
          <w:lang w:eastAsia="en-GB"/>
        </w:rPr>
        <w:t>. Cambridge, UK: Polity Press.</w:t>
      </w:r>
    </w:p>
    <w:p w14:paraId="7DDB915F" w14:textId="77777777" w:rsidR="00410B1E" w:rsidRPr="00F85702" w:rsidRDefault="00410B1E" w:rsidP="00F85702">
      <w:pPr>
        <w:spacing w:line="276" w:lineRule="auto"/>
      </w:pPr>
    </w:p>
    <w:p w14:paraId="396A0B53" w14:textId="77777777" w:rsidR="00F85702" w:rsidRDefault="00F85702" w:rsidP="00F85702">
      <w:pPr>
        <w:pStyle w:val="p1"/>
        <w:spacing w:line="276" w:lineRule="auto"/>
        <w:rPr>
          <w:rFonts w:asciiTheme="minorHAnsi" w:hAnsiTheme="minorHAnsi"/>
          <w:sz w:val="24"/>
          <w:szCs w:val="24"/>
        </w:rPr>
      </w:pPr>
      <w:r>
        <w:rPr>
          <w:rFonts w:asciiTheme="minorHAnsi" w:hAnsiTheme="minorHAnsi"/>
          <w:sz w:val="24"/>
          <w:szCs w:val="24"/>
        </w:rPr>
        <w:t xml:space="preserve">Hayhoe, R. (2017). China in the center: What will it mean for global education? </w:t>
      </w:r>
      <w:r w:rsidRPr="00F85702">
        <w:rPr>
          <w:rFonts w:asciiTheme="minorHAnsi" w:hAnsiTheme="minorHAnsi"/>
          <w:i/>
          <w:sz w:val="24"/>
          <w:szCs w:val="24"/>
        </w:rPr>
        <w:t>Frontiers of Education in China</w:t>
      </w:r>
      <w:r>
        <w:rPr>
          <w:rFonts w:asciiTheme="minorHAnsi" w:hAnsiTheme="minorHAnsi"/>
          <w:sz w:val="24"/>
          <w:szCs w:val="24"/>
        </w:rPr>
        <w:t>, 12 (1). DOI 10.3868/s110-005-016-003</w:t>
      </w:r>
    </w:p>
    <w:p w14:paraId="462FDA3E" w14:textId="77777777" w:rsidR="00F85702" w:rsidRDefault="00F85702" w:rsidP="00F85702">
      <w:pPr>
        <w:pStyle w:val="p1"/>
        <w:spacing w:line="276" w:lineRule="auto"/>
        <w:rPr>
          <w:rFonts w:asciiTheme="minorHAnsi" w:hAnsiTheme="minorHAnsi"/>
          <w:sz w:val="24"/>
          <w:szCs w:val="24"/>
        </w:rPr>
      </w:pPr>
    </w:p>
    <w:p w14:paraId="0799BCE4" w14:textId="34413F8D" w:rsidR="00EC3C45" w:rsidRPr="00F85702" w:rsidRDefault="00EC3C45" w:rsidP="00F85702">
      <w:pPr>
        <w:pStyle w:val="p1"/>
        <w:spacing w:line="276" w:lineRule="auto"/>
        <w:rPr>
          <w:rFonts w:asciiTheme="minorHAnsi" w:hAnsiTheme="minorHAnsi"/>
          <w:color w:val="000000" w:themeColor="text1"/>
          <w:sz w:val="24"/>
          <w:szCs w:val="24"/>
        </w:rPr>
      </w:pPr>
      <w:r w:rsidRPr="00F85702">
        <w:rPr>
          <w:rFonts w:asciiTheme="minorHAnsi" w:hAnsiTheme="minorHAnsi"/>
          <w:sz w:val="24"/>
          <w:szCs w:val="24"/>
        </w:rPr>
        <w:t xml:space="preserve">Jaeger, K. and Gram, M. </w:t>
      </w:r>
      <w:r w:rsidRPr="00F85702">
        <w:rPr>
          <w:rFonts w:asciiTheme="minorHAnsi" w:hAnsiTheme="minorHAnsi"/>
          <w:color w:val="000000" w:themeColor="text1"/>
          <w:sz w:val="24"/>
          <w:szCs w:val="24"/>
        </w:rPr>
        <w:t xml:space="preserve">(2016). Totally different standards - consumer orientation in study abroad contexts. Paper accepted by </w:t>
      </w:r>
      <w:r w:rsidRPr="00F85702">
        <w:rPr>
          <w:rFonts w:asciiTheme="minorHAnsi" w:hAnsiTheme="minorHAnsi"/>
          <w:i/>
          <w:color w:val="000000" w:themeColor="text1"/>
          <w:sz w:val="24"/>
          <w:szCs w:val="24"/>
        </w:rPr>
        <w:t>Higher Education</w:t>
      </w:r>
      <w:r w:rsidRPr="00F85702">
        <w:rPr>
          <w:rFonts w:asciiTheme="minorHAnsi" w:hAnsiTheme="minorHAnsi"/>
          <w:color w:val="000000" w:themeColor="text1"/>
          <w:sz w:val="24"/>
          <w:szCs w:val="24"/>
        </w:rPr>
        <w:t xml:space="preserve">. </w:t>
      </w:r>
    </w:p>
    <w:p w14:paraId="2FF03193" w14:textId="77777777" w:rsidR="00EC3C45" w:rsidRPr="00F85702" w:rsidRDefault="00EC3C45" w:rsidP="00F85702">
      <w:pPr>
        <w:widowControl w:val="0"/>
        <w:autoSpaceDE w:val="0"/>
        <w:autoSpaceDN w:val="0"/>
        <w:adjustRightInd w:val="0"/>
        <w:spacing w:line="276" w:lineRule="auto"/>
        <w:rPr>
          <w:rFonts w:asciiTheme="majorHAnsi" w:hAnsiTheme="majorHAnsi" w:cs="Times New Roman"/>
          <w:b/>
        </w:rPr>
      </w:pPr>
    </w:p>
    <w:p w14:paraId="4BBA3E13" w14:textId="011E2C97" w:rsidR="00B531FF" w:rsidRPr="00F85702" w:rsidRDefault="00B531FF" w:rsidP="00F85702">
      <w:pPr>
        <w:widowControl w:val="0"/>
        <w:autoSpaceDE w:val="0"/>
        <w:autoSpaceDN w:val="0"/>
        <w:adjustRightInd w:val="0"/>
        <w:spacing w:line="276" w:lineRule="auto"/>
        <w:rPr>
          <w:rFonts w:asciiTheme="majorHAnsi" w:hAnsiTheme="majorHAnsi" w:cs="Times New Roman"/>
          <w:b/>
        </w:rPr>
      </w:pPr>
      <w:r w:rsidRPr="00F85702">
        <w:rPr>
          <w:rFonts w:asciiTheme="majorHAnsi" w:hAnsiTheme="majorHAnsi" w:cs="Times New Roman"/>
          <w:b/>
        </w:rPr>
        <w:t xml:space="preserve">Jessop, B. (2005). Critical realism and the strategic-relational approach. </w:t>
      </w:r>
      <w:r w:rsidRPr="00F85702">
        <w:rPr>
          <w:rFonts w:asciiTheme="majorHAnsi" w:hAnsiTheme="majorHAnsi" w:cs="Times New Roman"/>
          <w:b/>
          <w:i/>
        </w:rPr>
        <w:t>New Formations: A Journal of Culture, Theory and Politics</w:t>
      </w:r>
      <w:r w:rsidRPr="00F85702">
        <w:rPr>
          <w:rFonts w:asciiTheme="majorHAnsi" w:hAnsiTheme="majorHAnsi" w:cs="Times New Roman"/>
          <w:b/>
        </w:rPr>
        <w:t>, 56, pp. 40-53.</w:t>
      </w:r>
    </w:p>
    <w:p w14:paraId="42EC3897" w14:textId="76668C45" w:rsidR="00B531FF" w:rsidRPr="00F85702" w:rsidRDefault="00B531FF" w:rsidP="00F85702">
      <w:pPr>
        <w:spacing w:line="276" w:lineRule="auto"/>
        <w:rPr>
          <w:rFonts w:cs="Times New Roman"/>
          <w:lang w:eastAsia="en-GB"/>
        </w:rPr>
      </w:pPr>
    </w:p>
    <w:p w14:paraId="1DEDE2EB" w14:textId="51798B39" w:rsidR="00DD41E7" w:rsidRPr="00F85702" w:rsidRDefault="00DD41E7" w:rsidP="00F85702">
      <w:pPr>
        <w:pStyle w:val="p1"/>
        <w:spacing w:line="276" w:lineRule="auto"/>
        <w:rPr>
          <w:rFonts w:asciiTheme="minorHAnsi" w:hAnsiTheme="minorHAnsi"/>
          <w:sz w:val="24"/>
          <w:szCs w:val="24"/>
        </w:rPr>
      </w:pPr>
      <w:r w:rsidRPr="00F85702">
        <w:rPr>
          <w:rFonts w:asciiTheme="minorHAnsi" w:hAnsiTheme="minorHAnsi"/>
          <w:sz w:val="24"/>
          <w:szCs w:val="24"/>
        </w:rPr>
        <w:t xml:space="preserve">Kettle, M. (2005). Agency as discursive practice: From “nobody” to “somebody” as an international student in Australia. </w:t>
      </w:r>
      <w:r w:rsidRPr="00F85702">
        <w:rPr>
          <w:rFonts w:asciiTheme="minorHAnsi" w:hAnsiTheme="minorHAnsi"/>
          <w:i/>
          <w:sz w:val="24"/>
          <w:szCs w:val="24"/>
        </w:rPr>
        <w:t>Asia-Pacific Journal of Education</w:t>
      </w:r>
      <w:r w:rsidRPr="00F85702">
        <w:rPr>
          <w:rFonts w:asciiTheme="minorHAnsi" w:hAnsiTheme="minorHAnsi"/>
          <w:sz w:val="24"/>
          <w:szCs w:val="24"/>
        </w:rPr>
        <w:t>, 25, pp. 45-60.</w:t>
      </w:r>
    </w:p>
    <w:p w14:paraId="5A4A3874" w14:textId="41E826BC" w:rsidR="00DD41E7" w:rsidRPr="00F85702" w:rsidRDefault="00DD41E7" w:rsidP="00F85702">
      <w:pPr>
        <w:widowControl w:val="0"/>
        <w:autoSpaceDE w:val="0"/>
        <w:autoSpaceDN w:val="0"/>
        <w:adjustRightInd w:val="0"/>
        <w:spacing w:line="276" w:lineRule="auto"/>
        <w:rPr>
          <w:rFonts w:cs="Times New Roman"/>
          <w:b/>
        </w:rPr>
      </w:pPr>
    </w:p>
    <w:p w14:paraId="753E50ED" w14:textId="6C64A3F0" w:rsidR="00F20C70" w:rsidRPr="00F85702" w:rsidRDefault="00F20C70" w:rsidP="00F85702">
      <w:pPr>
        <w:widowControl w:val="0"/>
        <w:autoSpaceDE w:val="0"/>
        <w:autoSpaceDN w:val="0"/>
        <w:adjustRightInd w:val="0"/>
        <w:spacing w:line="276" w:lineRule="auto"/>
        <w:rPr>
          <w:rFonts w:asciiTheme="majorHAnsi" w:hAnsiTheme="majorHAnsi" w:cs="Times New Roman"/>
          <w:b/>
        </w:rPr>
      </w:pPr>
      <w:r w:rsidRPr="00F85702">
        <w:rPr>
          <w:rFonts w:asciiTheme="majorHAnsi" w:hAnsiTheme="majorHAnsi" w:cs="Times New Roman"/>
          <w:b/>
        </w:rPr>
        <w:t xml:space="preserve">Kirby, W. and van der Wende, M. (2016). A global dialogue on liberal arts and sciences: Re-engagement, re-imagination and experimentation. In W. Kirby and M. van der Wende (eds.), </w:t>
      </w:r>
      <w:r w:rsidRPr="00F85702">
        <w:rPr>
          <w:rFonts w:asciiTheme="majorHAnsi" w:hAnsiTheme="majorHAnsi" w:cs="Times New Roman"/>
          <w:b/>
          <w:i/>
        </w:rPr>
        <w:t>Experiences in Liberal Arts and Sciences Education from America, Europe, and Asia</w:t>
      </w:r>
      <w:r w:rsidR="00885D90" w:rsidRPr="00F85702">
        <w:rPr>
          <w:rFonts w:asciiTheme="majorHAnsi" w:hAnsiTheme="majorHAnsi" w:cs="Times New Roman"/>
          <w:b/>
          <w:i/>
        </w:rPr>
        <w:t>: A dialogue across continents</w:t>
      </w:r>
      <w:r w:rsidR="005176B0" w:rsidRPr="00F85702">
        <w:rPr>
          <w:rFonts w:asciiTheme="majorHAnsi" w:hAnsiTheme="majorHAnsi" w:cs="Times New Roman"/>
          <w:b/>
        </w:rPr>
        <w:t xml:space="preserve"> (pp. 1-16)</w:t>
      </w:r>
      <w:r w:rsidRPr="00F85702">
        <w:rPr>
          <w:rFonts w:asciiTheme="majorHAnsi" w:hAnsiTheme="majorHAnsi" w:cs="Times New Roman"/>
          <w:b/>
        </w:rPr>
        <w:t xml:space="preserve">. </w:t>
      </w:r>
      <w:r w:rsidR="005176B0" w:rsidRPr="00F85702">
        <w:rPr>
          <w:rFonts w:asciiTheme="majorHAnsi" w:hAnsiTheme="majorHAnsi" w:cs="Times New Roman"/>
          <w:b/>
        </w:rPr>
        <w:t>Palgrave</w:t>
      </w:r>
    </w:p>
    <w:p w14:paraId="6F725287" w14:textId="77777777" w:rsidR="00F20C70" w:rsidRPr="00F85702" w:rsidRDefault="00F20C70" w:rsidP="00F85702">
      <w:pPr>
        <w:widowControl w:val="0"/>
        <w:autoSpaceDE w:val="0"/>
        <w:autoSpaceDN w:val="0"/>
        <w:adjustRightInd w:val="0"/>
        <w:spacing w:line="276" w:lineRule="auto"/>
        <w:rPr>
          <w:rFonts w:asciiTheme="majorHAnsi" w:hAnsiTheme="majorHAnsi" w:cs="Times New Roman"/>
          <w:b/>
        </w:rPr>
      </w:pPr>
    </w:p>
    <w:p w14:paraId="1D91DCF1" w14:textId="5E805DCD" w:rsidR="0016154F" w:rsidRPr="00F85702" w:rsidRDefault="0016154F" w:rsidP="00F85702">
      <w:pPr>
        <w:widowControl w:val="0"/>
        <w:autoSpaceDE w:val="0"/>
        <w:autoSpaceDN w:val="0"/>
        <w:adjustRightInd w:val="0"/>
        <w:spacing w:line="276" w:lineRule="auto"/>
        <w:rPr>
          <w:rFonts w:asciiTheme="majorHAnsi" w:hAnsiTheme="majorHAnsi" w:cs="Times New Roman"/>
          <w:b/>
        </w:rPr>
      </w:pPr>
      <w:r w:rsidRPr="00F85702">
        <w:rPr>
          <w:rFonts w:asciiTheme="majorHAnsi" w:hAnsiTheme="majorHAnsi" w:cs="Times New Roman"/>
          <w:b/>
        </w:rPr>
        <w:t xml:space="preserve">Kivela, A. (2012). From Immanuel Kant to Johann Gottlieb Fichte – Concept of education and German idealism. In </w:t>
      </w:r>
      <w:r w:rsidRPr="00F85702">
        <w:rPr>
          <w:rFonts w:asciiTheme="majorHAnsi" w:hAnsiTheme="majorHAnsi"/>
          <w:b/>
        </w:rPr>
        <w:t xml:space="preserve">Siljander, P., Kivela, A. and Sutinen, A. (eds.) (2012). </w:t>
      </w:r>
      <w:r w:rsidRPr="00F85702">
        <w:rPr>
          <w:rFonts w:asciiTheme="majorHAnsi" w:hAnsiTheme="majorHAnsi"/>
          <w:b/>
          <w:i/>
        </w:rPr>
        <w:t xml:space="preserve">Theories of Bildung and Growth: Connections and controversies between Continental educational thinking and </w:t>
      </w:r>
      <w:r w:rsidRPr="00F85702">
        <w:rPr>
          <w:rFonts w:asciiTheme="majorHAnsi" w:hAnsiTheme="majorHAnsi"/>
          <w:b/>
          <w:i/>
        </w:rPr>
        <w:lastRenderedPageBreak/>
        <w:t>American pragmatism</w:t>
      </w:r>
      <w:r w:rsidRPr="00F85702">
        <w:rPr>
          <w:rFonts w:asciiTheme="majorHAnsi" w:hAnsiTheme="majorHAnsi"/>
          <w:b/>
        </w:rPr>
        <w:t xml:space="preserve"> (pp. </w:t>
      </w:r>
      <w:r w:rsidR="00AF5FE3" w:rsidRPr="00F85702">
        <w:rPr>
          <w:rFonts w:asciiTheme="majorHAnsi" w:hAnsiTheme="majorHAnsi"/>
          <w:b/>
        </w:rPr>
        <w:t xml:space="preserve">59-86). </w:t>
      </w:r>
      <w:r w:rsidRPr="00F85702">
        <w:rPr>
          <w:rFonts w:asciiTheme="majorHAnsi" w:hAnsiTheme="majorHAnsi"/>
          <w:b/>
        </w:rPr>
        <w:t>Rotterdam: Sense Publishers</w:t>
      </w:r>
      <w:r w:rsidR="001C2935" w:rsidRPr="00F85702">
        <w:rPr>
          <w:rFonts w:asciiTheme="majorHAnsi" w:hAnsiTheme="majorHAnsi"/>
          <w:b/>
        </w:rPr>
        <w:t>.</w:t>
      </w:r>
      <w:r w:rsidRPr="00F85702">
        <w:rPr>
          <w:rFonts w:asciiTheme="majorHAnsi" w:hAnsiTheme="majorHAnsi" w:cs="Times New Roman"/>
          <w:b/>
        </w:rPr>
        <w:t xml:space="preserve"> </w:t>
      </w:r>
    </w:p>
    <w:p w14:paraId="7FD5BAED" w14:textId="77777777" w:rsidR="0016154F" w:rsidRPr="00F85702" w:rsidRDefault="0016154F" w:rsidP="00F85702">
      <w:pPr>
        <w:spacing w:line="276" w:lineRule="auto"/>
        <w:rPr>
          <w:rFonts w:cs="Times New Roman"/>
          <w:lang w:eastAsia="en-GB"/>
        </w:rPr>
      </w:pPr>
    </w:p>
    <w:p w14:paraId="49C06E33" w14:textId="548649DE" w:rsidR="004F075D" w:rsidRPr="00F85702" w:rsidRDefault="004F075D" w:rsidP="00F85702">
      <w:pPr>
        <w:widowControl w:val="0"/>
        <w:autoSpaceDE w:val="0"/>
        <w:autoSpaceDN w:val="0"/>
        <w:adjustRightInd w:val="0"/>
        <w:spacing w:line="276" w:lineRule="auto"/>
        <w:rPr>
          <w:rFonts w:asciiTheme="majorHAnsi" w:hAnsiTheme="majorHAnsi" w:cs="Times New Roman"/>
          <w:b/>
        </w:rPr>
      </w:pPr>
      <w:r w:rsidRPr="00F85702">
        <w:rPr>
          <w:rFonts w:asciiTheme="majorHAnsi" w:hAnsiTheme="majorHAnsi" w:cs="Times New Roman"/>
          <w:b/>
        </w:rPr>
        <w:t xml:space="preserve">Kivela, A., Siljander, P. and Sutinen, A. (2012). Between Bildung and growth: Connections and controversies. In </w:t>
      </w:r>
      <w:r w:rsidRPr="00F85702">
        <w:rPr>
          <w:rFonts w:asciiTheme="majorHAnsi" w:hAnsiTheme="majorHAnsi"/>
          <w:b/>
        </w:rPr>
        <w:t xml:space="preserve">Siljander, P., Kivela, A. and Sutinen, A. (eds.) (2012). </w:t>
      </w:r>
      <w:r w:rsidRPr="00F85702">
        <w:rPr>
          <w:rFonts w:asciiTheme="majorHAnsi" w:hAnsiTheme="majorHAnsi"/>
          <w:b/>
          <w:i/>
        </w:rPr>
        <w:t>Theories of Bildung and Growth: Connections and controversies between Continental educational thinking and American pragmatism</w:t>
      </w:r>
      <w:r w:rsidRPr="00F85702">
        <w:rPr>
          <w:rFonts w:asciiTheme="majorHAnsi" w:hAnsiTheme="majorHAnsi"/>
          <w:b/>
        </w:rPr>
        <w:t xml:space="preserve"> (pp. 303-312). Rotterdam: Sense Publishers</w:t>
      </w:r>
      <w:r w:rsidR="001C2935" w:rsidRPr="00F85702">
        <w:rPr>
          <w:rFonts w:asciiTheme="majorHAnsi" w:hAnsiTheme="majorHAnsi"/>
          <w:b/>
        </w:rPr>
        <w:t>.</w:t>
      </w:r>
    </w:p>
    <w:p w14:paraId="765068E6" w14:textId="77777777" w:rsidR="004F075D" w:rsidRPr="00F85702" w:rsidRDefault="004F075D" w:rsidP="00F85702">
      <w:pPr>
        <w:widowControl w:val="0"/>
        <w:autoSpaceDE w:val="0"/>
        <w:autoSpaceDN w:val="0"/>
        <w:adjustRightInd w:val="0"/>
        <w:spacing w:line="276" w:lineRule="auto"/>
        <w:rPr>
          <w:rFonts w:asciiTheme="majorHAnsi" w:hAnsiTheme="majorHAnsi" w:cs="Times New Roman"/>
          <w:b/>
        </w:rPr>
      </w:pPr>
    </w:p>
    <w:p w14:paraId="710C10D8" w14:textId="503E8D3C" w:rsidR="00307035" w:rsidRPr="00F85702" w:rsidRDefault="00307035" w:rsidP="00F85702">
      <w:pPr>
        <w:spacing w:line="276" w:lineRule="auto"/>
        <w:rPr>
          <w:rFonts w:asciiTheme="majorHAnsi" w:hAnsiTheme="majorHAnsi" w:cs="Times New Roman"/>
          <w:b/>
        </w:rPr>
      </w:pPr>
      <w:r w:rsidRPr="00F85702">
        <w:rPr>
          <w:rFonts w:asciiTheme="majorHAnsi" w:hAnsiTheme="majorHAnsi" w:cs="Times New Roman"/>
          <w:b/>
        </w:rPr>
        <w:t xml:space="preserve">Klemencic, M. (2015). </w:t>
      </w:r>
      <w:r w:rsidRPr="00F85702">
        <w:rPr>
          <w:rFonts w:asciiTheme="majorHAnsi" w:hAnsiTheme="majorHAnsi" w:cs="Times New Roman"/>
          <w:b/>
          <w:i/>
        </w:rPr>
        <w:t>Introducing Student Agency into Research on Student Engagement – An ontological explanation.</w:t>
      </w:r>
      <w:r w:rsidRPr="00F85702">
        <w:rPr>
          <w:rFonts w:asciiTheme="majorHAnsi" w:hAnsiTheme="majorHAnsi" w:cs="Times New Roman"/>
          <w:b/>
        </w:rPr>
        <w:t xml:space="preserve"> Unpublished paper. Cambridge, MA: Harvard University.</w:t>
      </w:r>
    </w:p>
    <w:p w14:paraId="4E20EDC9" w14:textId="77777777" w:rsidR="00307035" w:rsidRPr="00F85702" w:rsidRDefault="00307035" w:rsidP="00F85702">
      <w:pPr>
        <w:spacing w:line="276" w:lineRule="auto"/>
        <w:rPr>
          <w:rFonts w:asciiTheme="majorHAnsi" w:hAnsiTheme="majorHAnsi" w:cs="Times New Roman"/>
          <w:b/>
        </w:rPr>
      </w:pPr>
    </w:p>
    <w:p w14:paraId="0D8017D5" w14:textId="76EF1C63" w:rsidR="005B70E6" w:rsidRPr="00F85702" w:rsidRDefault="005B70E6" w:rsidP="00F85702">
      <w:pPr>
        <w:spacing w:line="276" w:lineRule="auto"/>
        <w:rPr>
          <w:rFonts w:asciiTheme="majorHAnsi" w:hAnsiTheme="majorHAnsi" w:cs="Times New Roman"/>
          <w:b/>
        </w:rPr>
      </w:pPr>
      <w:r w:rsidRPr="00F85702">
        <w:rPr>
          <w:rFonts w:asciiTheme="majorHAnsi" w:hAnsiTheme="majorHAnsi" w:cs="Times New Roman"/>
          <w:b/>
        </w:rPr>
        <w:t xml:space="preserve">Konrad, F.-M. (2012). Wilhelm von Humboldt’s contribution to a theory of Bildung. In </w:t>
      </w:r>
      <w:r w:rsidR="00483665" w:rsidRPr="00F85702">
        <w:rPr>
          <w:rFonts w:asciiTheme="majorHAnsi" w:hAnsiTheme="majorHAnsi"/>
          <w:b/>
        </w:rPr>
        <w:t xml:space="preserve">Siljander, P., Kivela, A. and Sutinen, A. (eds.) (2012). </w:t>
      </w:r>
      <w:r w:rsidR="00483665" w:rsidRPr="00F85702">
        <w:rPr>
          <w:rFonts w:asciiTheme="majorHAnsi" w:hAnsiTheme="majorHAnsi"/>
          <w:b/>
          <w:i/>
        </w:rPr>
        <w:t>Theories of Bildung and Growth: Connections and controversies between Continental educational thinking and American pragmatism</w:t>
      </w:r>
      <w:r w:rsidR="00483665" w:rsidRPr="00F85702">
        <w:rPr>
          <w:rFonts w:asciiTheme="majorHAnsi" w:hAnsiTheme="majorHAnsi"/>
          <w:b/>
        </w:rPr>
        <w:t xml:space="preserve"> (pp. 107-124). Rotterdam: Sense Publishers.</w:t>
      </w:r>
      <w:r w:rsidRPr="00F85702">
        <w:rPr>
          <w:rFonts w:asciiTheme="majorHAnsi" w:hAnsiTheme="majorHAnsi" w:cs="Times New Roman"/>
          <w:b/>
        </w:rPr>
        <w:t xml:space="preserve"> </w:t>
      </w:r>
    </w:p>
    <w:p w14:paraId="6E2D4F2D" w14:textId="77777777" w:rsidR="005B70E6" w:rsidRPr="00F85702" w:rsidRDefault="005B70E6" w:rsidP="00F85702">
      <w:pPr>
        <w:spacing w:line="276" w:lineRule="auto"/>
        <w:rPr>
          <w:rFonts w:asciiTheme="majorHAnsi" w:hAnsiTheme="majorHAnsi" w:cs="Times New Roman"/>
          <w:b/>
        </w:rPr>
      </w:pPr>
    </w:p>
    <w:p w14:paraId="50C223EB" w14:textId="061EFF1A" w:rsidR="001C2935" w:rsidRPr="00F85702" w:rsidRDefault="001C2935" w:rsidP="00F85702">
      <w:pPr>
        <w:spacing w:line="276" w:lineRule="auto"/>
        <w:rPr>
          <w:rFonts w:cs="Times New Roman"/>
          <w:lang w:eastAsia="en-GB"/>
        </w:rPr>
      </w:pPr>
      <w:r w:rsidRPr="00F85702">
        <w:rPr>
          <w:rFonts w:asciiTheme="majorHAnsi" w:hAnsiTheme="majorHAnsi" w:cs="Times New Roman"/>
          <w:b/>
        </w:rPr>
        <w:t xml:space="preserve">Kontio, K. (2012). Jean-Jacques Rousseau on alienation, Bildung and education. In </w:t>
      </w:r>
      <w:r w:rsidRPr="00F85702">
        <w:rPr>
          <w:rFonts w:asciiTheme="majorHAnsi" w:hAnsiTheme="majorHAnsi"/>
          <w:b/>
        </w:rPr>
        <w:t xml:space="preserve">Siljander, P., Kivela, A. and Sutinen, A. (eds.) (2012). </w:t>
      </w:r>
      <w:r w:rsidRPr="00F85702">
        <w:rPr>
          <w:rFonts w:asciiTheme="majorHAnsi" w:hAnsiTheme="majorHAnsi"/>
          <w:b/>
          <w:i/>
        </w:rPr>
        <w:t>Theories of Bildung and Growth: Connections and controversies between Continental educational thinking and American pragmatism</w:t>
      </w:r>
      <w:r w:rsidRPr="00F85702">
        <w:rPr>
          <w:rFonts w:asciiTheme="majorHAnsi" w:hAnsiTheme="majorHAnsi"/>
          <w:b/>
        </w:rPr>
        <w:t xml:space="preserve"> (pp. 31-46). Rotterdam: Sense Publishers.</w:t>
      </w:r>
    </w:p>
    <w:p w14:paraId="42E8C104" w14:textId="77777777" w:rsidR="001C2935" w:rsidRPr="00F85702" w:rsidRDefault="001C2935" w:rsidP="00F85702">
      <w:pPr>
        <w:spacing w:line="276" w:lineRule="auto"/>
        <w:rPr>
          <w:rFonts w:cs="Times New Roman"/>
          <w:lang w:eastAsia="en-GB"/>
        </w:rPr>
      </w:pPr>
    </w:p>
    <w:p w14:paraId="6E6D03EE" w14:textId="7B43E2F3" w:rsidR="00D45987" w:rsidRPr="00F85702" w:rsidRDefault="00D45987" w:rsidP="00F85702">
      <w:pPr>
        <w:spacing w:line="276" w:lineRule="auto"/>
        <w:rPr>
          <w:rFonts w:cs="Times New Roman"/>
          <w:lang w:eastAsia="en-GB"/>
        </w:rPr>
      </w:pPr>
      <w:r w:rsidRPr="00F85702">
        <w:rPr>
          <w:rFonts w:cs="Times New Roman"/>
          <w:lang w:eastAsia="en-GB"/>
        </w:rPr>
        <w:t xml:space="preserve">Li, A., and Gasser, M. (2005). Predicting Asian international students’ sociocultural adjustment: A test of two mediation models. </w:t>
      </w:r>
      <w:r w:rsidRPr="00F85702">
        <w:rPr>
          <w:rFonts w:cs="Times New Roman"/>
          <w:i/>
          <w:lang w:eastAsia="en-GB"/>
        </w:rPr>
        <w:t>International Journal of Intercultural Relations</w:t>
      </w:r>
      <w:r w:rsidRPr="00F85702">
        <w:rPr>
          <w:rFonts w:cs="Times New Roman"/>
          <w:lang w:eastAsia="en-GB"/>
        </w:rPr>
        <w:t>, 29, pp. 561-576.</w:t>
      </w:r>
    </w:p>
    <w:p w14:paraId="77FF73BA" w14:textId="77777777" w:rsidR="00D45987" w:rsidRPr="00F85702" w:rsidRDefault="00D45987" w:rsidP="00F85702">
      <w:pPr>
        <w:spacing w:line="276" w:lineRule="auto"/>
      </w:pPr>
    </w:p>
    <w:p w14:paraId="553B3175" w14:textId="7DCC0959" w:rsidR="00687B07" w:rsidRPr="00F85702" w:rsidRDefault="00687B07" w:rsidP="00F85702">
      <w:pPr>
        <w:spacing w:line="276" w:lineRule="auto"/>
        <w:rPr>
          <w:lang w:val="en-US"/>
        </w:rPr>
      </w:pPr>
      <w:r w:rsidRPr="00F85702">
        <w:rPr>
          <w:lang w:val="en-US"/>
        </w:rPr>
        <w:t xml:space="preserve">Li, J. (2003). U.S. and Chinese cultural beliefs about learning. </w:t>
      </w:r>
      <w:r w:rsidRPr="00F85702">
        <w:rPr>
          <w:i/>
          <w:lang w:val="en-US"/>
        </w:rPr>
        <w:t>Journal of Educational Psychology</w:t>
      </w:r>
      <w:r w:rsidRPr="00F85702">
        <w:rPr>
          <w:lang w:val="en-US"/>
        </w:rPr>
        <w:t>, 95 (2), pp. 258-267.</w:t>
      </w:r>
    </w:p>
    <w:p w14:paraId="5AE53F87" w14:textId="77777777" w:rsidR="00687B07" w:rsidRPr="00F85702" w:rsidRDefault="00687B07" w:rsidP="00F85702">
      <w:pPr>
        <w:spacing w:line="276" w:lineRule="auto"/>
        <w:rPr>
          <w:lang w:val="en-US"/>
        </w:rPr>
      </w:pPr>
    </w:p>
    <w:p w14:paraId="247F9EF3" w14:textId="0B637D64" w:rsidR="001543EB" w:rsidRPr="00F85702" w:rsidRDefault="001543EB" w:rsidP="00F85702">
      <w:pPr>
        <w:spacing w:line="276" w:lineRule="auto"/>
        <w:rPr>
          <w:rFonts w:cs="Arial"/>
          <w:bCs/>
          <w:iCs/>
        </w:rPr>
      </w:pPr>
      <w:r w:rsidRPr="00F85702">
        <w:t xml:space="preserve">Marginson, S. (2014). </w:t>
      </w:r>
      <w:r w:rsidRPr="00F85702">
        <w:rPr>
          <w:rFonts w:cs="Arial"/>
          <w:bCs/>
          <w:iCs/>
        </w:rPr>
        <w:t xml:space="preserve">Student self-formation in international education. </w:t>
      </w:r>
      <w:r w:rsidRPr="00F85702">
        <w:rPr>
          <w:rFonts w:cs="Arial"/>
          <w:bCs/>
          <w:i/>
          <w:iCs/>
        </w:rPr>
        <w:t>Journal of Studies in International Education</w:t>
      </w:r>
      <w:r w:rsidRPr="00F85702">
        <w:rPr>
          <w:rFonts w:cs="Arial"/>
          <w:bCs/>
          <w:iCs/>
        </w:rPr>
        <w:t>, 18 (1), pp. 6-22.</w:t>
      </w:r>
    </w:p>
    <w:p w14:paraId="7AFE5DDA" w14:textId="77777777" w:rsidR="001543EB" w:rsidRPr="00F85702" w:rsidRDefault="001543EB" w:rsidP="00F85702">
      <w:pPr>
        <w:spacing w:line="276" w:lineRule="auto"/>
      </w:pPr>
    </w:p>
    <w:p w14:paraId="15DF55C3" w14:textId="06F90523" w:rsidR="00532D7C" w:rsidRPr="00F85702" w:rsidRDefault="00532D7C" w:rsidP="00F85702">
      <w:pPr>
        <w:spacing w:line="276" w:lineRule="auto"/>
      </w:pPr>
      <w:r w:rsidRPr="00F85702">
        <w:t xml:space="preserve">Montgomery, C. (2010). </w:t>
      </w:r>
      <w:r w:rsidRPr="00F85702">
        <w:rPr>
          <w:i/>
        </w:rPr>
        <w:t>Understanding the International Student Experience</w:t>
      </w:r>
      <w:r w:rsidRPr="00F85702">
        <w:t xml:space="preserve">. London: Palgrave. </w:t>
      </w:r>
    </w:p>
    <w:p w14:paraId="1DFD9667" w14:textId="77777777" w:rsidR="001543EB" w:rsidRPr="00F85702" w:rsidRDefault="001543EB" w:rsidP="00F85702">
      <w:pPr>
        <w:spacing w:line="276" w:lineRule="auto"/>
      </w:pPr>
    </w:p>
    <w:p w14:paraId="16DA2972" w14:textId="3A8A8619" w:rsidR="00A40244" w:rsidRPr="00F85702" w:rsidRDefault="00A40244" w:rsidP="00F85702">
      <w:pPr>
        <w:spacing w:line="276" w:lineRule="auto"/>
        <w:rPr>
          <w:rFonts w:cs="Times New Roman"/>
          <w:lang w:eastAsia="en-GB"/>
        </w:rPr>
      </w:pPr>
      <w:r w:rsidRPr="00F85702">
        <w:rPr>
          <w:rFonts w:cs="Times New Roman"/>
          <w:lang w:eastAsia="en-GB"/>
        </w:rPr>
        <w:t xml:space="preserve">Organisation for Economic </w:t>
      </w:r>
      <w:r w:rsidR="00F33A53" w:rsidRPr="00F85702">
        <w:rPr>
          <w:rFonts w:cs="Times New Roman"/>
          <w:lang w:eastAsia="en-GB"/>
        </w:rPr>
        <w:t xml:space="preserve">Cooperation and Development </w:t>
      </w:r>
      <w:r w:rsidR="009C770D" w:rsidRPr="00F85702">
        <w:rPr>
          <w:rFonts w:cs="Times New Roman"/>
          <w:lang w:eastAsia="en-GB"/>
        </w:rPr>
        <w:t>(OECD) (2015</w:t>
      </w:r>
      <w:r w:rsidR="00F33A53" w:rsidRPr="00F85702">
        <w:rPr>
          <w:rFonts w:cs="Times New Roman"/>
          <w:lang w:eastAsia="en-GB"/>
        </w:rPr>
        <w:t xml:space="preserve">). </w:t>
      </w:r>
      <w:r w:rsidR="00F33A53" w:rsidRPr="00F85702">
        <w:rPr>
          <w:rFonts w:cs="Times New Roman"/>
          <w:i/>
          <w:lang w:eastAsia="en-GB"/>
        </w:rPr>
        <w:t>Education at a</w:t>
      </w:r>
      <w:r w:rsidR="009C770D" w:rsidRPr="00F85702">
        <w:rPr>
          <w:rFonts w:cs="Times New Roman"/>
          <w:i/>
          <w:lang w:eastAsia="en-GB"/>
        </w:rPr>
        <w:t xml:space="preserve"> Glance, 2015</w:t>
      </w:r>
      <w:r w:rsidR="00F33A53" w:rsidRPr="00F85702">
        <w:rPr>
          <w:rFonts w:cs="Times New Roman"/>
          <w:i/>
          <w:lang w:eastAsia="en-GB"/>
        </w:rPr>
        <w:t>.</w:t>
      </w:r>
      <w:r w:rsidR="00F33A53" w:rsidRPr="00F85702">
        <w:rPr>
          <w:rFonts w:cs="Times New Roman"/>
          <w:lang w:eastAsia="en-GB"/>
        </w:rPr>
        <w:t xml:space="preserve"> Paris: OECD.</w:t>
      </w:r>
    </w:p>
    <w:p w14:paraId="7A25CB27" w14:textId="77777777" w:rsidR="00A40244" w:rsidRPr="00F85702" w:rsidRDefault="00A40244" w:rsidP="00F85702">
      <w:pPr>
        <w:spacing w:line="276" w:lineRule="auto"/>
        <w:rPr>
          <w:rFonts w:cs="Times New Roman"/>
          <w:lang w:eastAsia="en-GB"/>
        </w:rPr>
      </w:pPr>
    </w:p>
    <w:p w14:paraId="76453AFD" w14:textId="02D5897E" w:rsidR="00F20281" w:rsidRPr="00F85702" w:rsidRDefault="00F20281" w:rsidP="00F85702">
      <w:pPr>
        <w:widowControl w:val="0"/>
        <w:autoSpaceDE w:val="0"/>
        <w:autoSpaceDN w:val="0"/>
        <w:adjustRightInd w:val="0"/>
        <w:spacing w:line="276" w:lineRule="auto"/>
        <w:rPr>
          <w:rFonts w:asciiTheme="majorHAnsi" w:hAnsiTheme="majorHAnsi" w:cs="Times New Roman"/>
          <w:b/>
        </w:rPr>
      </w:pPr>
      <w:r w:rsidRPr="00F85702">
        <w:rPr>
          <w:rFonts w:asciiTheme="majorHAnsi" w:hAnsiTheme="majorHAnsi" w:cs="Times New Roman"/>
          <w:b/>
        </w:rPr>
        <w:t xml:space="preserve">Pikkarainen, E. (2012). Signs of reality: The idea of General Bildung by J. A. Cominius. In </w:t>
      </w:r>
      <w:r w:rsidRPr="00F85702">
        <w:rPr>
          <w:rFonts w:asciiTheme="majorHAnsi" w:hAnsiTheme="majorHAnsi"/>
          <w:b/>
        </w:rPr>
        <w:t xml:space="preserve">Siljander, P., Kivela, A. and Sutinen, A. (eds.) (2012). </w:t>
      </w:r>
      <w:r w:rsidRPr="00F85702">
        <w:rPr>
          <w:rFonts w:asciiTheme="majorHAnsi" w:hAnsiTheme="majorHAnsi"/>
          <w:b/>
          <w:i/>
        </w:rPr>
        <w:t>Theories of Bildung and Growth: Connections and controversies between Continental educational thinking and American pragmatism</w:t>
      </w:r>
      <w:r w:rsidRPr="00F85702">
        <w:rPr>
          <w:rFonts w:asciiTheme="majorHAnsi" w:hAnsiTheme="majorHAnsi"/>
          <w:b/>
        </w:rPr>
        <w:t xml:space="preserve"> (pp. 19-30). Rotterdam: Sense Publishers.</w:t>
      </w:r>
    </w:p>
    <w:p w14:paraId="58F4F43E" w14:textId="77777777" w:rsidR="00F20281" w:rsidRPr="00F85702" w:rsidRDefault="00F20281" w:rsidP="00F85702">
      <w:pPr>
        <w:spacing w:line="276" w:lineRule="auto"/>
        <w:rPr>
          <w:rFonts w:cs="Times New Roman"/>
          <w:lang w:eastAsia="en-GB"/>
        </w:rPr>
      </w:pPr>
    </w:p>
    <w:p w14:paraId="2EA19969" w14:textId="4A74B3E2" w:rsidR="002A147C" w:rsidRPr="00F85702" w:rsidRDefault="002A147C" w:rsidP="00F85702">
      <w:pPr>
        <w:spacing w:line="276" w:lineRule="auto"/>
        <w:rPr>
          <w:rFonts w:cs="Times New Roman"/>
          <w:i/>
          <w:lang w:eastAsia="en-GB"/>
        </w:rPr>
      </w:pPr>
      <w:r w:rsidRPr="00F85702">
        <w:rPr>
          <w:rFonts w:cs="Times New Roman"/>
          <w:lang w:eastAsia="en-GB"/>
        </w:rPr>
        <w:lastRenderedPageBreak/>
        <w:t xml:space="preserve">Sen, A. (1985). Well-being, agency and freedom: The Dewey Lectures 1984. </w:t>
      </w:r>
      <w:r w:rsidRPr="00F85702">
        <w:rPr>
          <w:rFonts w:cs="Times New Roman"/>
          <w:i/>
          <w:lang w:eastAsia="en-GB"/>
        </w:rPr>
        <w:t>The Journal of</w:t>
      </w:r>
    </w:p>
    <w:p w14:paraId="08871ABA" w14:textId="15DC97F9" w:rsidR="002A147C" w:rsidRPr="00F85702" w:rsidRDefault="002A147C" w:rsidP="00F85702">
      <w:pPr>
        <w:spacing w:line="276" w:lineRule="auto"/>
        <w:rPr>
          <w:rFonts w:cs="Times New Roman"/>
          <w:lang w:eastAsia="en-GB"/>
        </w:rPr>
      </w:pPr>
      <w:r w:rsidRPr="00F85702">
        <w:rPr>
          <w:rFonts w:cs="Times New Roman"/>
          <w:i/>
          <w:lang w:eastAsia="en-GB"/>
        </w:rPr>
        <w:t>Philosophy</w:t>
      </w:r>
      <w:r w:rsidRPr="00F85702">
        <w:rPr>
          <w:rFonts w:cs="Times New Roman"/>
          <w:lang w:eastAsia="en-GB"/>
        </w:rPr>
        <w:t xml:space="preserve">, 82, </w:t>
      </w:r>
      <w:r w:rsidR="0016715C" w:rsidRPr="00F85702">
        <w:rPr>
          <w:rFonts w:cs="Times New Roman"/>
          <w:lang w:eastAsia="en-GB"/>
        </w:rPr>
        <w:t xml:space="preserve">pp. </w:t>
      </w:r>
      <w:r w:rsidRPr="00F85702">
        <w:rPr>
          <w:rFonts w:cs="Times New Roman"/>
          <w:lang w:eastAsia="en-GB"/>
        </w:rPr>
        <w:t>169-221.</w:t>
      </w:r>
    </w:p>
    <w:p w14:paraId="4ABEF928" w14:textId="77777777" w:rsidR="0016715C" w:rsidRPr="00F85702" w:rsidRDefault="0016715C" w:rsidP="00F85702">
      <w:pPr>
        <w:spacing w:line="276" w:lineRule="auto"/>
        <w:rPr>
          <w:rFonts w:cs="Times New Roman"/>
          <w:lang w:eastAsia="en-GB"/>
        </w:rPr>
      </w:pPr>
    </w:p>
    <w:p w14:paraId="42191348" w14:textId="33DDCF42" w:rsidR="002A147C" w:rsidRPr="00F85702" w:rsidRDefault="0016715C" w:rsidP="00F85702">
      <w:pPr>
        <w:spacing w:line="276" w:lineRule="auto"/>
        <w:rPr>
          <w:rFonts w:cs="Times New Roman"/>
          <w:lang w:eastAsia="en-GB"/>
        </w:rPr>
      </w:pPr>
      <w:r w:rsidRPr="00F85702">
        <w:rPr>
          <w:rFonts w:cs="Times New Roman"/>
          <w:lang w:eastAsia="en-GB"/>
        </w:rPr>
        <w:t xml:space="preserve">Sen, A. (1992). </w:t>
      </w:r>
      <w:r w:rsidRPr="00F85702">
        <w:rPr>
          <w:rFonts w:cs="Times New Roman"/>
          <w:i/>
          <w:lang w:eastAsia="en-GB"/>
        </w:rPr>
        <w:t>Inequality R</w:t>
      </w:r>
      <w:r w:rsidR="002A147C" w:rsidRPr="00F85702">
        <w:rPr>
          <w:rFonts w:cs="Times New Roman"/>
          <w:i/>
          <w:lang w:eastAsia="en-GB"/>
        </w:rPr>
        <w:t>e-examined.</w:t>
      </w:r>
      <w:r w:rsidR="002A147C" w:rsidRPr="00F85702">
        <w:rPr>
          <w:rFonts w:cs="Times New Roman"/>
          <w:lang w:eastAsia="en-GB"/>
        </w:rPr>
        <w:t xml:space="preserve"> Cambridge, MA: Harvard University Press.</w:t>
      </w:r>
    </w:p>
    <w:p w14:paraId="3F20EBF8" w14:textId="77777777" w:rsidR="0016715C" w:rsidRPr="00F85702" w:rsidRDefault="0016715C" w:rsidP="00F85702">
      <w:pPr>
        <w:spacing w:line="276" w:lineRule="auto"/>
        <w:rPr>
          <w:rFonts w:cs="Times New Roman"/>
          <w:lang w:eastAsia="en-GB"/>
        </w:rPr>
      </w:pPr>
    </w:p>
    <w:p w14:paraId="5AA9199A" w14:textId="1A22B3A6" w:rsidR="002A147C" w:rsidRPr="00F85702" w:rsidRDefault="002A147C" w:rsidP="00F85702">
      <w:pPr>
        <w:spacing w:line="276" w:lineRule="auto"/>
        <w:rPr>
          <w:rFonts w:cs="Times New Roman"/>
          <w:lang w:eastAsia="en-GB"/>
        </w:rPr>
      </w:pPr>
      <w:r w:rsidRPr="00F85702">
        <w:rPr>
          <w:rFonts w:cs="Times New Roman"/>
          <w:lang w:eastAsia="en-GB"/>
        </w:rPr>
        <w:t xml:space="preserve">Sen, A. (2000). </w:t>
      </w:r>
      <w:r w:rsidRPr="00F85702">
        <w:rPr>
          <w:rFonts w:cs="Times New Roman"/>
          <w:i/>
          <w:lang w:eastAsia="en-GB"/>
        </w:rPr>
        <w:t>Development as</w:t>
      </w:r>
      <w:r w:rsidR="0016715C" w:rsidRPr="00F85702">
        <w:rPr>
          <w:rFonts w:cs="Times New Roman"/>
          <w:i/>
          <w:lang w:eastAsia="en-GB"/>
        </w:rPr>
        <w:t xml:space="preserve"> F</w:t>
      </w:r>
      <w:r w:rsidRPr="00F85702">
        <w:rPr>
          <w:rFonts w:cs="Times New Roman"/>
          <w:i/>
          <w:lang w:eastAsia="en-GB"/>
        </w:rPr>
        <w:t>reedom</w:t>
      </w:r>
      <w:r w:rsidRPr="00F85702">
        <w:rPr>
          <w:rFonts w:cs="Times New Roman"/>
          <w:lang w:eastAsia="en-GB"/>
        </w:rPr>
        <w:t>. New York, NY: Anchor Books.</w:t>
      </w:r>
    </w:p>
    <w:p w14:paraId="23778FF4" w14:textId="77777777" w:rsidR="00410B1E" w:rsidRPr="00F85702" w:rsidRDefault="00410B1E" w:rsidP="00F85702">
      <w:pPr>
        <w:spacing w:line="276" w:lineRule="auto"/>
      </w:pPr>
    </w:p>
    <w:p w14:paraId="1F1F15EC" w14:textId="40E6FBAA" w:rsidR="00687B07" w:rsidRPr="00F85702" w:rsidRDefault="00687B07" w:rsidP="00F85702">
      <w:pPr>
        <w:widowControl w:val="0"/>
        <w:autoSpaceDE w:val="0"/>
        <w:autoSpaceDN w:val="0"/>
        <w:adjustRightInd w:val="0"/>
        <w:spacing w:line="276" w:lineRule="auto"/>
        <w:rPr>
          <w:rFonts w:asciiTheme="majorHAnsi" w:hAnsiTheme="majorHAnsi" w:cs="Times New Roman"/>
          <w:b/>
        </w:rPr>
      </w:pPr>
      <w:r w:rsidRPr="00F85702">
        <w:rPr>
          <w:rFonts w:asciiTheme="majorHAnsi" w:hAnsiTheme="majorHAnsi" w:cs="Times New Roman"/>
          <w:b/>
        </w:rPr>
        <w:t xml:space="preserve">Shostya, A. (2015). The use of time among college students: A U.S.–China comparison. </w:t>
      </w:r>
      <w:r w:rsidRPr="00F85702">
        <w:rPr>
          <w:rFonts w:asciiTheme="majorHAnsi" w:hAnsiTheme="majorHAnsi" w:cs="Times New Roman"/>
          <w:b/>
          <w:i/>
        </w:rPr>
        <w:t>International Journal of Education</w:t>
      </w:r>
      <w:r w:rsidRPr="00F85702">
        <w:rPr>
          <w:rFonts w:asciiTheme="majorHAnsi" w:hAnsiTheme="majorHAnsi" w:cs="Times New Roman"/>
          <w:b/>
        </w:rPr>
        <w:t>, 7 (1), doi:10.5296/ije.v7i1.7037</w:t>
      </w:r>
    </w:p>
    <w:p w14:paraId="0698D13C" w14:textId="77777777" w:rsidR="00687B07" w:rsidRPr="00F85702" w:rsidRDefault="00687B07" w:rsidP="00F85702">
      <w:pPr>
        <w:spacing w:line="276" w:lineRule="auto"/>
        <w:rPr>
          <w:lang w:val="en-US"/>
        </w:rPr>
      </w:pPr>
    </w:p>
    <w:p w14:paraId="2CE93514" w14:textId="21526ED9" w:rsidR="000C52DA" w:rsidRPr="00F85702" w:rsidRDefault="000C52DA" w:rsidP="00F85702">
      <w:pPr>
        <w:widowControl w:val="0"/>
        <w:autoSpaceDE w:val="0"/>
        <w:autoSpaceDN w:val="0"/>
        <w:adjustRightInd w:val="0"/>
        <w:spacing w:line="276" w:lineRule="auto"/>
        <w:rPr>
          <w:rFonts w:asciiTheme="majorHAnsi" w:hAnsiTheme="majorHAnsi" w:cs="Times New Roman"/>
          <w:b/>
        </w:rPr>
      </w:pPr>
      <w:r w:rsidRPr="00F85702">
        <w:rPr>
          <w:rFonts w:asciiTheme="majorHAnsi" w:hAnsiTheme="majorHAnsi" w:cs="Times New Roman"/>
          <w:b/>
        </w:rPr>
        <w:t xml:space="preserve">Siljander, P. (2012). Educability and Bildung in Herbart’s theory of education. In </w:t>
      </w:r>
      <w:r w:rsidRPr="00F85702">
        <w:rPr>
          <w:rFonts w:asciiTheme="majorHAnsi" w:hAnsiTheme="majorHAnsi"/>
          <w:b/>
        </w:rPr>
        <w:t xml:space="preserve">Siljander, P., Kivela, A. and Sutinen, A. (eds.) (2012). </w:t>
      </w:r>
      <w:r w:rsidRPr="00F85702">
        <w:rPr>
          <w:rFonts w:asciiTheme="majorHAnsi" w:hAnsiTheme="majorHAnsi"/>
          <w:b/>
          <w:i/>
        </w:rPr>
        <w:t>Theories of Bildung and Growth: Connections and controversies between Continental educational thinking and American pragmatism</w:t>
      </w:r>
      <w:r w:rsidRPr="00F85702">
        <w:rPr>
          <w:rFonts w:asciiTheme="majorHAnsi" w:hAnsiTheme="majorHAnsi"/>
          <w:b/>
        </w:rPr>
        <w:t xml:space="preserve"> (pp. 87-106). Rotterdam: Sense Publishers.</w:t>
      </w:r>
    </w:p>
    <w:p w14:paraId="09A606C7" w14:textId="77777777" w:rsidR="000C52DA" w:rsidRPr="00F85702" w:rsidRDefault="000C52DA" w:rsidP="00F85702">
      <w:pPr>
        <w:widowControl w:val="0"/>
        <w:autoSpaceDE w:val="0"/>
        <w:autoSpaceDN w:val="0"/>
        <w:adjustRightInd w:val="0"/>
        <w:spacing w:line="276" w:lineRule="auto"/>
        <w:rPr>
          <w:rFonts w:asciiTheme="majorHAnsi" w:hAnsiTheme="majorHAnsi" w:cs="Times New Roman"/>
          <w:b/>
        </w:rPr>
      </w:pPr>
    </w:p>
    <w:p w14:paraId="0D64345C" w14:textId="03385691" w:rsidR="00F20281" w:rsidRPr="00F85702" w:rsidRDefault="00F20281" w:rsidP="00F85702">
      <w:pPr>
        <w:widowControl w:val="0"/>
        <w:autoSpaceDE w:val="0"/>
        <w:autoSpaceDN w:val="0"/>
        <w:adjustRightInd w:val="0"/>
        <w:spacing w:line="276" w:lineRule="auto"/>
        <w:rPr>
          <w:rFonts w:asciiTheme="majorHAnsi" w:hAnsiTheme="majorHAnsi" w:cs="Times New Roman"/>
          <w:b/>
        </w:rPr>
      </w:pPr>
      <w:r w:rsidRPr="00F85702">
        <w:rPr>
          <w:rFonts w:asciiTheme="majorHAnsi" w:hAnsiTheme="majorHAnsi" w:cs="Times New Roman"/>
          <w:b/>
        </w:rPr>
        <w:t xml:space="preserve">Sijander, P. and Sutinen, A. (2012). Introduction. In </w:t>
      </w:r>
      <w:r w:rsidRPr="00F85702">
        <w:rPr>
          <w:rFonts w:asciiTheme="majorHAnsi" w:hAnsiTheme="majorHAnsi"/>
          <w:b/>
        </w:rPr>
        <w:t xml:space="preserve">Siljander, P., Kivela, A. and Sutinen, A. (eds.) (2012). </w:t>
      </w:r>
      <w:r w:rsidRPr="00F85702">
        <w:rPr>
          <w:rFonts w:asciiTheme="majorHAnsi" w:hAnsiTheme="majorHAnsi"/>
          <w:b/>
          <w:i/>
        </w:rPr>
        <w:t>Theories of Bildung and Growth: Connections and controversies between Continental educational thinking and American pragmatism</w:t>
      </w:r>
      <w:r w:rsidRPr="00F85702">
        <w:rPr>
          <w:rFonts w:asciiTheme="majorHAnsi" w:hAnsiTheme="majorHAnsi"/>
          <w:b/>
        </w:rPr>
        <w:t xml:space="preserve"> (pp. 1-18). Rotterdam: Sense Publishers.</w:t>
      </w:r>
      <w:r w:rsidRPr="00F85702">
        <w:rPr>
          <w:rFonts w:asciiTheme="majorHAnsi" w:hAnsiTheme="majorHAnsi" w:cs="Times New Roman"/>
          <w:b/>
        </w:rPr>
        <w:t xml:space="preserve"> </w:t>
      </w:r>
    </w:p>
    <w:p w14:paraId="58396E15" w14:textId="77777777" w:rsidR="00F20281" w:rsidRPr="00F85702" w:rsidRDefault="00F20281" w:rsidP="00F85702">
      <w:pPr>
        <w:spacing w:line="276" w:lineRule="auto"/>
        <w:rPr>
          <w:rFonts w:cs="Times New Roman"/>
          <w:lang w:eastAsia="en-GB"/>
        </w:rPr>
      </w:pPr>
    </w:p>
    <w:p w14:paraId="0BF49319" w14:textId="773E63A9" w:rsidR="001C2935" w:rsidRPr="00F85702" w:rsidRDefault="001C2935" w:rsidP="00F85702">
      <w:pPr>
        <w:spacing w:line="276" w:lineRule="auto"/>
        <w:rPr>
          <w:rFonts w:cs="Times New Roman"/>
          <w:lang w:eastAsia="en-GB"/>
        </w:rPr>
      </w:pPr>
      <w:r w:rsidRPr="00F85702">
        <w:rPr>
          <w:rFonts w:cs="Times New Roman"/>
          <w:lang w:eastAsia="en-GB"/>
        </w:rPr>
        <w:t xml:space="preserve">Sun, Q. (2008). Confucian educational philosophy and its implication for lifelong learning and lifelong education. </w:t>
      </w:r>
      <w:r w:rsidRPr="00F85702">
        <w:rPr>
          <w:rFonts w:cs="Times New Roman"/>
          <w:i/>
          <w:lang w:eastAsia="en-GB"/>
        </w:rPr>
        <w:t>International Journal of Lifelong Education</w:t>
      </w:r>
      <w:r w:rsidRPr="00F85702">
        <w:rPr>
          <w:rFonts w:cs="Times New Roman"/>
          <w:lang w:eastAsia="en-GB"/>
        </w:rPr>
        <w:t>, 27 (5), pp. 559-578.</w:t>
      </w:r>
    </w:p>
    <w:p w14:paraId="40BBE193" w14:textId="77777777" w:rsidR="001C2935" w:rsidRPr="00F85702" w:rsidRDefault="001C2935" w:rsidP="00F85702">
      <w:pPr>
        <w:spacing w:line="276" w:lineRule="auto"/>
        <w:rPr>
          <w:rFonts w:cs="Times New Roman"/>
          <w:lang w:eastAsia="en-GB"/>
        </w:rPr>
      </w:pPr>
    </w:p>
    <w:p w14:paraId="186BD00F" w14:textId="42B0D0D1" w:rsidR="00387C45" w:rsidRPr="00F85702" w:rsidRDefault="00387C45" w:rsidP="00F85702">
      <w:pPr>
        <w:spacing w:line="276" w:lineRule="auto"/>
        <w:rPr>
          <w:lang w:val="en-US"/>
        </w:rPr>
      </w:pPr>
      <w:r w:rsidRPr="00F85702">
        <w:rPr>
          <w:rFonts w:asciiTheme="majorHAnsi" w:hAnsiTheme="majorHAnsi" w:cs="Times New Roman"/>
          <w:b/>
          <w:color w:val="000000"/>
        </w:rPr>
        <w:t xml:space="preserve">Taylor, C. (2016). </w:t>
      </w:r>
      <w:r w:rsidRPr="00F85702">
        <w:rPr>
          <w:rFonts w:asciiTheme="majorHAnsi" w:hAnsiTheme="majorHAnsi" w:cs="Times New Roman"/>
          <w:b/>
        </w:rPr>
        <w:t xml:space="preserve">Is a posthumanist Bildung possible? Reclaiming the promise of Bildung for contemporary higher education. </w:t>
      </w:r>
      <w:r w:rsidRPr="00F85702">
        <w:rPr>
          <w:rFonts w:asciiTheme="majorHAnsi" w:hAnsiTheme="majorHAnsi" w:cs="Times New Roman"/>
          <w:b/>
          <w:i/>
        </w:rPr>
        <w:t>Higher Education</w:t>
      </w:r>
      <w:r w:rsidRPr="00F85702">
        <w:rPr>
          <w:rFonts w:asciiTheme="majorHAnsi" w:hAnsiTheme="majorHAnsi" w:cs="Times New Roman"/>
          <w:b/>
        </w:rPr>
        <w:t>, DOI 10.1007/s10734-016-9994-y</w:t>
      </w:r>
      <w:r w:rsidRPr="00F85702">
        <w:rPr>
          <w:lang w:val="en-US"/>
        </w:rPr>
        <w:t xml:space="preserve"> </w:t>
      </w:r>
    </w:p>
    <w:p w14:paraId="1F1C4B9E" w14:textId="77777777" w:rsidR="00387C45" w:rsidRPr="00F85702" w:rsidRDefault="00387C45" w:rsidP="00F85702">
      <w:pPr>
        <w:spacing w:line="276" w:lineRule="auto"/>
        <w:rPr>
          <w:lang w:val="en-US"/>
        </w:rPr>
      </w:pPr>
    </w:p>
    <w:p w14:paraId="05A5EAA4" w14:textId="207CA8C5" w:rsidR="00307035" w:rsidRPr="00F85702" w:rsidRDefault="00307035" w:rsidP="00F85702">
      <w:pPr>
        <w:spacing w:line="276" w:lineRule="auto"/>
        <w:rPr>
          <w:lang w:val="en-US"/>
        </w:rPr>
      </w:pPr>
      <w:r w:rsidRPr="00F85702">
        <w:rPr>
          <w:lang w:val="en-US"/>
        </w:rPr>
        <w:t xml:space="preserve">Tomlinson, M. (2016). Student perceptions of themselves as ‘consumers’ of higher education. </w:t>
      </w:r>
      <w:r w:rsidRPr="00F85702">
        <w:rPr>
          <w:i/>
          <w:lang w:val="en-US"/>
        </w:rPr>
        <w:t>British Journal of Sociology of Education</w:t>
      </w:r>
      <w:r w:rsidRPr="00F85702">
        <w:rPr>
          <w:lang w:val="en-US"/>
        </w:rPr>
        <w:t>, DOI:10.1080/01425692.2015.1113856</w:t>
      </w:r>
    </w:p>
    <w:p w14:paraId="0110E7F2" w14:textId="77777777" w:rsidR="00307035" w:rsidRPr="00F85702" w:rsidRDefault="00307035" w:rsidP="00F85702">
      <w:pPr>
        <w:spacing w:line="276" w:lineRule="auto"/>
        <w:rPr>
          <w:lang w:val="en-US"/>
        </w:rPr>
      </w:pPr>
    </w:p>
    <w:p w14:paraId="738B96E0" w14:textId="49273B0B" w:rsidR="00EF7854" w:rsidRPr="00F85702" w:rsidRDefault="00EF7854" w:rsidP="00F85702">
      <w:pPr>
        <w:spacing w:line="276" w:lineRule="auto"/>
        <w:rPr>
          <w:lang w:val="en-US"/>
        </w:rPr>
      </w:pPr>
      <w:r w:rsidRPr="00F85702">
        <w:rPr>
          <w:lang w:val="en-US"/>
        </w:rPr>
        <w:t xml:space="preserve">Trendence Research (2017). </w:t>
      </w:r>
      <w:r w:rsidRPr="00F85702">
        <w:rPr>
          <w:i/>
          <w:lang w:val="en-US"/>
        </w:rPr>
        <w:t>Teaching Excellence: The student perspective</w:t>
      </w:r>
      <w:r w:rsidRPr="00F85702">
        <w:rPr>
          <w:lang w:val="en-US"/>
        </w:rPr>
        <w:t>. London. http://wonkhe.com/wp-content/uploads/2017/11/tef-pr-research-report.pdf</w:t>
      </w:r>
    </w:p>
    <w:p w14:paraId="135DDB4A" w14:textId="77777777" w:rsidR="00EF7854" w:rsidRPr="00F85702" w:rsidRDefault="00EF7854" w:rsidP="00F85702">
      <w:pPr>
        <w:spacing w:line="276" w:lineRule="auto"/>
        <w:rPr>
          <w:lang w:val="en-US"/>
        </w:rPr>
      </w:pPr>
    </w:p>
    <w:p w14:paraId="200A926B" w14:textId="4D28053D" w:rsidR="009F79E5" w:rsidRPr="00F85702" w:rsidRDefault="009F79E5" w:rsidP="00F85702">
      <w:pPr>
        <w:spacing w:line="276" w:lineRule="auto"/>
        <w:rPr>
          <w:lang w:val="en-US"/>
        </w:rPr>
      </w:pPr>
      <w:r w:rsidRPr="00F85702">
        <w:rPr>
          <w:lang w:val="en-US"/>
        </w:rPr>
        <w:t xml:space="preserve">Tu, W. (1996). Beyond the Enlightenment mentality: A Confucian perspective on ethics, migration and global stewardship. </w:t>
      </w:r>
      <w:r w:rsidRPr="00F85702">
        <w:rPr>
          <w:i/>
          <w:lang w:val="en-US"/>
        </w:rPr>
        <w:t>The International Migration Review</w:t>
      </w:r>
      <w:r w:rsidRPr="00F85702">
        <w:rPr>
          <w:lang w:val="en-US"/>
        </w:rPr>
        <w:t>, 30 (1), pp. 58-75.</w:t>
      </w:r>
    </w:p>
    <w:p w14:paraId="509FCDB0" w14:textId="77777777" w:rsidR="009F79E5" w:rsidRPr="00F85702" w:rsidRDefault="009F79E5" w:rsidP="00F85702">
      <w:pPr>
        <w:spacing w:line="276" w:lineRule="auto"/>
        <w:rPr>
          <w:lang w:val="en-US"/>
        </w:rPr>
      </w:pPr>
    </w:p>
    <w:p w14:paraId="1DA2C955" w14:textId="6EC11C3E" w:rsidR="009F79E5" w:rsidRPr="00F85702" w:rsidRDefault="009F79E5" w:rsidP="00F85702">
      <w:pPr>
        <w:spacing w:line="276" w:lineRule="auto"/>
        <w:rPr>
          <w:lang w:val="en-US"/>
        </w:rPr>
      </w:pPr>
      <w:r w:rsidRPr="00F85702">
        <w:rPr>
          <w:lang w:val="en-US"/>
        </w:rPr>
        <w:t xml:space="preserve">Tu, W. (2013). Confucian humanism in perspective. </w:t>
      </w:r>
      <w:r w:rsidRPr="00F85702">
        <w:rPr>
          <w:i/>
          <w:lang w:val="en-US"/>
        </w:rPr>
        <w:t>Frontiers of Literary Studies in China</w:t>
      </w:r>
      <w:r w:rsidRPr="00F85702">
        <w:rPr>
          <w:lang w:val="en-US"/>
        </w:rPr>
        <w:t>, 7 (3), pp. 333-338.</w:t>
      </w:r>
    </w:p>
    <w:p w14:paraId="2F8DA2E1" w14:textId="77777777" w:rsidR="009F79E5" w:rsidRPr="00F85702" w:rsidRDefault="009F79E5" w:rsidP="00F85702">
      <w:pPr>
        <w:spacing w:line="276" w:lineRule="auto"/>
      </w:pPr>
    </w:p>
    <w:p w14:paraId="19F5E5BA" w14:textId="683337CF" w:rsidR="004F075D" w:rsidRPr="00F85702" w:rsidRDefault="004F075D" w:rsidP="00F85702">
      <w:pPr>
        <w:spacing w:line="276" w:lineRule="auto"/>
      </w:pPr>
      <w:r w:rsidRPr="00F85702">
        <w:rPr>
          <w:rFonts w:asciiTheme="majorHAnsi" w:hAnsiTheme="majorHAnsi" w:cs="Times New Roman"/>
          <w:b/>
        </w:rPr>
        <w:t xml:space="preserve">Vakeva, L. (2012). Experiencing growth as a natural phenomenon: John Dewey’s philosophy and the Bildung tradition. In </w:t>
      </w:r>
      <w:r w:rsidRPr="00F85702">
        <w:rPr>
          <w:rFonts w:asciiTheme="majorHAnsi" w:hAnsiTheme="majorHAnsi"/>
          <w:b/>
        </w:rPr>
        <w:t xml:space="preserve">Siljander, P., Kivela, A. and Sutinen, A. (eds.) (2012). </w:t>
      </w:r>
      <w:r w:rsidRPr="00F85702">
        <w:rPr>
          <w:rFonts w:asciiTheme="majorHAnsi" w:hAnsiTheme="majorHAnsi"/>
          <w:b/>
          <w:i/>
        </w:rPr>
        <w:t xml:space="preserve">Theories of </w:t>
      </w:r>
      <w:r w:rsidRPr="00F85702">
        <w:rPr>
          <w:rFonts w:asciiTheme="majorHAnsi" w:hAnsiTheme="majorHAnsi"/>
          <w:b/>
          <w:i/>
        </w:rPr>
        <w:lastRenderedPageBreak/>
        <w:t>Bildung and Growth: Connections and controversies between Continental educational thinking and American pragmatism</w:t>
      </w:r>
      <w:r w:rsidRPr="00F85702">
        <w:rPr>
          <w:rFonts w:asciiTheme="majorHAnsi" w:hAnsiTheme="majorHAnsi"/>
          <w:b/>
        </w:rPr>
        <w:t xml:space="preserve"> (pp. 261-280). Rotterdam: Sense Publishers.</w:t>
      </w:r>
      <w:r w:rsidRPr="00F85702">
        <w:t xml:space="preserve"> </w:t>
      </w:r>
    </w:p>
    <w:p w14:paraId="497FE6D6" w14:textId="77777777" w:rsidR="004F075D" w:rsidRPr="00F85702" w:rsidRDefault="004F075D" w:rsidP="00F85702">
      <w:pPr>
        <w:spacing w:line="276" w:lineRule="auto"/>
      </w:pPr>
    </w:p>
    <w:p w14:paraId="509EA11D" w14:textId="75AB52A1" w:rsidR="00A83767" w:rsidRPr="00F85702" w:rsidRDefault="00A83767" w:rsidP="00F85702">
      <w:pPr>
        <w:spacing w:line="276" w:lineRule="auto"/>
      </w:pPr>
      <w:r w:rsidRPr="00F85702">
        <w:t xml:space="preserve">Vygotsky, L. (1978). </w:t>
      </w:r>
      <w:r w:rsidRPr="00F85702">
        <w:rPr>
          <w:i/>
        </w:rPr>
        <w:t>Mind in Society: The development of the higher psychological processes</w:t>
      </w:r>
      <w:r w:rsidRPr="00F85702">
        <w:t>. Cambridge, MA: Harvard University Press.</w:t>
      </w:r>
    </w:p>
    <w:p w14:paraId="7097C194" w14:textId="77777777" w:rsidR="00A83767" w:rsidRPr="00F85702" w:rsidRDefault="00A83767" w:rsidP="00F85702">
      <w:pPr>
        <w:spacing w:line="276" w:lineRule="auto"/>
      </w:pPr>
    </w:p>
    <w:p w14:paraId="488DF21C" w14:textId="530A0A23" w:rsidR="00A83767" w:rsidRPr="00F85702" w:rsidRDefault="00A83767" w:rsidP="00F85702">
      <w:pPr>
        <w:spacing w:line="276" w:lineRule="auto"/>
      </w:pPr>
      <w:r w:rsidRPr="00F85702">
        <w:t xml:space="preserve">Vyogotsky, L. (1986). </w:t>
      </w:r>
      <w:r w:rsidRPr="00F85702">
        <w:rPr>
          <w:i/>
        </w:rPr>
        <w:t>Thought and Language</w:t>
      </w:r>
      <w:r w:rsidRPr="00F85702">
        <w:t>. Cambridge, MA: MIT Press.</w:t>
      </w:r>
    </w:p>
    <w:p w14:paraId="088DED53" w14:textId="77777777" w:rsidR="00A83767" w:rsidRPr="00F85702" w:rsidRDefault="00A83767" w:rsidP="00F85702">
      <w:pPr>
        <w:spacing w:line="276" w:lineRule="auto"/>
      </w:pPr>
    </w:p>
    <w:p w14:paraId="6F591626" w14:textId="097ADD13" w:rsidR="009F79E5" w:rsidRPr="00F85702" w:rsidRDefault="009F79E5" w:rsidP="00F85702">
      <w:pPr>
        <w:spacing w:line="276" w:lineRule="auto"/>
      </w:pPr>
      <w:r w:rsidRPr="00F85702">
        <w:t xml:space="preserve">Yang, R. (2017). </w:t>
      </w:r>
      <w:r w:rsidRPr="00F85702">
        <w:rPr>
          <w:i/>
        </w:rPr>
        <w:t>Transformations of Higher Education Institutions in the Chinese Tradition</w:t>
      </w:r>
      <w:r w:rsidRPr="00F85702">
        <w:t>. Unpublished paper. Hong Kong: University of Hong Kong.</w:t>
      </w:r>
    </w:p>
    <w:p w14:paraId="47B39209" w14:textId="77777777" w:rsidR="009F79E5" w:rsidRPr="00F85702" w:rsidRDefault="009F79E5" w:rsidP="00F85702">
      <w:pPr>
        <w:spacing w:line="276" w:lineRule="auto"/>
      </w:pPr>
    </w:p>
    <w:p w14:paraId="1BF9DAA2" w14:textId="77777777" w:rsidR="00410B1E" w:rsidRPr="00F85702" w:rsidRDefault="00410B1E" w:rsidP="00F85702">
      <w:pPr>
        <w:spacing w:line="276" w:lineRule="auto"/>
        <w:rPr>
          <w:rFonts w:asciiTheme="majorHAnsi" w:hAnsiTheme="majorHAnsi" w:cs="Times New Roman"/>
          <w:b/>
        </w:rPr>
      </w:pPr>
      <w:r w:rsidRPr="00F85702">
        <w:rPr>
          <w:rFonts w:asciiTheme="majorHAnsi" w:hAnsiTheme="majorHAnsi" w:cs="Times New Roman"/>
          <w:b/>
        </w:rPr>
        <w:t xml:space="preserve">Zhao, K. and Biesta, G. (2011). Lifelong learning between “East” and “West”: Confucianism and the reflexive project of the self. </w:t>
      </w:r>
      <w:r w:rsidRPr="00F85702">
        <w:rPr>
          <w:rFonts w:asciiTheme="majorHAnsi" w:hAnsiTheme="majorHAnsi" w:cs="Times New Roman"/>
          <w:b/>
          <w:i/>
        </w:rPr>
        <w:t>Interchange</w:t>
      </w:r>
      <w:r w:rsidRPr="00F85702">
        <w:rPr>
          <w:rFonts w:asciiTheme="majorHAnsi" w:hAnsiTheme="majorHAnsi" w:cs="Times New Roman"/>
          <w:b/>
        </w:rPr>
        <w:t>, 42 (1), pp. 1–20</w:t>
      </w:r>
    </w:p>
    <w:p w14:paraId="3CDA40EF" w14:textId="77777777" w:rsidR="00410B1E" w:rsidRPr="00F85702" w:rsidRDefault="00410B1E" w:rsidP="00F85702">
      <w:pPr>
        <w:spacing w:line="276" w:lineRule="auto"/>
      </w:pPr>
    </w:p>
    <w:p w14:paraId="4EEFF930" w14:textId="63E92F30" w:rsidR="00144B81" w:rsidRPr="00F85702" w:rsidRDefault="00144B81" w:rsidP="00F85702">
      <w:pPr>
        <w:spacing w:line="276" w:lineRule="auto"/>
      </w:pPr>
      <w:r w:rsidRPr="00F85702">
        <w:t xml:space="preserve">Zhao, G. and Deng, Z. (2016). Introduction. In G. Zhao and Z. Deng (eds.), </w:t>
      </w:r>
      <w:r w:rsidRPr="00F85702">
        <w:rPr>
          <w:i/>
        </w:rPr>
        <w:t>Re-envisioning Chinese education: The meaning of person-making in a new age</w:t>
      </w:r>
      <w:r w:rsidRPr="00F85702">
        <w:t xml:space="preserve"> (pp. 1-9).  Abingdon: Routledge.</w:t>
      </w:r>
    </w:p>
    <w:sectPr w:rsidR="00144B81" w:rsidRPr="00F85702" w:rsidSect="001543EB">
      <w:headerReference w:type="even" r:id="rId8"/>
      <w:head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F7FEA" w14:textId="77777777" w:rsidR="00C82F1D" w:rsidRDefault="00C82F1D" w:rsidP="001543EB">
      <w:r>
        <w:separator/>
      </w:r>
    </w:p>
  </w:endnote>
  <w:endnote w:type="continuationSeparator" w:id="0">
    <w:p w14:paraId="0BA467AD" w14:textId="77777777" w:rsidR="00C82F1D" w:rsidRDefault="00C82F1D" w:rsidP="0015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ùOVˇ">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5028C" w14:textId="77777777" w:rsidR="00C82F1D" w:rsidRDefault="00C82F1D" w:rsidP="001543EB">
      <w:r>
        <w:separator/>
      </w:r>
    </w:p>
  </w:footnote>
  <w:footnote w:type="continuationSeparator" w:id="0">
    <w:p w14:paraId="4587631B" w14:textId="77777777" w:rsidR="00C82F1D" w:rsidRDefault="00C82F1D" w:rsidP="001543EB">
      <w:r>
        <w:continuationSeparator/>
      </w:r>
    </w:p>
  </w:footnote>
  <w:footnote w:id="1">
    <w:p w14:paraId="61C49AD5" w14:textId="72A3ED9B" w:rsidR="00F5745E" w:rsidRPr="00135A55" w:rsidRDefault="00F5745E" w:rsidP="00174991">
      <w:pPr>
        <w:pStyle w:val="FootnoteText"/>
        <w:rPr>
          <w:sz w:val="21"/>
          <w:szCs w:val="21"/>
        </w:rPr>
      </w:pPr>
      <w:r w:rsidRPr="00135A55">
        <w:rPr>
          <w:rStyle w:val="FootnoteReference"/>
          <w:sz w:val="21"/>
          <w:szCs w:val="21"/>
        </w:rPr>
        <w:footnoteRef/>
      </w:r>
      <w:r w:rsidRPr="00135A55">
        <w:rPr>
          <w:sz w:val="21"/>
          <w:szCs w:val="21"/>
        </w:rPr>
        <w:t xml:space="preserve"> Montgomery (2010).</w:t>
      </w:r>
    </w:p>
  </w:footnote>
  <w:footnote w:id="2">
    <w:p w14:paraId="36A67864" w14:textId="582D0831"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Marginson (2014).</w:t>
      </w:r>
    </w:p>
  </w:footnote>
  <w:footnote w:id="3">
    <w:p w14:paraId="6A5656A9" w14:textId="77777777" w:rsidR="00F5745E" w:rsidRPr="00135A55" w:rsidRDefault="00F5745E" w:rsidP="008D7D1C">
      <w:pPr>
        <w:pStyle w:val="FootnoteText"/>
        <w:rPr>
          <w:sz w:val="21"/>
          <w:szCs w:val="21"/>
        </w:rPr>
      </w:pPr>
      <w:r w:rsidRPr="00135A55">
        <w:rPr>
          <w:rStyle w:val="FootnoteReference"/>
          <w:sz w:val="21"/>
          <w:szCs w:val="21"/>
        </w:rPr>
        <w:footnoteRef/>
      </w:r>
      <w:r w:rsidRPr="00135A55">
        <w:rPr>
          <w:sz w:val="21"/>
          <w:szCs w:val="21"/>
        </w:rPr>
        <w:t xml:space="preserve"> Kivela (2012), p. 65.</w:t>
      </w:r>
    </w:p>
  </w:footnote>
  <w:footnote w:id="4">
    <w:p w14:paraId="373BE50D" w14:textId="592B619A"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Giddens (1991); Zhao and Biesta (2011).</w:t>
      </w:r>
    </w:p>
  </w:footnote>
  <w:footnote w:id="5">
    <w:p w14:paraId="26FDCA11" w14:textId="59F1EBE6"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Sen (2000), p. 19.</w:t>
      </w:r>
    </w:p>
  </w:footnote>
  <w:footnote w:id="6">
    <w:p w14:paraId="4B205243" w14:textId="00E60CA2"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Berlin (1969).</w:t>
      </w:r>
    </w:p>
  </w:footnote>
  <w:footnote w:id="7">
    <w:p w14:paraId="3A72EBB3" w14:textId="1C5E8764"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Sen (1985; 1992).</w:t>
      </w:r>
    </w:p>
  </w:footnote>
  <w:footnote w:id="8">
    <w:p w14:paraId="54CC8F38" w14:textId="601BDE6A" w:rsidR="00F5745E" w:rsidRPr="00135A55" w:rsidRDefault="00F5745E" w:rsidP="002923E0">
      <w:pPr>
        <w:rPr>
          <w:sz w:val="21"/>
          <w:szCs w:val="21"/>
        </w:rPr>
      </w:pPr>
      <w:r w:rsidRPr="00135A55">
        <w:rPr>
          <w:rStyle w:val="FootnoteReference"/>
          <w:sz w:val="21"/>
          <w:szCs w:val="21"/>
        </w:rPr>
        <w:footnoteRef/>
      </w:r>
      <w:r w:rsidRPr="00135A55">
        <w:rPr>
          <w:sz w:val="21"/>
          <w:szCs w:val="21"/>
        </w:rPr>
        <w:t xml:space="preserve"> The last of the four stanzas of </w:t>
      </w:r>
      <w:r w:rsidRPr="00135A55">
        <w:rPr>
          <w:i/>
          <w:sz w:val="21"/>
          <w:szCs w:val="21"/>
        </w:rPr>
        <w:t>Invictus</w:t>
      </w:r>
      <w:r w:rsidRPr="00135A55">
        <w:rPr>
          <w:sz w:val="21"/>
          <w:szCs w:val="21"/>
        </w:rPr>
        <w:t xml:space="preserve"> reads: ‘</w:t>
      </w:r>
      <w:r w:rsidRPr="00135A55">
        <w:rPr>
          <w:rFonts w:eastAsia="Times New Roman" w:cs="Times New Roman"/>
          <w:color w:val="222222"/>
          <w:sz w:val="21"/>
          <w:szCs w:val="21"/>
          <w:shd w:val="clear" w:color="auto" w:fill="FFFFFF"/>
          <w:lang w:eastAsia="en-GB"/>
        </w:rPr>
        <w:t>It matters not how strait the gate, How charged with punishments the scroll, I am the master of my fate: I am the captain of my soul.’</w:t>
      </w:r>
    </w:p>
  </w:footnote>
  <w:footnote w:id="9">
    <w:p w14:paraId="002D0266" w14:textId="77777777" w:rsidR="00F5745E" w:rsidRPr="00135A55" w:rsidRDefault="00F5745E" w:rsidP="00210635">
      <w:pPr>
        <w:pStyle w:val="FootnoteText"/>
        <w:rPr>
          <w:sz w:val="21"/>
          <w:szCs w:val="21"/>
        </w:rPr>
      </w:pPr>
      <w:r w:rsidRPr="00135A55">
        <w:rPr>
          <w:rStyle w:val="FootnoteReference"/>
          <w:sz w:val="21"/>
          <w:szCs w:val="21"/>
        </w:rPr>
        <w:footnoteRef/>
      </w:r>
      <w:r w:rsidRPr="00135A55">
        <w:rPr>
          <w:sz w:val="21"/>
          <w:szCs w:val="21"/>
        </w:rPr>
        <w:t xml:space="preserve"> </w:t>
      </w:r>
      <w:r w:rsidRPr="00135A55">
        <w:rPr>
          <w:i/>
          <w:sz w:val="21"/>
          <w:szCs w:val="21"/>
        </w:rPr>
        <w:t>ibid,</w:t>
      </w:r>
      <w:r w:rsidRPr="00135A55">
        <w:rPr>
          <w:sz w:val="21"/>
          <w:szCs w:val="21"/>
        </w:rPr>
        <w:t xml:space="preserve"> p. 288.</w:t>
      </w:r>
    </w:p>
  </w:footnote>
  <w:footnote w:id="10">
    <w:p w14:paraId="6FFF1A0F" w14:textId="25219468" w:rsidR="00F5745E" w:rsidRPr="00135A55" w:rsidRDefault="00F5745E" w:rsidP="00F5745E">
      <w:pPr>
        <w:pStyle w:val="FootnoteText"/>
        <w:rPr>
          <w:sz w:val="21"/>
          <w:szCs w:val="21"/>
        </w:rPr>
      </w:pPr>
      <w:r w:rsidRPr="00135A55">
        <w:rPr>
          <w:rStyle w:val="FootnoteReference"/>
          <w:sz w:val="21"/>
          <w:szCs w:val="21"/>
        </w:rPr>
        <w:footnoteRef/>
      </w:r>
      <w:r w:rsidRPr="00135A55">
        <w:rPr>
          <w:sz w:val="21"/>
          <w:szCs w:val="21"/>
        </w:rPr>
        <w:t xml:space="preserve"> See the discussion in Dyke (2015), p. 549; Jessop (2005), p. 47. </w:t>
      </w:r>
    </w:p>
  </w:footnote>
  <w:footnote w:id="11">
    <w:p w14:paraId="596DF572" w14:textId="1F2A49E9"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Clegg (2011).</w:t>
      </w:r>
    </w:p>
  </w:footnote>
  <w:footnote w:id="12">
    <w:p w14:paraId="7E033985" w14:textId="503D984A"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Foucault (2005), p. 133.</w:t>
      </w:r>
    </w:p>
  </w:footnote>
  <w:footnote w:id="13">
    <w:p w14:paraId="7070FCCC" w14:textId="00530BCE"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Cited in Ball (2017), p. 55.</w:t>
      </w:r>
    </w:p>
  </w:footnote>
  <w:footnote w:id="14">
    <w:p w14:paraId="291533E4" w14:textId="6F474D10"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OECD (2015).</w:t>
      </w:r>
    </w:p>
  </w:footnote>
  <w:footnote w:id="15">
    <w:p w14:paraId="20739165" w14:textId="77777777" w:rsidR="00F5745E" w:rsidRPr="00135A55" w:rsidRDefault="00F5745E" w:rsidP="00D42423">
      <w:pPr>
        <w:pStyle w:val="FootnoteText"/>
        <w:rPr>
          <w:sz w:val="21"/>
          <w:szCs w:val="21"/>
        </w:rPr>
      </w:pPr>
      <w:r w:rsidRPr="00135A55">
        <w:rPr>
          <w:rStyle w:val="FootnoteReference"/>
          <w:sz w:val="21"/>
          <w:szCs w:val="21"/>
        </w:rPr>
        <w:footnoteRef/>
      </w:r>
      <w:r w:rsidRPr="00135A55">
        <w:rPr>
          <w:sz w:val="21"/>
          <w:szCs w:val="21"/>
        </w:rPr>
        <w:t xml:space="preserve"> Ball, </w:t>
      </w:r>
      <w:r w:rsidRPr="00135A55">
        <w:rPr>
          <w:i/>
          <w:sz w:val="21"/>
          <w:szCs w:val="21"/>
        </w:rPr>
        <w:t>op cit,</w:t>
      </w:r>
      <w:r w:rsidRPr="00135A55">
        <w:rPr>
          <w:sz w:val="21"/>
          <w:szCs w:val="21"/>
        </w:rPr>
        <w:t xml:space="preserve"> p. 69.</w:t>
      </w:r>
    </w:p>
  </w:footnote>
  <w:footnote w:id="16">
    <w:p w14:paraId="662E5A88" w14:textId="14EB0380"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w:t>
      </w:r>
      <w:r w:rsidRPr="00135A55">
        <w:rPr>
          <w:i/>
          <w:sz w:val="21"/>
          <w:szCs w:val="21"/>
        </w:rPr>
        <w:t>ibid</w:t>
      </w:r>
      <w:r w:rsidRPr="00135A55">
        <w:rPr>
          <w:sz w:val="21"/>
          <w:szCs w:val="21"/>
        </w:rPr>
        <w:t>, p. 35.</w:t>
      </w:r>
    </w:p>
  </w:footnote>
  <w:footnote w:id="17">
    <w:p w14:paraId="3DD854A9" w14:textId="77777777" w:rsidR="00F5745E" w:rsidRPr="00135A55" w:rsidRDefault="00F5745E" w:rsidP="00A91A8A">
      <w:pPr>
        <w:pStyle w:val="FootnoteText"/>
        <w:rPr>
          <w:sz w:val="21"/>
          <w:szCs w:val="21"/>
        </w:rPr>
      </w:pPr>
      <w:r w:rsidRPr="00135A55">
        <w:rPr>
          <w:rStyle w:val="FootnoteReference"/>
          <w:sz w:val="21"/>
          <w:szCs w:val="21"/>
        </w:rPr>
        <w:footnoteRef/>
      </w:r>
      <w:r w:rsidRPr="00135A55">
        <w:rPr>
          <w:sz w:val="21"/>
          <w:szCs w:val="21"/>
        </w:rPr>
        <w:t xml:space="preserve"> </w:t>
      </w:r>
      <w:r w:rsidRPr="00135A55">
        <w:rPr>
          <w:i/>
          <w:sz w:val="21"/>
          <w:szCs w:val="21"/>
        </w:rPr>
        <w:t>ibid</w:t>
      </w:r>
      <w:r w:rsidRPr="00135A55">
        <w:rPr>
          <w:sz w:val="21"/>
          <w:szCs w:val="21"/>
        </w:rPr>
        <w:t>, p. 69.</w:t>
      </w:r>
    </w:p>
  </w:footnote>
  <w:footnote w:id="18">
    <w:p w14:paraId="6CFD34E2" w14:textId="662B5332"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Foucault (2005), p. 93.</w:t>
      </w:r>
    </w:p>
  </w:footnote>
  <w:footnote w:id="19">
    <w:p w14:paraId="44AD4E42" w14:textId="45DB7654"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Ball, </w:t>
      </w:r>
      <w:r w:rsidRPr="00135A55">
        <w:rPr>
          <w:i/>
          <w:sz w:val="21"/>
          <w:szCs w:val="21"/>
        </w:rPr>
        <w:t>op cit</w:t>
      </w:r>
      <w:r w:rsidRPr="00135A55">
        <w:rPr>
          <w:sz w:val="21"/>
          <w:szCs w:val="21"/>
        </w:rPr>
        <w:t>, p. xv, p.55 and p. 61.</w:t>
      </w:r>
    </w:p>
  </w:footnote>
  <w:footnote w:id="20">
    <w:p w14:paraId="27C9B908" w14:textId="1E5C5C67"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Foucault, </w:t>
      </w:r>
      <w:r w:rsidRPr="00135A55">
        <w:rPr>
          <w:i/>
          <w:sz w:val="21"/>
          <w:szCs w:val="21"/>
        </w:rPr>
        <w:t>op cit</w:t>
      </w:r>
      <w:r w:rsidRPr="00135A55">
        <w:rPr>
          <w:sz w:val="21"/>
          <w:szCs w:val="21"/>
        </w:rPr>
        <w:t>, p. 251.</w:t>
      </w:r>
    </w:p>
  </w:footnote>
  <w:footnote w:id="21">
    <w:p w14:paraId="189D0CEB" w14:textId="266190C5"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w:t>
      </w:r>
      <w:r w:rsidRPr="00135A55">
        <w:rPr>
          <w:i/>
          <w:sz w:val="21"/>
          <w:szCs w:val="21"/>
        </w:rPr>
        <w:t>ibid</w:t>
      </w:r>
      <w:r w:rsidRPr="00135A55">
        <w:rPr>
          <w:sz w:val="21"/>
          <w:szCs w:val="21"/>
        </w:rPr>
        <w:t xml:space="preserve">, p. 50. </w:t>
      </w:r>
    </w:p>
  </w:footnote>
  <w:footnote w:id="22">
    <w:p w14:paraId="3C24B0DE" w14:textId="7B12CB38"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w:t>
      </w:r>
      <w:r w:rsidRPr="00135A55">
        <w:rPr>
          <w:i/>
          <w:sz w:val="21"/>
          <w:szCs w:val="21"/>
        </w:rPr>
        <w:t>ibid</w:t>
      </w:r>
      <w:r w:rsidRPr="00135A55">
        <w:rPr>
          <w:sz w:val="21"/>
          <w:szCs w:val="21"/>
        </w:rPr>
        <w:t xml:space="preserve">, p. 37, p. 83. </w:t>
      </w:r>
    </w:p>
  </w:footnote>
  <w:footnote w:id="23">
    <w:p w14:paraId="4D1BF801" w14:textId="68080412"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w:t>
      </w:r>
      <w:r w:rsidRPr="00135A55">
        <w:rPr>
          <w:i/>
          <w:sz w:val="21"/>
          <w:szCs w:val="21"/>
        </w:rPr>
        <w:t>ibid</w:t>
      </w:r>
      <w:r w:rsidRPr="00135A55">
        <w:rPr>
          <w:sz w:val="21"/>
          <w:szCs w:val="21"/>
        </w:rPr>
        <w:t>, pp. 70-71.</w:t>
      </w:r>
    </w:p>
  </w:footnote>
  <w:footnote w:id="24">
    <w:p w14:paraId="75C8275D" w14:textId="063E72A8"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Foucault (2011), p. 245.</w:t>
      </w:r>
    </w:p>
  </w:footnote>
  <w:footnote w:id="25">
    <w:p w14:paraId="28F0B5A6" w14:textId="1747517B"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Ball, </w:t>
      </w:r>
      <w:r w:rsidRPr="00135A55">
        <w:rPr>
          <w:i/>
          <w:sz w:val="21"/>
          <w:szCs w:val="21"/>
        </w:rPr>
        <w:t>op cit,</w:t>
      </w:r>
      <w:r w:rsidRPr="00135A55">
        <w:rPr>
          <w:sz w:val="21"/>
          <w:szCs w:val="21"/>
        </w:rPr>
        <w:t xml:space="preserve"> p. 56.</w:t>
      </w:r>
    </w:p>
  </w:footnote>
  <w:footnote w:id="26">
    <w:p w14:paraId="7F04FC5C" w14:textId="41D8112A" w:rsidR="00135A55" w:rsidRPr="00135A55" w:rsidRDefault="00135A55">
      <w:pPr>
        <w:pStyle w:val="FootnoteText"/>
        <w:rPr>
          <w:sz w:val="21"/>
          <w:szCs w:val="21"/>
        </w:rPr>
      </w:pPr>
      <w:r w:rsidRPr="00135A55">
        <w:rPr>
          <w:rStyle w:val="FootnoteReference"/>
          <w:sz w:val="21"/>
          <w:szCs w:val="21"/>
        </w:rPr>
        <w:footnoteRef/>
      </w:r>
      <w:r w:rsidRPr="00135A55">
        <w:rPr>
          <w:sz w:val="21"/>
          <w:szCs w:val="21"/>
        </w:rPr>
        <w:t xml:space="preserve"> </w:t>
      </w:r>
      <w:r w:rsidRPr="00135A55">
        <w:rPr>
          <w:rFonts w:cs="Times New Roman"/>
          <w:sz w:val="21"/>
          <w:szCs w:val="21"/>
        </w:rPr>
        <w:t>Foucault</w:t>
      </w:r>
      <w:r w:rsidR="004C7E02">
        <w:rPr>
          <w:rFonts w:cs="Times New Roman"/>
          <w:sz w:val="21"/>
          <w:szCs w:val="21"/>
        </w:rPr>
        <w:t xml:space="preserve"> (</w:t>
      </w:r>
      <w:r w:rsidRPr="00135A55">
        <w:rPr>
          <w:rFonts w:cs="Times New Roman"/>
          <w:sz w:val="21"/>
          <w:szCs w:val="21"/>
        </w:rPr>
        <w:t>2011</w:t>
      </w:r>
      <w:r w:rsidR="004C7E02">
        <w:rPr>
          <w:rFonts w:cs="Times New Roman"/>
          <w:sz w:val="21"/>
          <w:szCs w:val="21"/>
        </w:rPr>
        <w:t>)</w:t>
      </w:r>
      <w:r w:rsidRPr="00135A55">
        <w:rPr>
          <w:rFonts w:cs="Times New Roman"/>
          <w:sz w:val="21"/>
          <w:szCs w:val="21"/>
        </w:rPr>
        <w:t>, p. 340</w:t>
      </w:r>
      <w:r w:rsidRPr="00135A55">
        <w:rPr>
          <w:rFonts w:cs="Times New Roman"/>
          <w:sz w:val="21"/>
          <w:szCs w:val="21"/>
        </w:rPr>
        <w:t>.</w:t>
      </w:r>
    </w:p>
  </w:footnote>
  <w:footnote w:id="27">
    <w:p w14:paraId="2CAD63AA" w14:textId="75CBF136"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Foucault (2005), p. 61.</w:t>
      </w:r>
    </w:p>
  </w:footnote>
  <w:footnote w:id="28">
    <w:p w14:paraId="1FE3C0D1" w14:textId="664E4DB7"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Zhao and Biesta, </w:t>
      </w:r>
      <w:r w:rsidRPr="00135A55">
        <w:rPr>
          <w:i/>
          <w:sz w:val="21"/>
          <w:szCs w:val="21"/>
        </w:rPr>
        <w:t>op cit</w:t>
      </w:r>
      <w:r w:rsidRPr="00135A55">
        <w:rPr>
          <w:sz w:val="21"/>
          <w:szCs w:val="21"/>
        </w:rPr>
        <w:t>, p. 3.</w:t>
      </w:r>
    </w:p>
  </w:footnote>
  <w:footnote w:id="29">
    <w:p w14:paraId="0A53384B" w14:textId="154E32FC"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Zhao and Deng (2016), p. 3. </w:t>
      </w:r>
    </w:p>
  </w:footnote>
  <w:footnote w:id="30">
    <w:p w14:paraId="1257ED55" w14:textId="7F29037F"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Zhao and Biesta, </w:t>
      </w:r>
      <w:r w:rsidRPr="00135A55">
        <w:rPr>
          <w:i/>
          <w:sz w:val="21"/>
          <w:szCs w:val="21"/>
        </w:rPr>
        <w:t>op cit</w:t>
      </w:r>
      <w:r w:rsidRPr="00135A55">
        <w:rPr>
          <w:sz w:val="21"/>
          <w:szCs w:val="21"/>
        </w:rPr>
        <w:t xml:space="preserve">, p. 9, p. 13. </w:t>
      </w:r>
    </w:p>
  </w:footnote>
  <w:footnote w:id="31">
    <w:p w14:paraId="08937F12" w14:textId="0DEC0265"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Yang (2017). </w:t>
      </w:r>
    </w:p>
  </w:footnote>
  <w:footnote w:id="32">
    <w:p w14:paraId="6C08581E" w14:textId="77777777" w:rsidR="00F5745E" w:rsidRPr="00135A55" w:rsidRDefault="00F5745E" w:rsidP="00252B54">
      <w:pPr>
        <w:pStyle w:val="FootnoteText"/>
        <w:rPr>
          <w:sz w:val="21"/>
          <w:szCs w:val="21"/>
        </w:rPr>
      </w:pPr>
      <w:r w:rsidRPr="00135A55">
        <w:rPr>
          <w:rStyle w:val="FootnoteReference"/>
          <w:sz w:val="21"/>
          <w:szCs w:val="21"/>
        </w:rPr>
        <w:footnoteRef/>
      </w:r>
      <w:r w:rsidRPr="00135A55">
        <w:rPr>
          <w:sz w:val="21"/>
          <w:szCs w:val="21"/>
        </w:rPr>
        <w:t xml:space="preserve"> Tu (2013), p. 334.</w:t>
      </w:r>
    </w:p>
  </w:footnote>
  <w:footnote w:id="33">
    <w:p w14:paraId="556F5A25" w14:textId="77777777" w:rsidR="00F5745E" w:rsidRPr="00135A55" w:rsidRDefault="00F5745E" w:rsidP="00357ED0">
      <w:pPr>
        <w:pStyle w:val="FootnoteText"/>
        <w:rPr>
          <w:sz w:val="21"/>
          <w:szCs w:val="21"/>
        </w:rPr>
      </w:pPr>
      <w:r w:rsidRPr="00135A55">
        <w:rPr>
          <w:rStyle w:val="FootnoteReference"/>
          <w:sz w:val="21"/>
          <w:szCs w:val="21"/>
        </w:rPr>
        <w:footnoteRef/>
      </w:r>
      <w:r w:rsidRPr="00135A55">
        <w:rPr>
          <w:sz w:val="21"/>
          <w:szCs w:val="21"/>
        </w:rPr>
        <w:t xml:space="preserve"> Tu (1996), pp. 59-61.</w:t>
      </w:r>
    </w:p>
  </w:footnote>
  <w:footnote w:id="34">
    <w:p w14:paraId="65FDCF52" w14:textId="49AA3364"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Zhao and Deng, </w:t>
      </w:r>
      <w:r w:rsidRPr="00135A55">
        <w:rPr>
          <w:i/>
          <w:sz w:val="21"/>
          <w:szCs w:val="21"/>
        </w:rPr>
        <w:t>op cit</w:t>
      </w:r>
      <w:r w:rsidRPr="00135A55">
        <w:rPr>
          <w:sz w:val="21"/>
          <w:szCs w:val="21"/>
        </w:rPr>
        <w:t>, pp. 2-3.</w:t>
      </w:r>
    </w:p>
  </w:footnote>
  <w:footnote w:id="35">
    <w:p w14:paraId="3E817D1C" w14:textId="10D0DBD6"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Li (2003), p. 263. See also Hayhoe (2017), p. 7.</w:t>
      </w:r>
    </w:p>
  </w:footnote>
  <w:footnote w:id="36">
    <w:p w14:paraId="2448E9B2" w14:textId="6EB03A5F"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Li, </w:t>
      </w:r>
      <w:r w:rsidRPr="00135A55">
        <w:rPr>
          <w:i/>
          <w:sz w:val="21"/>
          <w:szCs w:val="21"/>
        </w:rPr>
        <w:t>op cit</w:t>
      </w:r>
      <w:r w:rsidRPr="00135A55">
        <w:rPr>
          <w:sz w:val="21"/>
          <w:szCs w:val="21"/>
        </w:rPr>
        <w:t>, pp. 261-262.</w:t>
      </w:r>
    </w:p>
  </w:footnote>
  <w:footnote w:id="37">
    <w:p w14:paraId="3FABF334" w14:textId="45621EE7"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w:t>
      </w:r>
      <w:r w:rsidRPr="00135A55">
        <w:rPr>
          <w:i/>
          <w:sz w:val="21"/>
          <w:szCs w:val="21"/>
        </w:rPr>
        <w:t>ibid</w:t>
      </w:r>
      <w:r w:rsidRPr="00135A55">
        <w:rPr>
          <w:sz w:val="21"/>
          <w:szCs w:val="21"/>
        </w:rPr>
        <w:t>, p. 265.</w:t>
      </w:r>
    </w:p>
  </w:footnote>
  <w:footnote w:id="38">
    <w:p w14:paraId="4B924F92" w14:textId="19558A54"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Shostya (2015), p. 201.</w:t>
      </w:r>
    </w:p>
  </w:footnote>
  <w:footnote w:id="39">
    <w:p w14:paraId="28850048" w14:textId="62AF9875"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Taylor (2016), p. 3; Sijander and Sutin (2012), p. 2.</w:t>
      </w:r>
    </w:p>
  </w:footnote>
  <w:footnote w:id="40">
    <w:p w14:paraId="3414BAB9" w14:textId="495A2707"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Biesta (2002), p. 345; Foucault (20</w:t>
      </w:r>
      <w:r w:rsidR="00135A55" w:rsidRPr="00135A55">
        <w:rPr>
          <w:sz w:val="21"/>
          <w:szCs w:val="21"/>
        </w:rPr>
        <w:t>10</w:t>
      </w:r>
      <w:r w:rsidRPr="00135A55">
        <w:rPr>
          <w:sz w:val="21"/>
          <w:szCs w:val="21"/>
        </w:rPr>
        <w:t>), p. 26.</w:t>
      </w:r>
    </w:p>
  </w:footnote>
  <w:footnote w:id="41">
    <w:p w14:paraId="28384E9C" w14:textId="140FB2A5"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Kivela (2012), pp. 59-60.</w:t>
      </w:r>
    </w:p>
  </w:footnote>
  <w:footnote w:id="42">
    <w:p w14:paraId="3C0E1E9B" w14:textId="382AE318"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Taylor, </w:t>
      </w:r>
      <w:r w:rsidRPr="00135A55">
        <w:rPr>
          <w:i/>
          <w:sz w:val="21"/>
          <w:szCs w:val="21"/>
        </w:rPr>
        <w:t>op cit</w:t>
      </w:r>
      <w:r w:rsidRPr="00135A55">
        <w:rPr>
          <w:sz w:val="21"/>
          <w:szCs w:val="21"/>
        </w:rPr>
        <w:t>, p. 5.</w:t>
      </w:r>
    </w:p>
  </w:footnote>
  <w:footnote w:id="43">
    <w:p w14:paraId="3C1BE0F6" w14:textId="0FA99E56"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Kivela, </w:t>
      </w:r>
      <w:r w:rsidRPr="00135A55">
        <w:rPr>
          <w:i/>
          <w:sz w:val="21"/>
          <w:szCs w:val="21"/>
        </w:rPr>
        <w:t>op cit</w:t>
      </w:r>
      <w:r w:rsidRPr="00135A55">
        <w:rPr>
          <w:sz w:val="21"/>
          <w:szCs w:val="21"/>
        </w:rPr>
        <w:t>, p. 62.</w:t>
      </w:r>
    </w:p>
  </w:footnote>
  <w:footnote w:id="44">
    <w:p w14:paraId="4D074A88" w14:textId="5479DD58"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Kirby and van der Wende (2016), pp. 2-3.</w:t>
      </w:r>
    </w:p>
  </w:footnote>
  <w:footnote w:id="45">
    <w:p w14:paraId="362ED11D" w14:textId="00AE9DA9"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Sijander and Sutinen, </w:t>
      </w:r>
      <w:r w:rsidRPr="00135A55">
        <w:rPr>
          <w:i/>
          <w:sz w:val="21"/>
          <w:szCs w:val="21"/>
        </w:rPr>
        <w:t>op cit</w:t>
      </w:r>
      <w:r w:rsidRPr="00135A55">
        <w:rPr>
          <w:sz w:val="21"/>
          <w:szCs w:val="21"/>
        </w:rPr>
        <w:t>, p. 15.</w:t>
      </w:r>
    </w:p>
  </w:footnote>
  <w:footnote w:id="46">
    <w:p w14:paraId="3D2ACF0C" w14:textId="675EF5E7"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Sijander (2012), p. 94.</w:t>
      </w:r>
    </w:p>
  </w:footnote>
  <w:footnote w:id="47">
    <w:p w14:paraId="05F7EABA" w14:textId="2BD34EBF"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w:t>
      </w:r>
      <w:r w:rsidRPr="00135A55">
        <w:rPr>
          <w:i/>
          <w:sz w:val="21"/>
          <w:szCs w:val="21"/>
        </w:rPr>
        <w:t>ibid</w:t>
      </w:r>
      <w:r w:rsidRPr="00135A55">
        <w:rPr>
          <w:sz w:val="21"/>
          <w:szCs w:val="21"/>
        </w:rPr>
        <w:t>, p. 96.</w:t>
      </w:r>
    </w:p>
  </w:footnote>
  <w:footnote w:id="48">
    <w:p w14:paraId="5ADECE93" w14:textId="4DCB1D70"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Sijander and Sutinen, </w:t>
      </w:r>
      <w:r w:rsidRPr="00135A55">
        <w:rPr>
          <w:i/>
          <w:sz w:val="21"/>
          <w:szCs w:val="21"/>
        </w:rPr>
        <w:t>op cit</w:t>
      </w:r>
      <w:r w:rsidRPr="00135A55">
        <w:rPr>
          <w:sz w:val="21"/>
          <w:szCs w:val="21"/>
        </w:rPr>
        <w:t>, pp. 3-4.</w:t>
      </w:r>
    </w:p>
  </w:footnote>
  <w:footnote w:id="49">
    <w:p w14:paraId="63CC95F1" w14:textId="242A9011"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Taylor,</w:t>
      </w:r>
      <w:r w:rsidRPr="00135A55">
        <w:rPr>
          <w:i/>
          <w:sz w:val="21"/>
          <w:szCs w:val="21"/>
        </w:rPr>
        <w:t xml:space="preserve"> op cit, </w:t>
      </w:r>
      <w:r w:rsidRPr="00135A55">
        <w:rPr>
          <w:sz w:val="21"/>
          <w:szCs w:val="21"/>
        </w:rPr>
        <w:t xml:space="preserve">p. 3 and p. 7; Biesta, </w:t>
      </w:r>
      <w:r w:rsidRPr="00135A55">
        <w:rPr>
          <w:i/>
          <w:sz w:val="21"/>
          <w:szCs w:val="21"/>
        </w:rPr>
        <w:t>op cit</w:t>
      </w:r>
      <w:r w:rsidRPr="00135A55">
        <w:rPr>
          <w:sz w:val="21"/>
          <w:szCs w:val="21"/>
        </w:rPr>
        <w:t>.</w:t>
      </w:r>
    </w:p>
  </w:footnote>
  <w:footnote w:id="50">
    <w:p w14:paraId="72BF698A" w14:textId="7203D0DD"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Sijander and Sutinen, </w:t>
      </w:r>
      <w:r w:rsidRPr="00135A55">
        <w:rPr>
          <w:i/>
          <w:sz w:val="21"/>
          <w:szCs w:val="21"/>
        </w:rPr>
        <w:t>op cit</w:t>
      </w:r>
      <w:r w:rsidRPr="00135A55">
        <w:rPr>
          <w:sz w:val="21"/>
          <w:szCs w:val="21"/>
        </w:rPr>
        <w:t>, p. 16.</w:t>
      </w:r>
    </w:p>
  </w:footnote>
  <w:footnote w:id="51">
    <w:p w14:paraId="4BECCD42" w14:textId="00C1A125"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Kivela, Sijander and Sutinen (2012), p. 307.</w:t>
      </w:r>
    </w:p>
  </w:footnote>
  <w:footnote w:id="52">
    <w:p w14:paraId="0A32D00A" w14:textId="1CD91865"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Vakeva (2012).</w:t>
      </w:r>
    </w:p>
  </w:footnote>
  <w:footnote w:id="53">
    <w:p w14:paraId="615F7156" w14:textId="255E14B0"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Kivela, Sijander and Sutinen, </w:t>
      </w:r>
      <w:r w:rsidRPr="00135A55">
        <w:rPr>
          <w:i/>
          <w:sz w:val="21"/>
          <w:szCs w:val="21"/>
        </w:rPr>
        <w:t>op cit,</w:t>
      </w:r>
      <w:r w:rsidRPr="00135A55">
        <w:rPr>
          <w:sz w:val="21"/>
          <w:szCs w:val="21"/>
        </w:rPr>
        <w:t xml:space="preserve"> p. 308.</w:t>
      </w:r>
    </w:p>
  </w:footnote>
  <w:footnote w:id="54">
    <w:p w14:paraId="1CB4414C" w14:textId="7109CD18" w:rsidR="00F5745E" w:rsidRPr="00135A55" w:rsidRDefault="00F5745E" w:rsidP="00F114B2">
      <w:pPr>
        <w:pStyle w:val="FootnoteText"/>
        <w:rPr>
          <w:color w:val="000000" w:themeColor="text1"/>
          <w:sz w:val="21"/>
          <w:szCs w:val="21"/>
        </w:rPr>
      </w:pPr>
      <w:r w:rsidRPr="00135A55">
        <w:rPr>
          <w:rStyle w:val="FootnoteReference"/>
          <w:sz w:val="21"/>
          <w:szCs w:val="21"/>
        </w:rPr>
        <w:footnoteRef/>
      </w:r>
      <w:r w:rsidRPr="00135A55">
        <w:rPr>
          <w:sz w:val="21"/>
          <w:szCs w:val="21"/>
        </w:rPr>
        <w:t xml:space="preserve"> Pikkarainen (2012), p. 21. </w:t>
      </w:r>
      <w:r w:rsidRPr="00135A55">
        <w:rPr>
          <w:color w:val="000000" w:themeColor="text1"/>
          <w:sz w:val="21"/>
          <w:szCs w:val="21"/>
        </w:rPr>
        <w:t>Kant: ‘</w:t>
      </w:r>
      <w:r w:rsidRPr="00135A55">
        <w:rPr>
          <w:rFonts w:cs="Times New Roman"/>
          <w:color w:val="000000" w:themeColor="text1"/>
          <w:sz w:val="21"/>
          <w:szCs w:val="21"/>
        </w:rPr>
        <w:t xml:space="preserve">One of the greatest problems of education is how to unite submission to the necessary restraint with the child’s capability of exercising his free will – for restraint is necessary. How am I to develop the sense of freedom in spite of the restraint? I am to accustom my person to endure a restraint on his freedom, and at the same time I am to guide him to use his freedom aright. Without this all education is merely mechanical, and the child, when his education is over, will never be able to make a possible use of his freedom.’ See Kivela, </w:t>
      </w:r>
      <w:r w:rsidRPr="00135A55">
        <w:rPr>
          <w:rFonts w:cs="Times New Roman"/>
          <w:i/>
          <w:color w:val="000000" w:themeColor="text1"/>
          <w:sz w:val="21"/>
          <w:szCs w:val="21"/>
        </w:rPr>
        <w:t>op cit</w:t>
      </w:r>
      <w:r w:rsidRPr="00135A55">
        <w:rPr>
          <w:rFonts w:cs="Times New Roman"/>
          <w:color w:val="000000" w:themeColor="text1"/>
          <w:sz w:val="21"/>
          <w:szCs w:val="21"/>
        </w:rPr>
        <w:t>, p. 66.</w:t>
      </w:r>
      <w:r w:rsidR="007A5BB6" w:rsidRPr="00135A55">
        <w:rPr>
          <w:rFonts w:cs="Times New Roman"/>
          <w:color w:val="000000" w:themeColor="text1"/>
          <w:sz w:val="21"/>
          <w:szCs w:val="21"/>
        </w:rPr>
        <w:t xml:space="preserve"> </w:t>
      </w:r>
      <w:r w:rsidR="007A5BB6" w:rsidRPr="00135A55">
        <w:rPr>
          <w:sz w:val="21"/>
          <w:szCs w:val="21"/>
        </w:rPr>
        <w:t xml:space="preserve">Kant saw it as essential to acknowledge the freedom of the child from the beginning, while also showing the child that the exercise of the child’s own freedom depended on the child supporting the freedom of others. </w:t>
      </w:r>
      <w:r w:rsidR="007A5BB6" w:rsidRPr="00135A55">
        <w:rPr>
          <w:i/>
          <w:sz w:val="21"/>
          <w:szCs w:val="21"/>
        </w:rPr>
        <w:t>ibid</w:t>
      </w:r>
      <w:r w:rsidR="007A5BB6" w:rsidRPr="00135A55">
        <w:rPr>
          <w:sz w:val="21"/>
          <w:szCs w:val="21"/>
        </w:rPr>
        <w:t>, p. 68.</w:t>
      </w:r>
    </w:p>
  </w:footnote>
  <w:footnote w:id="55">
    <w:p w14:paraId="4EB3DCF0" w14:textId="31DA96A8"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Ashwin (2014), p. 123. </w:t>
      </w:r>
    </w:p>
  </w:footnote>
  <w:footnote w:id="56">
    <w:p w14:paraId="69822A8A" w14:textId="6F23221B"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Bernstein (2000).</w:t>
      </w:r>
    </w:p>
  </w:footnote>
  <w:footnote w:id="57">
    <w:p w14:paraId="78507161" w14:textId="4D176CD7"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Ashwin, </w:t>
      </w:r>
      <w:r w:rsidRPr="00135A55">
        <w:rPr>
          <w:i/>
          <w:sz w:val="21"/>
          <w:szCs w:val="21"/>
        </w:rPr>
        <w:t>op cit</w:t>
      </w:r>
      <w:r w:rsidRPr="00135A55">
        <w:rPr>
          <w:sz w:val="21"/>
          <w:szCs w:val="21"/>
        </w:rPr>
        <w:t>, p. 124.</w:t>
      </w:r>
    </w:p>
  </w:footnote>
  <w:footnote w:id="58">
    <w:p w14:paraId="1B2249C9" w14:textId="6E84F497"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Ashwin, </w:t>
      </w:r>
      <w:r w:rsidRPr="00135A55">
        <w:rPr>
          <w:i/>
          <w:sz w:val="21"/>
          <w:szCs w:val="21"/>
        </w:rPr>
        <w:t>op cit</w:t>
      </w:r>
      <w:r w:rsidRPr="00135A55">
        <w:rPr>
          <w:sz w:val="21"/>
          <w:szCs w:val="21"/>
        </w:rPr>
        <w:t>, p. 125.</w:t>
      </w:r>
    </w:p>
  </w:footnote>
  <w:footnote w:id="59">
    <w:p w14:paraId="4F7D09FA" w14:textId="11B5B658"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Ashwin, Abbas and McLean (2014), pp. 224-225.</w:t>
      </w:r>
    </w:p>
  </w:footnote>
  <w:footnote w:id="60">
    <w:p w14:paraId="33F85CF1" w14:textId="3E1099F9"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w:t>
      </w:r>
      <w:r w:rsidRPr="00135A55">
        <w:rPr>
          <w:i/>
          <w:sz w:val="21"/>
          <w:szCs w:val="21"/>
        </w:rPr>
        <w:t>ibid</w:t>
      </w:r>
      <w:r w:rsidRPr="00135A55">
        <w:rPr>
          <w:sz w:val="21"/>
          <w:szCs w:val="21"/>
        </w:rPr>
        <w:t>, p. 222; Dubet (2000), p. 100.</w:t>
      </w:r>
    </w:p>
  </w:footnote>
  <w:footnote w:id="61">
    <w:p w14:paraId="76C812BD" w14:textId="59055529"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Ashwin, Abbas and McLean, </w:t>
      </w:r>
      <w:r w:rsidRPr="00135A55">
        <w:rPr>
          <w:i/>
          <w:sz w:val="21"/>
          <w:szCs w:val="21"/>
        </w:rPr>
        <w:t>op cit,</w:t>
      </w:r>
      <w:r w:rsidRPr="00135A55">
        <w:rPr>
          <w:sz w:val="21"/>
          <w:szCs w:val="21"/>
        </w:rPr>
        <w:t xml:space="preserve"> p. 231.</w:t>
      </w:r>
    </w:p>
  </w:footnote>
  <w:footnote w:id="62">
    <w:p w14:paraId="48E7DB65" w14:textId="4B2C92FE"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Ashwin and McVitty (undated), p. 6.</w:t>
      </w:r>
    </w:p>
  </w:footnote>
  <w:footnote w:id="63">
    <w:p w14:paraId="4860ED43" w14:textId="2F64C54C"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Zhao and Biesta, </w:t>
      </w:r>
      <w:r w:rsidRPr="00135A55">
        <w:rPr>
          <w:i/>
          <w:sz w:val="21"/>
          <w:szCs w:val="21"/>
        </w:rPr>
        <w:t>op cit</w:t>
      </w:r>
      <w:r w:rsidRPr="00135A55">
        <w:rPr>
          <w:sz w:val="21"/>
          <w:szCs w:val="21"/>
        </w:rPr>
        <w:t xml:space="preserve">, pp. 6-8. </w:t>
      </w:r>
    </w:p>
  </w:footnote>
  <w:footnote w:id="64">
    <w:p w14:paraId="251C0BF1" w14:textId="2DF2D85B"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e.g. Vygotsky (1978).</w:t>
      </w:r>
    </w:p>
  </w:footnote>
  <w:footnote w:id="65">
    <w:p w14:paraId="63932289" w14:textId="3D4D47C2"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Vygotsky (1986), p. 36; Vygotsky (1978), p. 57.</w:t>
      </w:r>
      <w:r w:rsidR="00F01C77" w:rsidRPr="00135A55">
        <w:rPr>
          <w:sz w:val="21"/>
          <w:szCs w:val="21"/>
        </w:rPr>
        <w:t xml:space="preserve"> Emphasis in original.</w:t>
      </w:r>
    </w:p>
  </w:footnote>
  <w:footnote w:id="66">
    <w:p w14:paraId="5C87CBE1" w14:textId="3F4B0031"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Sijander and Sutinen, </w:t>
      </w:r>
      <w:r w:rsidRPr="00135A55">
        <w:rPr>
          <w:i/>
          <w:sz w:val="21"/>
          <w:szCs w:val="21"/>
        </w:rPr>
        <w:t>op cit</w:t>
      </w:r>
      <w:r w:rsidRPr="00135A55">
        <w:rPr>
          <w:sz w:val="21"/>
          <w:szCs w:val="21"/>
        </w:rPr>
        <w:t>, p. 6, p. 11, p. 16; Biesta (2012), p. 248.</w:t>
      </w:r>
    </w:p>
  </w:footnote>
  <w:footnote w:id="67">
    <w:p w14:paraId="0DBE8693" w14:textId="7A839513"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Kettle (2005).</w:t>
      </w:r>
    </w:p>
  </w:footnote>
  <w:footnote w:id="68">
    <w:p w14:paraId="346DE93C" w14:textId="249A2273"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Kivela, </w:t>
      </w:r>
      <w:r w:rsidRPr="00135A55">
        <w:rPr>
          <w:i/>
          <w:sz w:val="21"/>
          <w:szCs w:val="21"/>
        </w:rPr>
        <w:t>op cit</w:t>
      </w:r>
      <w:r w:rsidRPr="00135A55">
        <w:rPr>
          <w:sz w:val="21"/>
          <w:szCs w:val="21"/>
        </w:rPr>
        <w:t xml:space="preserve">, p. 59. See also Kontio (2012), p. 33. </w:t>
      </w:r>
    </w:p>
  </w:footnote>
  <w:footnote w:id="69">
    <w:p w14:paraId="15034C8E" w14:textId="2DE8452B"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Kivela, </w:t>
      </w:r>
      <w:r w:rsidRPr="00135A55">
        <w:rPr>
          <w:i/>
          <w:sz w:val="21"/>
          <w:szCs w:val="21"/>
        </w:rPr>
        <w:t>op cit</w:t>
      </w:r>
      <w:r w:rsidRPr="00135A55">
        <w:rPr>
          <w:sz w:val="21"/>
          <w:szCs w:val="21"/>
        </w:rPr>
        <w:t>, p. 78.</w:t>
      </w:r>
    </w:p>
  </w:footnote>
  <w:footnote w:id="70">
    <w:p w14:paraId="4991FF3D" w14:textId="09C480A5"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w:t>
      </w:r>
      <w:r w:rsidR="00642301" w:rsidRPr="00135A55">
        <w:rPr>
          <w:sz w:val="21"/>
          <w:szCs w:val="21"/>
        </w:rPr>
        <w:t xml:space="preserve">Von Humboldt, who makes the individual the focal point, is one whose take on Bildung appears lopsided. </w:t>
      </w:r>
      <w:r w:rsidRPr="00135A55">
        <w:rPr>
          <w:sz w:val="21"/>
          <w:szCs w:val="21"/>
        </w:rPr>
        <w:t>Konrad (2012), p. 120.</w:t>
      </w:r>
      <w:r w:rsidR="00642301" w:rsidRPr="00135A55">
        <w:rPr>
          <w:sz w:val="21"/>
          <w:szCs w:val="21"/>
        </w:rPr>
        <w:t xml:space="preserve"> At times the American pragmatists are clearer about the reciprocity. For Dewey the terms ‘social’ and ‘individual’ are ‘hopelessly ambiguous’, but only when they are placed in antithesis Dewey (1927), p. 186.</w:t>
      </w:r>
    </w:p>
  </w:footnote>
  <w:footnote w:id="71">
    <w:p w14:paraId="1802C8DA" w14:textId="74AF6BD3"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For example, Taylor, </w:t>
      </w:r>
      <w:r w:rsidRPr="00135A55">
        <w:rPr>
          <w:i/>
          <w:sz w:val="21"/>
          <w:szCs w:val="21"/>
        </w:rPr>
        <w:t>op cit</w:t>
      </w:r>
      <w:r w:rsidRPr="00135A55">
        <w:rPr>
          <w:sz w:val="21"/>
          <w:szCs w:val="21"/>
        </w:rPr>
        <w:t xml:space="preserve">, pp. 13-14; Zhao and Biesta, </w:t>
      </w:r>
      <w:r w:rsidRPr="00135A55">
        <w:rPr>
          <w:i/>
          <w:sz w:val="21"/>
          <w:szCs w:val="21"/>
        </w:rPr>
        <w:t>op cit</w:t>
      </w:r>
      <w:r w:rsidRPr="00135A55">
        <w:rPr>
          <w:sz w:val="21"/>
          <w:szCs w:val="21"/>
        </w:rPr>
        <w:t xml:space="preserve">, p. 6. </w:t>
      </w:r>
    </w:p>
  </w:footnote>
  <w:footnote w:id="72">
    <w:p w14:paraId="5D9D56E9" w14:textId="4A081FDC"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w:t>
      </w:r>
      <w:r w:rsidRPr="00135A55">
        <w:rPr>
          <w:i/>
          <w:sz w:val="21"/>
          <w:szCs w:val="21"/>
        </w:rPr>
        <w:t>ibid,</w:t>
      </w:r>
      <w:r w:rsidRPr="00135A55">
        <w:rPr>
          <w:sz w:val="21"/>
          <w:szCs w:val="21"/>
        </w:rPr>
        <w:t xml:space="preserve"> p. 11; Sun (2008). </w:t>
      </w:r>
    </w:p>
  </w:footnote>
  <w:footnote w:id="73">
    <w:p w14:paraId="026F38D7" w14:textId="7C832EA6"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Chai (2016), p. 75.</w:t>
      </w:r>
    </w:p>
  </w:footnote>
  <w:footnote w:id="74">
    <w:p w14:paraId="70C09816" w14:textId="525B440B"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Ashwin, Abbas and McLean (2015), p. 610.</w:t>
      </w:r>
    </w:p>
  </w:footnote>
  <w:footnote w:id="75">
    <w:p w14:paraId="6C773C9F" w14:textId="361CA982"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w:t>
      </w:r>
      <w:r w:rsidRPr="00135A55">
        <w:rPr>
          <w:i/>
          <w:sz w:val="21"/>
          <w:szCs w:val="21"/>
        </w:rPr>
        <w:t>op cit</w:t>
      </w:r>
      <w:r w:rsidRPr="00135A55">
        <w:rPr>
          <w:sz w:val="21"/>
          <w:szCs w:val="21"/>
        </w:rPr>
        <w:t>, p. 619.</w:t>
      </w:r>
    </w:p>
  </w:footnote>
  <w:footnote w:id="76">
    <w:p w14:paraId="65ABA4EA" w14:textId="0CA73F70"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Aswin and McVitty (undated), p. 13.</w:t>
      </w:r>
    </w:p>
  </w:footnote>
  <w:footnote w:id="77">
    <w:p w14:paraId="2C55166A" w14:textId="5FF9E662"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Trendence Research (2017). The study was financed by a consortium of UK student unions.</w:t>
      </w:r>
    </w:p>
  </w:footnote>
  <w:footnote w:id="78">
    <w:p w14:paraId="4D7E0B2F" w14:textId="402286CA"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Studies of student motivation often find that the consumption perspective is present but not dominant. For example, in relation to study abroad, Jaeger and Gram (2016).</w:t>
      </w:r>
    </w:p>
  </w:footnote>
  <w:footnote w:id="79">
    <w:p w14:paraId="073CCB23" w14:textId="5881C66B" w:rsidR="00F5745E" w:rsidRPr="00135A55" w:rsidRDefault="00F5745E">
      <w:pPr>
        <w:pStyle w:val="FootnoteText"/>
        <w:rPr>
          <w:sz w:val="21"/>
          <w:szCs w:val="21"/>
        </w:rPr>
      </w:pPr>
      <w:r w:rsidRPr="00135A55">
        <w:rPr>
          <w:rStyle w:val="FootnoteReference"/>
          <w:sz w:val="21"/>
          <w:szCs w:val="21"/>
        </w:rPr>
        <w:footnoteRef/>
      </w:r>
      <w:r w:rsidRPr="00135A55">
        <w:rPr>
          <w:sz w:val="21"/>
          <w:szCs w:val="21"/>
        </w:rPr>
        <w:t xml:space="preserve"> See, for students in the UK, Tomlinson (2016).</w:t>
      </w:r>
    </w:p>
  </w:footnote>
  <w:footnote w:id="80">
    <w:p w14:paraId="2268DF10" w14:textId="77777777" w:rsidR="00F5745E" w:rsidRPr="00135A55" w:rsidRDefault="00F5745E" w:rsidP="00C247BC">
      <w:pPr>
        <w:pStyle w:val="FootnoteText"/>
        <w:rPr>
          <w:sz w:val="21"/>
          <w:szCs w:val="21"/>
        </w:rPr>
      </w:pPr>
      <w:r w:rsidRPr="00135A55">
        <w:rPr>
          <w:rStyle w:val="FootnoteReference"/>
          <w:sz w:val="21"/>
          <w:szCs w:val="21"/>
        </w:rPr>
        <w:footnoteRef/>
      </w:r>
      <w:r w:rsidRPr="00135A55">
        <w:rPr>
          <w:sz w:val="21"/>
          <w:szCs w:val="21"/>
        </w:rPr>
        <w:t xml:space="preserve"> Klemencic (2015).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CFB74" w14:textId="77777777" w:rsidR="00F5745E" w:rsidRDefault="00F5745E" w:rsidP="0095416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240EEA" w14:textId="77777777" w:rsidR="00F5745E" w:rsidRDefault="00F574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C393D" w14:textId="77777777" w:rsidR="00F5745E" w:rsidRDefault="00F5745E" w:rsidP="00954161">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7E02">
      <w:rPr>
        <w:rStyle w:val="PageNumber"/>
        <w:noProof/>
      </w:rPr>
      <w:t>5</w:t>
    </w:r>
    <w:r>
      <w:rPr>
        <w:rStyle w:val="PageNumber"/>
      </w:rPr>
      <w:fldChar w:fldCharType="end"/>
    </w:r>
  </w:p>
  <w:p w14:paraId="1D93A421" w14:textId="77777777" w:rsidR="00F5745E" w:rsidRDefault="00F574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4548F"/>
    <w:multiLevelType w:val="hybridMultilevel"/>
    <w:tmpl w:val="261A0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3450A6"/>
    <w:multiLevelType w:val="hybridMultilevel"/>
    <w:tmpl w:val="8946CDC0"/>
    <w:lvl w:ilvl="0" w:tplc="2972840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45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90"/>
    <w:rsid w:val="000018AB"/>
    <w:rsid w:val="00010751"/>
    <w:rsid w:val="000111A8"/>
    <w:rsid w:val="00012050"/>
    <w:rsid w:val="00016933"/>
    <w:rsid w:val="00025A90"/>
    <w:rsid w:val="00031123"/>
    <w:rsid w:val="00034FF7"/>
    <w:rsid w:val="0003612D"/>
    <w:rsid w:val="00036566"/>
    <w:rsid w:val="000519B5"/>
    <w:rsid w:val="00054C15"/>
    <w:rsid w:val="00061213"/>
    <w:rsid w:val="000727BD"/>
    <w:rsid w:val="000847C2"/>
    <w:rsid w:val="00097FF3"/>
    <w:rsid w:val="000A25FC"/>
    <w:rsid w:val="000B596C"/>
    <w:rsid w:val="000B5D66"/>
    <w:rsid w:val="000B60C0"/>
    <w:rsid w:val="000C52DA"/>
    <w:rsid w:val="000C5790"/>
    <w:rsid w:val="000C6E0E"/>
    <w:rsid w:val="000D01E3"/>
    <w:rsid w:val="000D4CCE"/>
    <w:rsid w:val="000E46A3"/>
    <w:rsid w:val="000E50A0"/>
    <w:rsid w:val="000F067A"/>
    <w:rsid w:val="000F586E"/>
    <w:rsid w:val="0010007F"/>
    <w:rsid w:val="00104199"/>
    <w:rsid w:val="00105EAE"/>
    <w:rsid w:val="001063B9"/>
    <w:rsid w:val="001110E0"/>
    <w:rsid w:val="00132989"/>
    <w:rsid w:val="00133694"/>
    <w:rsid w:val="00135A55"/>
    <w:rsid w:val="001415D1"/>
    <w:rsid w:val="00144B81"/>
    <w:rsid w:val="00151EC8"/>
    <w:rsid w:val="001543EB"/>
    <w:rsid w:val="00154D51"/>
    <w:rsid w:val="00155BEB"/>
    <w:rsid w:val="0016154F"/>
    <w:rsid w:val="0016715C"/>
    <w:rsid w:val="00172DD4"/>
    <w:rsid w:val="00173D51"/>
    <w:rsid w:val="00174991"/>
    <w:rsid w:val="0017529C"/>
    <w:rsid w:val="00176197"/>
    <w:rsid w:val="00182D0A"/>
    <w:rsid w:val="0018712D"/>
    <w:rsid w:val="00192E17"/>
    <w:rsid w:val="001A52D7"/>
    <w:rsid w:val="001A59F9"/>
    <w:rsid w:val="001C2061"/>
    <w:rsid w:val="001C2935"/>
    <w:rsid w:val="001C4456"/>
    <w:rsid w:val="001D2FD8"/>
    <w:rsid w:val="001D58C8"/>
    <w:rsid w:val="001F0D20"/>
    <w:rsid w:val="00205775"/>
    <w:rsid w:val="00210635"/>
    <w:rsid w:val="002154E6"/>
    <w:rsid w:val="002327E8"/>
    <w:rsid w:val="002371B4"/>
    <w:rsid w:val="00252B54"/>
    <w:rsid w:val="00255965"/>
    <w:rsid w:val="00260570"/>
    <w:rsid w:val="00261E38"/>
    <w:rsid w:val="00262FA4"/>
    <w:rsid w:val="00272BE0"/>
    <w:rsid w:val="0027438B"/>
    <w:rsid w:val="002767D2"/>
    <w:rsid w:val="00285201"/>
    <w:rsid w:val="002855DF"/>
    <w:rsid w:val="00291D48"/>
    <w:rsid w:val="002923E0"/>
    <w:rsid w:val="002A147C"/>
    <w:rsid w:val="002A2104"/>
    <w:rsid w:val="002A5AAE"/>
    <w:rsid w:val="002B2CB7"/>
    <w:rsid w:val="002B2EC4"/>
    <w:rsid w:val="002B63E4"/>
    <w:rsid w:val="002B74A8"/>
    <w:rsid w:val="002C596A"/>
    <w:rsid w:val="002F4F26"/>
    <w:rsid w:val="00303150"/>
    <w:rsid w:val="00307035"/>
    <w:rsid w:val="003077D5"/>
    <w:rsid w:val="00314860"/>
    <w:rsid w:val="00324114"/>
    <w:rsid w:val="003242BB"/>
    <w:rsid w:val="00332DCC"/>
    <w:rsid w:val="00341614"/>
    <w:rsid w:val="00342B75"/>
    <w:rsid w:val="00342F61"/>
    <w:rsid w:val="00350E45"/>
    <w:rsid w:val="00353C90"/>
    <w:rsid w:val="00357DED"/>
    <w:rsid w:val="00357ED0"/>
    <w:rsid w:val="003648B9"/>
    <w:rsid w:val="00371442"/>
    <w:rsid w:val="00381E02"/>
    <w:rsid w:val="00387C45"/>
    <w:rsid w:val="00392AA7"/>
    <w:rsid w:val="00395C2B"/>
    <w:rsid w:val="0039661F"/>
    <w:rsid w:val="00396D51"/>
    <w:rsid w:val="003A2D86"/>
    <w:rsid w:val="003A6A6A"/>
    <w:rsid w:val="003A6FE2"/>
    <w:rsid w:val="003B76F3"/>
    <w:rsid w:val="003B7B25"/>
    <w:rsid w:val="003D013D"/>
    <w:rsid w:val="003E3C04"/>
    <w:rsid w:val="003F0800"/>
    <w:rsid w:val="003F1A13"/>
    <w:rsid w:val="003F6CBA"/>
    <w:rsid w:val="00400EE5"/>
    <w:rsid w:val="0040207A"/>
    <w:rsid w:val="004048D6"/>
    <w:rsid w:val="00410B1E"/>
    <w:rsid w:val="004133F9"/>
    <w:rsid w:val="004172EA"/>
    <w:rsid w:val="00420A40"/>
    <w:rsid w:val="0043126A"/>
    <w:rsid w:val="004350D0"/>
    <w:rsid w:val="00440CE0"/>
    <w:rsid w:val="00441A90"/>
    <w:rsid w:val="004612F9"/>
    <w:rsid w:val="004615DE"/>
    <w:rsid w:val="0046783F"/>
    <w:rsid w:val="00467AEB"/>
    <w:rsid w:val="00471A11"/>
    <w:rsid w:val="00476F18"/>
    <w:rsid w:val="004805AC"/>
    <w:rsid w:val="00483665"/>
    <w:rsid w:val="00487D9A"/>
    <w:rsid w:val="00492E27"/>
    <w:rsid w:val="004A138D"/>
    <w:rsid w:val="004A3329"/>
    <w:rsid w:val="004B3123"/>
    <w:rsid w:val="004B674E"/>
    <w:rsid w:val="004C7E02"/>
    <w:rsid w:val="004E27D6"/>
    <w:rsid w:val="004E71E5"/>
    <w:rsid w:val="004F075D"/>
    <w:rsid w:val="0051120B"/>
    <w:rsid w:val="00513AA6"/>
    <w:rsid w:val="00516125"/>
    <w:rsid w:val="00517254"/>
    <w:rsid w:val="005176B0"/>
    <w:rsid w:val="00526321"/>
    <w:rsid w:val="00532D7C"/>
    <w:rsid w:val="00534492"/>
    <w:rsid w:val="005345D9"/>
    <w:rsid w:val="00541CCA"/>
    <w:rsid w:val="0054553F"/>
    <w:rsid w:val="0056082C"/>
    <w:rsid w:val="00570624"/>
    <w:rsid w:val="00574C1B"/>
    <w:rsid w:val="005806D6"/>
    <w:rsid w:val="00594295"/>
    <w:rsid w:val="00596C7B"/>
    <w:rsid w:val="005A7411"/>
    <w:rsid w:val="005B22AB"/>
    <w:rsid w:val="005B70E6"/>
    <w:rsid w:val="005C311D"/>
    <w:rsid w:val="005D2315"/>
    <w:rsid w:val="005E023A"/>
    <w:rsid w:val="005E38C0"/>
    <w:rsid w:val="005E7DE9"/>
    <w:rsid w:val="005F7CE8"/>
    <w:rsid w:val="00601108"/>
    <w:rsid w:val="00603C2D"/>
    <w:rsid w:val="006046F1"/>
    <w:rsid w:val="00610250"/>
    <w:rsid w:val="006150A4"/>
    <w:rsid w:val="006222D7"/>
    <w:rsid w:val="00626481"/>
    <w:rsid w:val="00637175"/>
    <w:rsid w:val="00642301"/>
    <w:rsid w:val="00652BB2"/>
    <w:rsid w:val="0067069E"/>
    <w:rsid w:val="00670ED2"/>
    <w:rsid w:val="00672D78"/>
    <w:rsid w:val="006733DF"/>
    <w:rsid w:val="006754B2"/>
    <w:rsid w:val="00687B07"/>
    <w:rsid w:val="00693580"/>
    <w:rsid w:val="006A10ED"/>
    <w:rsid w:val="006A25A4"/>
    <w:rsid w:val="006A6B28"/>
    <w:rsid w:val="006B3127"/>
    <w:rsid w:val="006B535D"/>
    <w:rsid w:val="006B66BF"/>
    <w:rsid w:val="006C3B84"/>
    <w:rsid w:val="006C7517"/>
    <w:rsid w:val="006E2095"/>
    <w:rsid w:val="00704BB6"/>
    <w:rsid w:val="00715B6A"/>
    <w:rsid w:val="00720B47"/>
    <w:rsid w:val="007352CA"/>
    <w:rsid w:val="00737D0D"/>
    <w:rsid w:val="00752B98"/>
    <w:rsid w:val="007618D8"/>
    <w:rsid w:val="00764172"/>
    <w:rsid w:val="00767A1E"/>
    <w:rsid w:val="007827A5"/>
    <w:rsid w:val="00782FB5"/>
    <w:rsid w:val="007942EA"/>
    <w:rsid w:val="007949AA"/>
    <w:rsid w:val="007A4E77"/>
    <w:rsid w:val="007A5BB6"/>
    <w:rsid w:val="007A75AD"/>
    <w:rsid w:val="007B4898"/>
    <w:rsid w:val="007C57BC"/>
    <w:rsid w:val="007E1C8E"/>
    <w:rsid w:val="007E2D5A"/>
    <w:rsid w:val="007E51A1"/>
    <w:rsid w:val="00800D98"/>
    <w:rsid w:val="00811F0B"/>
    <w:rsid w:val="00814048"/>
    <w:rsid w:val="00816FFC"/>
    <w:rsid w:val="008326CF"/>
    <w:rsid w:val="0084720E"/>
    <w:rsid w:val="00850214"/>
    <w:rsid w:val="00851EF0"/>
    <w:rsid w:val="008534A2"/>
    <w:rsid w:val="008636D1"/>
    <w:rsid w:val="0087329A"/>
    <w:rsid w:val="00876893"/>
    <w:rsid w:val="0087699C"/>
    <w:rsid w:val="0088371E"/>
    <w:rsid w:val="00884889"/>
    <w:rsid w:val="008858CE"/>
    <w:rsid w:val="00885D90"/>
    <w:rsid w:val="00891718"/>
    <w:rsid w:val="00896260"/>
    <w:rsid w:val="008968CE"/>
    <w:rsid w:val="008B1D98"/>
    <w:rsid w:val="008B3CE7"/>
    <w:rsid w:val="008B6F99"/>
    <w:rsid w:val="008B6FFE"/>
    <w:rsid w:val="008C0579"/>
    <w:rsid w:val="008C0E46"/>
    <w:rsid w:val="008D7D1C"/>
    <w:rsid w:val="008E3E7E"/>
    <w:rsid w:val="008F4E28"/>
    <w:rsid w:val="009030A7"/>
    <w:rsid w:val="0091698A"/>
    <w:rsid w:val="00923B59"/>
    <w:rsid w:val="00931626"/>
    <w:rsid w:val="00933655"/>
    <w:rsid w:val="00935F60"/>
    <w:rsid w:val="00943D7F"/>
    <w:rsid w:val="009462F7"/>
    <w:rsid w:val="00953984"/>
    <w:rsid w:val="00954161"/>
    <w:rsid w:val="009747AD"/>
    <w:rsid w:val="009B3D4A"/>
    <w:rsid w:val="009C5092"/>
    <w:rsid w:val="009C770D"/>
    <w:rsid w:val="009D383A"/>
    <w:rsid w:val="009D4333"/>
    <w:rsid w:val="009E3508"/>
    <w:rsid w:val="009F2148"/>
    <w:rsid w:val="009F367D"/>
    <w:rsid w:val="009F3785"/>
    <w:rsid w:val="009F7542"/>
    <w:rsid w:val="009F79E5"/>
    <w:rsid w:val="00A10C2D"/>
    <w:rsid w:val="00A15AFE"/>
    <w:rsid w:val="00A2655D"/>
    <w:rsid w:val="00A3110B"/>
    <w:rsid w:val="00A3166B"/>
    <w:rsid w:val="00A3314B"/>
    <w:rsid w:val="00A40244"/>
    <w:rsid w:val="00A420CD"/>
    <w:rsid w:val="00A4431B"/>
    <w:rsid w:val="00A45459"/>
    <w:rsid w:val="00A50880"/>
    <w:rsid w:val="00A57033"/>
    <w:rsid w:val="00A600BB"/>
    <w:rsid w:val="00A6390C"/>
    <w:rsid w:val="00A63B3A"/>
    <w:rsid w:val="00A76065"/>
    <w:rsid w:val="00A83767"/>
    <w:rsid w:val="00A91A8A"/>
    <w:rsid w:val="00AA1B0D"/>
    <w:rsid w:val="00AA4FAF"/>
    <w:rsid w:val="00AA759F"/>
    <w:rsid w:val="00AB3479"/>
    <w:rsid w:val="00AB52D8"/>
    <w:rsid w:val="00AB60BB"/>
    <w:rsid w:val="00AC3A58"/>
    <w:rsid w:val="00AD637D"/>
    <w:rsid w:val="00AE301B"/>
    <w:rsid w:val="00AE717A"/>
    <w:rsid w:val="00AF2BC4"/>
    <w:rsid w:val="00AF5FE3"/>
    <w:rsid w:val="00B00F28"/>
    <w:rsid w:val="00B048E0"/>
    <w:rsid w:val="00B1165A"/>
    <w:rsid w:val="00B22BCE"/>
    <w:rsid w:val="00B26888"/>
    <w:rsid w:val="00B26D25"/>
    <w:rsid w:val="00B373E8"/>
    <w:rsid w:val="00B440FA"/>
    <w:rsid w:val="00B456A9"/>
    <w:rsid w:val="00B45F24"/>
    <w:rsid w:val="00B516E3"/>
    <w:rsid w:val="00B517E8"/>
    <w:rsid w:val="00B531FF"/>
    <w:rsid w:val="00B540BC"/>
    <w:rsid w:val="00B56489"/>
    <w:rsid w:val="00B5652B"/>
    <w:rsid w:val="00B6443F"/>
    <w:rsid w:val="00B650AC"/>
    <w:rsid w:val="00B66662"/>
    <w:rsid w:val="00B703D2"/>
    <w:rsid w:val="00B9573B"/>
    <w:rsid w:val="00B9634C"/>
    <w:rsid w:val="00BA693E"/>
    <w:rsid w:val="00BC7DF4"/>
    <w:rsid w:val="00BD4CFA"/>
    <w:rsid w:val="00BD52E7"/>
    <w:rsid w:val="00BD7C10"/>
    <w:rsid w:val="00BD7FD9"/>
    <w:rsid w:val="00BE2E0C"/>
    <w:rsid w:val="00BF100D"/>
    <w:rsid w:val="00BF267C"/>
    <w:rsid w:val="00C03D0F"/>
    <w:rsid w:val="00C06E85"/>
    <w:rsid w:val="00C12D5E"/>
    <w:rsid w:val="00C13A22"/>
    <w:rsid w:val="00C155E5"/>
    <w:rsid w:val="00C247BC"/>
    <w:rsid w:val="00C33009"/>
    <w:rsid w:val="00C43E6C"/>
    <w:rsid w:val="00C47830"/>
    <w:rsid w:val="00C5689A"/>
    <w:rsid w:val="00C644C6"/>
    <w:rsid w:val="00C73257"/>
    <w:rsid w:val="00C82F1D"/>
    <w:rsid w:val="00C8395D"/>
    <w:rsid w:val="00C91F1E"/>
    <w:rsid w:val="00C93EE8"/>
    <w:rsid w:val="00C9482B"/>
    <w:rsid w:val="00CA090B"/>
    <w:rsid w:val="00CA58B5"/>
    <w:rsid w:val="00CB0651"/>
    <w:rsid w:val="00CD0FF1"/>
    <w:rsid w:val="00CD2518"/>
    <w:rsid w:val="00D07A42"/>
    <w:rsid w:val="00D1026F"/>
    <w:rsid w:val="00D13564"/>
    <w:rsid w:val="00D21790"/>
    <w:rsid w:val="00D24B62"/>
    <w:rsid w:val="00D319A5"/>
    <w:rsid w:val="00D32581"/>
    <w:rsid w:val="00D42423"/>
    <w:rsid w:val="00D44063"/>
    <w:rsid w:val="00D45987"/>
    <w:rsid w:val="00D50208"/>
    <w:rsid w:val="00D513A6"/>
    <w:rsid w:val="00D537F5"/>
    <w:rsid w:val="00D645AB"/>
    <w:rsid w:val="00D7541B"/>
    <w:rsid w:val="00D77A0C"/>
    <w:rsid w:val="00D85294"/>
    <w:rsid w:val="00D911B7"/>
    <w:rsid w:val="00D97567"/>
    <w:rsid w:val="00DA02CF"/>
    <w:rsid w:val="00DA12A6"/>
    <w:rsid w:val="00DA354A"/>
    <w:rsid w:val="00DA52AA"/>
    <w:rsid w:val="00DC3274"/>
    <w:rsid w:val="00DD41E7"/>
    <w:rsid w:val="00DD76C7"/>
    <w:rsid w:val="00DF0126"/>
    <w:rsid w:val="00DF0188"/>
    <w:rsid w:val="00DF6EE7"/>
    <w:rsid w:val="00E06B67"/>
    <w:rsid w:val="00E07503"/>
    <w:rsid w:val="00E163BD"/>
    <w:rsid w:val="00E218E3"/>
    <w:rsid w:val="00E3536B"/>
    <w:rsid w:val="00E36205"/>
    <w:rsid w:val="00E40843"/>
    <w:rsid w:val="00E439CC"/>
    <w:rsid w:val="00E45DBC"/>
    <w:rsid w:val="00E510A3"/>
    <w:rsid w:val="00E512F6"/>
    <w:rsid w:val="00E517DB"/>
    <w:rsid w:val="00E55347"/>
    <w:rsid w:val="00E55801"/>
    <w:rsid w:val="00E611DF"/>
    <w:rsid w:val="00E731D3"/>
    <w:rsid w:val="00E75439"/>
    <w:rsid w:val="00E7721C"/>
    <w:rsid w:val="00E820C1"/>
    <w:rsid w:val="00E95D03"/>
    <w:rsid w:val="00E95E4E"/>
    <w:rsid w:val="00EA6918"/>
    <w:rsid w:val="00EB5D31"/>
    <w:rsid w:val="00EB6F27"/>
    <w:rsid w:val="00EC3C45"/>
    <w:rsid w:val="00ED3CBF"/>
    <w:rsid w:val="00ED5730"/>
    <w:rsid w:val="00EE4E60"/>
    <w:rsid w:val="00EF7854"/>
    <w:rsid w:val="00F01C77"/>
    <w:rsid w:val="00F114B2"/>
    <w:rsid w:val="00F142A1"/>
    <w:rsid w:val="00F20281"/>
    <w:rsid w:val="00F20C70"/>
    <w:rsid w:val="00F26021"/>
    <w:rsid w:val="00F26838"/>
    <w:rsid w:val="00F33A53"/>
    <w:rsid w:val="00F359B1"/>
    <w:rsid w:val="00F369D3"/>
    <w:rsid w:val="00F43646"/>
    <w:rsid w:val="00F52F41"/>
    <w:rsid w:val="00F5745E"/>
    <w:rsid w:val="00F60F19"/>
    <w:rsid w:val="00F626BF"/>
    <w:rsid w:val="00F7287A"/>
    <w:rsid w:val="00F85702"/>
    <w:rsid w:val="00F91227"/>
    <w:rsid w:val="00F93A1F"/>
    <w:rsid w:val="00FA10F3"/>
    <w:rsid w:val="00FA4288"/>
    <w:rsid w:val="00FB0B00"/>
    <w:rsid w:val="00FB5609"/>
    <w:rsid w:val="00FD7365"/>
    <w:rsid w:val="00FE029D"/>
    <w:rsid w:val="00FE2CDF"/>
    <w:rsid w:val="00FE48A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E268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A90"/>
    <w:pPr>
      <w:ind w:left="720"/>
      <w:contextualSpacing/>
    </w:pPr>
  </w:style>
  <w:style w:type="paragraph" w:styleId="Header">
    <w:name w:val="header"/>
    <w:basedOn w:val="Normal"/>
    <w:link w:val="HeaderChar"/>
    <w:uiPriority w:val="99"/>
    <w:unhideWhenUsed/>
    <w:rsid w:val="001543EB"/>
    <w:pPr>
      <w:tabs>
        <w:tab w:val="center" w:pos="4513"/>
        <w:tab w:val="right" w:pos="9026"/>
      </w:tabs>
    </w:pPr>
  </w:style>
  <w:style w:type="character" w:customStyle="1" w:styleId="HeaderChar">
    <w:name w:val="Header Char"/>
    <w:basedOn w:val="DefaultParagraphFont"/>
    <w:link w:val="Header"/>
    <w:uiPriority w:val="99"/>
    <w:rsid w:val="001543EB"/>
  </w:style>
  <w:style w:type="character" w:styleId="PageNumber">
    <w:name w:val="page number"/>
    <w:basedOn w:val="DefaultParagraphFont"/>
    <w:uiPriority w:val="99"/>
    <w:semiHidden/>
    <w:unhideWhenUsed/>
    <w:rsid w:val="001543EB"/>
  </w:style>
  <w:style w:type="paragraph" w:customStyle="1" w:styleId="p1">
    <w:name w:val="p1"/>
    <w:basedOn w:val="Normal"/>
    <w:rsid w:val="00010751"/>
    <w:rPr>
      <w:rFonts w:ascii="Times" w:hAnsi="Times" w:cs="Times New Roman"/>
      <w:sz w:val="15"/>
      <w:szCs w:val="15"/>
      <w:lang w:eastAsia="en-GB"/>
    </w:rPr>
  </w:style>
  <w:style w:type="character" w:customStyle="1" w:styleId="apple-converted-space">
    <w:name w:val="apple-converted-space"/>
    <w:basedOn w:val="DefaultParagraphFont"/>
    <w:rsid w:val="00010751"/>
  </w:style>
  <w:style w:type="paragraph" w:styleId="FootnoteText">
    <w:name w:val="footnote text"/>
    <w:basedOn w:val="Normal"/>
    <w:link w:val="FootnoteTextChar"/>
    <w:uiPriority w:val="99"/>
    <w:unhideWhenUsed/>
    <w:rsid w:val="00D45987"/>
  </w:style>
  <w:style w:type="character" w:customStyle="1" w:styleId="FootnoteTextChar">
    <w:name w:val="Footnote Text Char"/>
    <w:basedOn w:val="DefaultParagraphFont"/>
    <w:link w:val="FootnoteText"/>
    <w:uiPriority w:val="99"/>
    <w:rsid w:val="00D45987"/>
  </w:style>
  <w:style w:type="character" w:styleId="FootnoteReference">
    <w:name w:val="footnote reference"/>
    <w:basedOn w:val="DefaultParagraphFont"/>
    <w:uiPriority w:val="99"/>
    <w:unhideWhenUsed/>
    <w:rsid w:val="00D45987"/>
    <w:rPr>
      <w:vertAlign w:val="superscript"/>
    </w:rPr>
  </w:style>
  <w:style w:type="character" w:styleId="CommentReference">
    <w:name w:val="annotation reference"/>
    <w:basedOn w:val="DefaultParagraphFont"/>
    <w:uiPriority w:val="99"/>
    <w:semiHidden/>
    <w:unhideWhenUsed/>
    <w:rsid w:val="00B00F28"/>
    <w:rPr>
      <w:sz w:val="18"/>
      <w:szCs w:val="18"/>
    </w:rPr>
  </w:style>
  <w:style w:type="paragraph" w:styleId="CommentText">
    <w:name w:val="annotation text"/>
    <w:basedOn w:val="Normal"/>
    <w:link w:val="CommentTextChar"/>
    <w:uiPriority w:val="99"/>
    <w:semiHidden/>
    <w:unhideWhenUsed/>
    <w:rsid w:val="00B00F28"/>
  </w:style>
  <w:style w:type="character" w:customStyle="1" w:styleId="CommentTextChar">
    <w:name w:val="Comment Text Char"/>
    <w:basedOn w:val="DefaultParagraphFont"/>
    <w:link w:val="CommentText"/>
    <w:uiPriority w:val="99"/>
    <w:semiHidden/>
    <w:rsid w:val="00B00F28"/>
  </w:style>
  <w:style w:type="paragraph" w:styleId="CommentSubject">
    <w:name w:val="annotation subject"/>
    <w:basedOn w:val="CommentText"/>
    <w:next w:val="CommentText"/>
    <w:link w:val="CommentSubjectChar"/>
    <w:uiPriority w:val="99"/>
    <w:semiHidden/>
    <w:unhideWhenUsed/>
    <w:rsid w:val="00B00F28"/>
    <w:rPr>
      <w:b/>
      <w:bCs/>
      <w:sz w:val="20"/>
      <w:szCs w:val="20"/>
    </w:rPr>
  </w:style>
  <w:style w:type="character" w:customStyle="1" w:styleId="CommentSubjectChar">
    <w:name w:val="Comment Subject Char"/>
    <w:basedOn w:val="CommentTextChar"/>
    <w:link w:val="CommentSubject"/>
    <w:uiPriority w:val="99"/>
    <w:semiHidden/>
    <w:rsid w:val="00B00F28"/>
    <w:rPr>
      <w:b/>
      <w:bCs/>
      <w:sz w:val="20"/>
      <w:szCs w:val="20"/>
    </w:rPr>
  </w:style>
  <w:style w:type="paragraph" w:styleId="BalloonText">
    <w:name w:val="Balloon Text"/>
    <w:basedOn w:val="Normal"/>
    <w:link w:val="BalloonTextChar"/>
    <w:uiPriority w:val="99"/>
    <w:semiHidden/>
    <w:unhideWhenUsed/>
    <w:rsid w:val="00B00F2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0F28"/>
    <w:rPr>
      <w:rFonts w:ascii="Times New Roman" w:hAnsi="Times New Roman" w:cs="Times New Roman"/>
      <w:sz w:val="18"/>
      <w:szCs w:val="18"/>
    </w:rPr>
  </w:style>
  <w:style w:type="character" w:customStyle="1" w:styleId="s1">
    <w:name w:val="s1"/>
    <w:basedOn w:val="DefaultParagraphFont"/>
    <w:rsid w:val="00CA58B5"/>
    <w:rPr>
      <w:rFonts w:ascii="Helvetica" w:hAnsi="Helvetica"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126">
      <w:bodyDiv w:val="1"/>
      <w:marLeft w:val="0"/>
      <w:marRight w:val="0"/>
      <w:marTop w:val="0"/>
      <w:marBottom w:val="0"/>
      <w:divBdr>
        <w:top w:val="none" w:sz="0" w:space="0" w:color="auto"/>
        <w:left w:val="none" w:sz="0" w:space="0" w:color="auto"/>
        <w:bottom w:val="none" w:sz="0" w:space="0" w:color="auto"/>
        <w:right w:val="none" w:sz="0" w:space="0" w:color="auto"/>
      </w:divBdr>
    </w:div>
    <w:div w:id="68886030">
      <w:bodyDiv w:val="1"/>
      <w:marLeft w:val="0"/>
      <w:marRight w:val="0"/>
      <w:marTop w:val="0"/>
      <w:marBottom w:val="0"/>
      <w:divBdr>
        <w:top w:val="none" w:sz="0" w:space="0" w:color="auto"/>
        <w:left w:val="none" w:sz="0" w:space="0" w:color="auto"/>
        <w:bottom w:val="none" w:sz="0" w:space="0" w:color="auto"/>
        <w:right w:val="none" w:sz="0" w:space="0" w:color="auto"/>
      </w:divBdr>
    </w:div>
    <w:div w:id="223030669">
      <w:bodyDiv w:val="1"/>
      <w:marLeft w:val="0"/>
      <w:marRight w:val="0"/>
      <w:marTop w:val="0"/>
      <w:marBottom w:val="0"/>
      <w:divBdr>
        <w:top w:val="none" w:sz="0" w:space="0" w:color="auto"/>
        <w:left w:val="none" w:sz="0" w:space="0" w:color="auto"/>
        <w:bottom w:val="none" w:sz="0" w:space="0" w:color="auto"/>
        <w:right w:val="none" w:sz="0" w:space="0" w:color="auto"/>
      </w:divBdr>
    </w:div>
    <w:div w:id="461849097">
      <w:bodyDiv w:val="1"/>
      <w:marLeft w:val="0"/>
      <w:marRight w:val="0"/>
      <w:marTop w:val="0"/>
      <w:marBottom w:val="0"/>
      <w:divBdr>
        <w:top w:val="none" w:sz="0" w:space="0" w:color="auto"/>
        <w:left w:val="none" w:sz="0" w:space="0" w:color="auto"/>
        <w:bottom w:val="none" w:sz="0" w:space="0" w:color="auto"/>
        <w:right w:val="none" w:sz="0" w:space="0" w:color="auto"/>
      </w:divBdr>
    </w:div>
    <w:div w:id="476990680">
      <w:bodyDiv w:val="1"/>
      <w:marLeft w:val="0"/>
      <w:marRight w:val="0"/>
      <w:marTop w:val="0"/>
      <w:marBottom w:val="0"/>
      <w:divBdr>
        <w:top w:val="none" w:sz="0" w:space="0" w:color="auto"/>
        <w:left w:val="none" w:sz="0" w:space="0" w:color="auto"/>
        <w:bottom w:val="none" w:sz="0" w:space="0" w:color="auto"/>
        <w:right w:val="none" w:sz="0" w:space="0" w:color="auto"/>
      </w:divBdr>
    </w:div>
    <w:div w:id="491532341">
      <w:bodyDiv w:val="1"/>
      <w:marLeft w:val="0"/>
      <w:marRight w:val="0"/>
      <w:marTop w:val="0"/>
      <w:marBottom w:val="0"/>
      <w:divBdr>
        <w:top w:val="none" w:sz="0" w:space="0" w:color="auto"/>
        <w:left w:val="none" w:sz="0" w:space="0" w:color="auto"/>
        <w:bottom w:val="none" w:sz="0" w:space="0" w:color="auto"/>
        <w:right w:val="none" w:sz="0" w:space="0" w:color="auto"/>
      </w:divBdr>
    </w:div>
    <w:div w:id="524515530">
      <w:bodyDiv w:val="1"/>
      <w:marLeft w:val="0"/>
      <w:marRight w:val="0"/>
      <w:marTop w:val="0"/>
      <w:marBottom w:val="0"/>
      <w:divBdr>
        <w:top w:val="none" w:sz="0" w:space="0" w:color="auto"/>
        <w:left w:val="none" w:sz="0" w:space="0" w:color="auto"/>
        <w:bottom w:val="none" w:sz="0" w:space="0" w:color="auto"/>
        <w:right w:val="none" w:sz="0" w:space="0" w:color="auto"/>
      </w:divBdr>
    </w:div>
    <w:div w:id="690179125">
      <w:bodyDiv w:val="1"/>
      <w:marLeft w:val="0"/>
      <w:marRight w:val="0"/>
      <w:marTop w:val="0"/>
      <w:marBottom w:val="0"/>
      <w:divBdr>
        <w:top w:val="none" w:sz="0" w:space="0" w:color="auto"/>
        <w:left w:val="none" w:sz="0" w:space="0" w:color="auto"/>
        <w:bottom w:val="none" w:sz="0" w:space="0" w:color="auto"/>
        <w:right w:val="none" w:sz="0" w:space="0" w:color="auto"/>
      </w:divBdr>
    </w:div>
    <w:div w:id="756829064">
      <w:bodyDiv w:val="1"/>
      <w:marLeft w:val="0"/>
      <w:marRight w:val="0"/>
      <w:marTop w:val="0"/>
      <w:marBottom w:val="0"/>
      <w:divBdr>
        <w:top w:val="none" w:sz="0" w:space="0" w:color="auto"/>
        <w:left w:val="none" w:sz="0" w:space="0" w:color="auto"/>
        <w:bottom w:val="none" w:sz="0" w:space="0" w:color="auto"/>
        <w:right w:val="none" w:sz="0" w:space="0" w:color="auto"/>
      </w:divBdr>
    </w:div>
    <w:div w:id="876699766">
      <w:bodyDiv w:val="1"/>
      <w:marLeft w:val="0"/>
      <w:marRight w:val="0"/>
      <w:marTop w:val="0"/>
      <w:marBottom w:val="0"/>
      <w:divBdr>
        <w:top w:val="none" w:sz="0" w:space="0" w:color="auto"/>
        <w:left w:val="none" w:sz="0" w:space="0" w:color="auto"/>
        <w:bottom w:val="none" w:sz="0" w:space="0" w:color="auto"/>
        <w:right w:val="none" w:sz="0" w:space="0" w:color="auto"/>
      </w:divBdr>
    </w:div>
    <w:div w:id="880750378">
      <w:bodyDiv w:val="1"/>
      <w:marLeft w:val="0"/>
      <w:marRight w:val="0"/>
      <w:marTop w:val="0"/>
      <w:marBottom w:val="0"/>
      <w:divBdr>
        <w:top w:val="none" w:sz="0" w:space="0" w:color="auto"/>
        <w:left w:val="none" w:sz="0" w:space="0" w:color="auto"/>
        <w:bottom w:val="none" w:sz="0" w:space="0" w:color="auto"/>
        <w:right w:val="none" w:sz="0" w:space="0" w:color="auto"/>
      </w:divBdr>
    </w:div>
    <w:div w:id="973219222">
      <w:bodyDiv w:val="1"/>
      <w:marLeft w:val="0"/>
      <w:marRight w:val="0"/>
      <w:marTop w:val="0"/>
      <w:marBottom w:val="0"/>
      <w:divBdr>
        <w:top w:val="none" w:sz="0" w:space="0" w:color="auto"/>
        <w:left w:val="none" w:sz="0" w:space="0" w:color="auto"/>
        <w:bottom w:val="none" w:sz="0" w:space="0" w:color="auto"/>
        <w:right w:val="none" w:sz="0" w:space="0" w:color="auto"/>
      </w:divBdr>
    </w:div>
    <w:div w:id="1100100820">
      <w:bodyDiv w:val="1"/>
      <w:marLeft w:val="0"/>
      <w:marRight w:val="0"/>
      <w:marTop w:val="0"/>
      <w:marBottom w:val="0"/>
      <w:divBdr>
        <w:top w:val="none" w:sz="0" w:space="0" w:color="auto"/>
        <w:left w:val="none" w:sz="0" w:space="0" w:color="auto"/>
        <w:bottom w:val="none" w:sz="0" w:space="0" w:color="auto"/>
        <w:right w:val="none" w:sz="0" w:space="0" w:color="auto"/>
      </w:divBdr>
    </w:div>
    <w:div w:id="1225288282">
      <w:bodyDiv w:val="1"/>
      <w:marLeft w:val="0"/>
      <w:marRight w:val="0"/>
      <w:marTop w:val="0"/>
      <w:marBottom w:val="0"/>
      <w:divBdr>
        <w:top w:val="none" w:sz="0" w:space="0" w:color="auto"/>
        <w:left w:val="none" w:sz="0" w:space="0" w:color="auto"/>
        <w:bottom w:val="none" w:sz="0" w:space="0" w:color="auto"/>
        <w:right w:val="none" w:sz="0" w:space="0" w:color="auto"/>
      </w:divBdr>
    </w:div>
    <w:div w:id="1727291568">
      <w:bodyDiv w:val="1"/>
      <w:marLeft w:val="0"/>
      <w:marRight w:val="0"/>
      <w:marTop w:val="0"/>
      <w:marBottom w:val="0"/>
      <w:divBdr>
        <w:top w:val="none" w:sz="0" w:space="0" w:color="auto"/>
        <w:left w:val="none" w:sz="0" w:space="0" w:color="auto"/>
        <w:bottom w:val="none" w:sz="0" w:space="0" w:color="auto"/>
        <w:right w:val="none" w:sz="0" w:space="0" w:color="auto"/>
      </w:divBdr>
    </w:div>
    <w:div w:id="2063094570">
      <w:bodyDiv w:val="1"/>
      <w:marLeft w:val="0"/>
      <w:marRight w:val="0"/>
      <w:marTop w:val="0"/>
      <w:marBottom w:val="0"/>
      <w:divBdr>
        <w:top w:val="none" w:sz="0" w:space="0" w:color="auto"/>
        <w:left w:val="none" w:sz="0" w:space="0" w:color="auto"/>
        <w:bottom w:val="none" w:sz="0" w:space="0" w:color="auto"/>
        <w:right w:val="none" w:sz="0" w:space="0" w:color="auto"/>
      </w:divBdr>
    </w:div>
    <w:div w:id="20676042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8AFC78-C128-8247-8543-88C23649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18</Pages>
  <Words>6592</Words>
  <Characters>37447</Characters>
  <Application>Microsoft Macintosh Word</Application>
  <DocSecurity>0</DocSecurity>
  <Lines>693</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19</cp:revision>
  <cp:lastPrinted>2017-11-29T14:44:00Z</cp:lastPrinted>
  <dcterms:created xsi:type="dcterms:W3CDTF">2017-11-29T12:12:00Z</dcterms:created>
  <dcterms:modified xsi:type="dcterms:W3CDTF">2017-12-01T21:15:00Z</dcterms:modified>
</cp:coreProperties>
</file>